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November 1, 2021</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tbl>
      <w:tblPr>
        <w:tblLayout w:type="fixed"/>
        <w:tblInd w:w="208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2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97"/>
              </w:rPr>
              <w:t>FORM S-3</w:t>
            </w:r>
          </w:p>
        </w:tc>
      </w:tr>
      <w:tr>
        <w:trPr>
          <w:trHeight w:val="220"/>
        </w:trPr>
        <w:tc>
          <w:tcPr>
            <w:tcW w:w="1700" w:type="dxa"/>
            <w:vAlign w:val="bottom"/>
          </w:tcPr>
          <w:p>
            <w:pPr>
              <w:spacing w:after="0"/>
              <w:rPr>
                <w:sz w:val="19"/>
                <w:szCs w:val="19"/>
                <w:color w:val="auto"/>
              </w:rPr>
            </w:pPr>
          </w:p>
        </w:tc>
        <w:tc>
          <w:tcPr>
            <w:tcW w:w="5300" w:type="dxa"/>
            <w:vAlign w:val="bottom"/>
            <w:gridSpan w:val="3"/>
          </w:tcPr>
          <w:p>
            <w:pPr>
              <w:jc w:val="center"/>
              <w:ind w:right="1510"/>
              <w:spacing w:after="0"/>
              <w:rPr>
                <w:sz w:val="20"/>
                <w:szCs w:val="20"/>
                <w:color w:val="auto"/>
              </w:rPr>
            </w:pPr>
            <w:r>
              <w:rPr>
                <w:rFonts w:ascii="Arial" w:cs="Arial" w:eastAsia="Arial" w:hAnsi="Arial"/>
                <w:sz w:val="18"/>
                <w:szCs w:val="18"/>
                <w:b w:val="1"/>
                <w:bCs w:val="1"/>
                <w:color w:val="auto"/>
              </w:rPr>
              <w:t>REGISTRATION STATEMENT</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20" w:type="dxa"/>
            <w:vAlign w:val="bottom"/>
            <w:gridSpan w:val="2"/>
          </w:tcPr>
          <w:p>
            <w:pPr>
              <w:jc w:val="center"/>
              <w:ind w:right="2210"/>
              <w:spacing w:after="0"/>
              <w:rPr>
                <w:sz w:val="20"/>
                <w:szCs w:val="20"/>
                <w:color w:val="auto"/>
              </w:rPr>
            </w:pPr>
            <w:r>
              <w:rPr>
                <w:rFonts w:ascii="Arial" w:cs="Arial" w:eastAsia="Arial" w:hAnsi="Arial"/>
                <w:sz w:val="18"/>
                <w:szCs w:val="18"/>
                <w:b w:val="1"/>
                <w:bCs w:val="1"/>
                <w:i w:val="1"/>
                <w:iCs w:val="1"/>
                <w:color w:val="auto"/>
                <w:w w:val="99"/>
              </w:rPr>
              <w:t>UNDER</w:t>
            </w:r>
          </w:p>
        </w:tc>
      </w:tr>
      <w:tr>
        <w:trPr>
          <w:trHeight w:val="230"/>
        </w:trPr>
        <w:tc>
          <w:tcPr>
            <w:tcW w:w="1700" w:type="dxa"/>
            <w:vAlign w:val="bottom"/>
          </w:tcPr>
          <w:p>
            <w:pPr>
              <w:spacing w:after="0"/>
              <w:rPr>
                <w:sz w:val="20"/>
                <w:szCs w:val="20"/>
                <w:color w:val="auto"/>
              </w:rPr>
            </w:pPr>
          </w:p>
        </w:tc>
        <w:tc>
          <w:tcPr>
            <w:tcW w:w="5300" w:type="dxa"/>
            <w:vAlign w:val="bottom"/>
            <w:gridSpan w:val="3"/>
          </w:tcPr>
          <w:p>
            <w:pPr>
              <w:jc w:val="center"/>
              <w:ind w:right="1530"/>
              <w:spacing w:after="0"/>
              <w:rPr>
                <w:sz w:val="20"/>
                <w:szCs w:val="20"/>
                <w:color w:val="auto"/>
              </w:rPr>
            </w:pPr>
            <w:r>
              <w:rPr>
                <w:rFonts w:ascii="Arial" w:cs="Arial" w:eastAsia="Arial" w:hAnsi="Arial"/>
                <w:sz w:val="18"/>
                <w:szCs w:val="18"/>
                <w:b w:val="1"/>
                <w:bCs w:val="1"/>
                <w:i w:val="1"/>
                <w:iCs w:val="1"/>
                <w:color w:val="auto"/>
                <w:w w:val="96"/>
              </w:rPr>
              <w:t>THE SECURITIES ACT OF 1933</w:t>
            </w:r>
          </w:p>
        </w:tc>
      </w:tr>
      <w:tr>
        <w:trPr>
          <w:trHeight w:val="162"/>
        </w:trPr>
        <w:tc>
          <w:tcPr>
            <w:tcW w:w="1700" w:type="dxa"/>
            <w:vAlign w:val="bottom"/>
          </w:tcPr>
          <w:p>
            <w:pPr>
              <w:spacing w:after="0"/>
              <w:rPr>
                <w:sz w:val="14"/>
                <w:szCs w:val="14"/>
                <w:color w:val="auto"/>
              </w:rPr>
            </w:pPr>
          </w:p>
        </w:tc>
        <w:tc>
          <w:tcPr>
            <w:tcW w:w="5300" w:type="dxa"/>
            <w:vAlign w:val="bottom"/>
            <w:gridSpan w:val="3"/>
          </w:tcPr>
          <w:p>
            <w:pPr>
              <w:spacing w:after="0"/>
              <w:rPr>
                <w:sz w:val="14"/>
                <w:szCs w:val="14"/>
                <w:color w:val="auto"/>
              </w:rPr>
            </w:pPr>
          </w:p>
        </w:tc>
      </w:tr>
      <w:tr>
        <w:trPr>
          <w:trHeight w:val="335"/>
        </w:trPr>
        <w:tc>
          <w:tcPr>
            <w:tcW w:w="170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26"/>
                <w:szCs w:val="26"/>
                <w:b w:val="1"/>
                <w:bCs w:val="1"/>
                <w:color w:val="auto"/>
                <w:w w:val="70"/>
              </w:rPr>
              <w:t>Tarsus</w:t>
            </w:r>
          </w:p>
        </w:tc>
        <w:tc>
          <w:tcPr>
            <w:tcW w:w="2320" w:type="dxa"/>
            <w:vAlign w:val="bottom"/>
            <w:tcBorders>
              <w:top w:val="single" w:sz="8" w:color="auto"/>
            </w:tcBorders>
          </w:tcPr>
          <w:p>
            <w:pPr>
              <w:ind w:left="280"/>
              <w:spacing w:after="0"/>
              <w:rPr>
                <w:sz w:val="20"/>
                <w:szCs w:val="20"/>
                <w:color w:val="auto"/>
              </w:rPr>
            </w:pPr>
            <w:r>
              <w:rPr>
                <w:rFonts w:ascii="Arial" w:cs="Arial" w:eastAsia="Arial" w:hAnsi="Arial"/>
                <w:sz w:val="29"/>
                <w:szCs w:val="29"/>
                <w:b w:val="1"/>
                <w:bCs w:val="1"/>
                <w:color w:val="auto"/>
                <w:w w:val="84"/>
              </w:rPr>
              <w:t>Pharmaceuticals,</w:t>
            </w:r>
          </w:p>
        </w:tc>
        <w:tc>
          <w:tcPr>
            <w:tcW w:w="2300" w:type="dxa"/>
            <w:vAlign w:val="bottom"/>
          </w:tcPr>
          <w:p>
            <w:pPr>
              <w:ind w:left="160"/>
              <w:spacing w:after="0"/>
              <w:rPr>
                <w:sz w:val="20"/>
                <w:szCs w:val="20"/>
                <w:color w:val="auto"/>
              </w:rPr>
            </w:pPr>
            <w:r>
              <w:rPr>
                <w:rFonts w:ascii="Arial" w:cs="Arial" w:eastAsia="Arial" w:hAnsi="Arial"/>
                <w:sz w:val="29"/>
                <w:szCs w:val="29"/>
                <w:b w:val="1"/>
                <w:bCs w:val="1"/>
                <w:color w:val="auto"/>
              </w:rPr>
              <w:t>Inc.</w:t>
            </w:r>
          </w:p>
        </w:tc>
      </w:tr>
      <w:tr>
        <w:trPr>
          <w:trHeight w:val="186"/>
        </w:trPr>
        <w:tc>
          <w:tcPr>
            <w:tcW w:w="1700" w:type="dxa"/>
            <w:vAlign w:val="bottom"/>
          </w:tcPr>
          <w:p>
            <w:pPr>
              <w:spacing w:after="0"/>
              <w:rPr>
                <w:sz w:val="16"/>
                <w:szCs w:val="16"/>
                <w:color w:val="auto"/>
              </w:rPr>
            </w:pPr>
          </w:p>
        </w:tc>
        <w:tc>
          <w:tcPr>
            <w:tcW w:w="5300" w:type="dxa"/>
            <w:vAlign w:val="bottom"/>
            <w:gridSpan w:val="3"/>
          </w:tcPr>
          <w:p>
            <w:pPr>
              <w:jc w:val="center"/>
              <w:ind w:right="151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47"/>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78"/>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1"/>
              </w:rPr>
              <w:t>Delaware</w:t>
            </w:r>
          </w:p>
        </w:tc>
        <w:tc>
          <w:tcPr>
            <w:tcW w:w="5300" w:type="dxa"/>
            <w:vAlign w:val="bottom"/>
            <w:gridSpan w:val="3"/>
          </w:tcPr>
          <w:p>
            <w:pPr>
              <w:jc w:val="center"/>
              <w:ind w:left="3971"/>
              <w:spacing w:after="0"/>
              <w:rPr>
                <w:sz w:val="20"/>
                <w:szCs w:val="20"/>
                <w:color w:val="auto"/>
              </w:rPr>
            </w:pPr>
            <w:r>
              <w:rPr>
                <w:rFonts w:ascii="Arial" w:cs="Arial" w:eastAsia="Arial" w:hAnsi="Arial"/>
                <w:sz w:val="13"/>
                <w:szCs w:val="13"/>
                <w:b w:val="1"/>
                <w:bCs w:val="1"/>
                <w:color w:val="auto"/>
                <w:w w:val="86"/>
              </w:rPr>
              <w:t>81-4717861</w:t>
            </w:r>
          </w:p>
        </w:tc>
      </w:tr>
      <w:tr>
        <w:trPr>
          <w:trHeight w:val="135"/>
        </w:trPr>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70"/>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70"/>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15440 Laguna Canyon Road, Suite 160</w:t>
      </w:r>
    </w:p>
    <w:p>
      <w:pPr>
        <w:jc w:val="center"/>
        <w:ind w:right="-99"/>
        <w:spacing w:after="0" w:line="216" w:lineRule="auto"/>
        <w:rPr>
          <w:sz w:val="20"/>
          <w:szCs w:val="20"/>
          <w:color w:val="auto"/>
        </w:rPr>
      </w:pPr>
      <w:r>
        <w:rPr>
          <w:rFonts w:ascii="Arial" w:cs="Arial" w:eastAsia="Arial" w:hAnsi="Arial"/>
          <w:sz w:val="13"/>
          <w:szCs w:val="13"/>
          <w:b w:val="1"/>
          <w:bCs w:val="1"/>
          <w:color w:val="auto"/>
        </w:rPr>
        <w:t>Irvine, California 92618</w:t>
      </w:r>
    </w:p>
    <w:p>
      <w:pPr>
        <w:jc w:val="center"/>
        <w:ind w:right="-99"/>
        <w:spacing w:after="0" w:line="217" w:lineRule="auto"/>
        <w:rPr>
          <w:sz w:val="20"/>
          <w:szCs w:val="20"/>
          <w:color w:val="auto"/>
        </w:rPr>
      </w:pPr>
      <w:r>
        <w:rPr>
          <w:rFonts w:ascii="Arial" w:cs="Arial" w:eastAsia="Arial" w:hAnsi="Arial"/>
          <w:sz w:val="13"/>
          <w:szCs w:val="13"/>
          <w:b w:val="1"/>
          <w:bCs w:val="1"/>
          <w:color w:val="auto"/>
        </w:rPr>
        <w:t>(949) 409-9820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Bobak Azamian, M.D., Ph.D.</w:t>
      </w:r>
    </w:p>
    <w:p>
      <w:pPr>
        <w:jc w:val="center"/>
        <w:ind w:right="-99"/>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line="217" w:lineRule="auto"/>
        <w:rPr>
          <w:sz w:val="20"/>
          <w:szCs w:val="20"/>
          <w:color w:val="auto"/>
        </w:rPr>
      </w:pPr>
      <w:r>
        <w:rPr>
          <w:rFonts w:ascii="Arial" w:cs="Arial" w:eastAsia="Arial" w:hAnsi="Arial"/>
          <w:sz w:val="13"/>
          <w:szCs w:val="13"/>
          <w:b w:val="1"/>
          <w:bCs w:val="1"/>
          <w:color w:val="auto"/>
        </w:rPr>
        <w:t>15440 Laguna Canyon Road, Suite 160</w:t>
      </w:r>
    </w:p>
    <w:p>
      <w:pPr>
        <w:jc w:val="center"/>
        <w:ind w:right="-99"/>
        <w:spacing w:after="0" w:line="217" w:lineRule="auto"/>
        <w:rPr>
          <w:sz w:val="20"/>
          <w:szCs w:val="20"/>
          <w:color w:val="auto"/>
        </w:rPr>
      </w:pPr>
      <w:r>
        <w:rPr>
          <w:rFonts w:ascii="Arial" w:cs="Arial" w:eastAsia="Arial" w:hAnsi="Arial"/>
          <w:sz w:val="13"/>
          <w:szCs w:val="13"/>
          <w:b w:val="1"/>
          <w:bCs w:val="1"/>
          <w:color w:val="auto"/>
        </w:rPr>
        <w:t>Irvine, California 92618</w:t>
      </w:r>
    </w:p>
    <w:p>
      <w:pPr>
        <w:jc w:val="center"/>
        <w:ind w:right="-99"/>
        <w:spacing w:after="0" w:line="216" w:lineRule="auto"/>
        <w:rPr>
          <w:sz w:val="20"/>
          <w:szCs w:val="20"/>
          <w:color w:val="auto"/>
        </w:rPr>
      </w:pPr>
      <w:r>
        <w:rPr>
          <w:rFonts w:ascii="Arial" w:cs="Arial" w:eastAsia="Arial" w:hAnsi="Arial"/>
          <w:sz w:val="13"/>
          <w:szCs w:val="13"/>
          <w:b w:val="1"/>
          <w:bCs w:val="1"/>
          <w:color w:val="auto"/>
        </w:rPr>
        <w:t>(949) 409-9820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860" w:type="dxa"/>
        <w:tblCellMar>
          <w:top w:w="0" w:type="dxa"/>
          <w:left w:w="0" w:type="dxa"/>
          <w:bottom w:w="0" w:type="dxa"/>
          <w:right w:w="0" w:type="dxa"/>
        </w:tblCellMar>
      </w:tblPr>
      <w:tr>
        <w:trPr>
          <w:trHeight w:val="160"/>
        </w:trPr>
        <w:tc>
          <w:tcPr>
            <w:tcW w:w="2800" w:type="dxa"/>
            <w:vAlign w:val="bottom"/>
          </w:tcPr>
          <w:p>
            <w:pPr>
              <w:spacing w:after="0"/>
              <w:rPr>
                <w:sz w:val="13"/>
                <w:szCs w:val="13"/>
                <w:color w:val="auto"/>
              </w:rPr>
            </w:pPr>
          </w:p>
        </w:tc>
        <w:tc>
          <w:tcPr>
            <w:tcW w:w="4840" w:type="dxa"/>
            <w:vAlign w:val="bottom"/>
          </w:tcPr>
          <w:p>
            <w:pPr>
              <w:ind w:left="700"/>
              <w:spacing w:after="0"/>
              <w:rPr>
                <w:sz w:val="20"/>
                <w:szCs w:val="20"/>
                <w:color w:val="auto"/>
              </w:rPr>
            </w:pPr>
            <w:r>
              <w:rPr>
                <w:rFonts w:ascii="Arial" w:cs="Arial" w:eastAsia="Arial" w:hAnsi="Arial"/>
                <w:sz w:val="13"/>
                <w:szCs w:val="13"/>
                <w:b w:val="1"/>
                <w:bCs w:val="1"/>
                <w:i w:val="1"/>
                <w:iCs w:val="1"/>
                <w:color w:val="auto"/>
              </w:rPr>
              <w:t>Copies to:</w:t>
            </w:r>
          </w:p>
        </w:tc>
      </w:tr>
      <w:tr>
        <w:trPr>
          <w:trHeight w:val="146"/>
        </w:trPr>
        <w:tc>
          <w:tcPr>
            <w:tcW w:w="2800" w:type="dxa"/>
            <w:vAlign w:val="bottom"/>
          </w:tcPr>
          <w:p>
            <w:pPr>
              <w:jc w:val="center"/>
              <w:ind w:right="677"/>
              <w:spacing w:after="0" w:line="146" w:lineRule="exact"/>
              <w:rPr>
                <w:sz w:val="20"/>
                <w:szCs w:val="20"/>
                <w:color w:val="auto"/>
              </w:rPr>
            </w:pPr>
            <w:r>
              <w:rPr>
                <w:rFonts w:ascii="Arial" w:cs="Arial" w:eastAsia="Arial" w:hAnsi="Arial"/>
                <w:sz w:val="13"/>
                <w:szCs w:val="13"/>
                <w:b w:val="1"/>
                <w:bCs w:val="1"/>
                <w:color w:val="auto"/>
                <w:w w:val="89"/>
              </w:rPr>
              <w:t>Ilan Lovinsky</w:t>
            </w:r>
          </w:p>
        </w:tc>
        <w:tc>
          <w:tcPr>
            <w:tcW w:w="4840" w:type="dxa"/>
            <w:vAlign w:val="bottom"/>
          </w:tcPr>
          <w:p>
            <w:pPr>
              <w:jc w:val="center"/>
              <w:ind w:left="2677"/>
              <w:spacing w:after="0" w:line="146" w:lineRule="exact"/>
              <w:rPr>
                <w:sz w:val="20"/>
                <w:szCs w:val="20"/>
                <w:color w:val="auto"/>
              </w:rPr>
            </w:pPr>
            <w:r>
              <w:rPr>
                <w:rFonts w:ascii="Arial" w:cs="Arial" w:eastAsia="Arial" w:hAnsi="Arial"/>
                <w:sz w:val="13"/>
                <w:szCs w:val="13"/>
                <w:b w:val="1"/>
                <w:bCs w:val="1"/>
                <w:color w:val="auto"/>
                <w:w w:val="89"/>
              </w:rPr>
              <w:t>Leonard M. Greenstein</w:t>
            </w:r>
          </w:p>
        </w:tc>
      </w:tr>
      <w:tr>
        <w:trPr>
          <w:trHeight w:val="135"/>
        </w:trPr>
        <w:tc>
          <w:tcPr>
            <w:tcW w:w="28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7"/>
              </w:rPr>
              <w:t>Ryan J. Gunderson</w:t>
            </w:r>
          </w:p>
        </w:tc>
        <w:tc>
          <w:tcPr>
            <w:tcW w:w="4840" w:type="dxa"/>
            <w:vAlign w:val="bottom"/>
          </w:tcPr>
          <w:p>
            <w:pPr>
              <w:jc w:val="center"/>
              <w:ind w:left="2697"/>
              <w:spacing w:after="0" w:line="135" w:lineRule="exact"/>
              <w:rPr>
                <w:sz w:val="20"/>
                <w:szCs w:val="20"/>
                <w:color w:val="auto"/>
              </w:rPr>
            </w:pPr>
            <w:r>
              <w:rPr>
                <w:rFonts w:ascii="Arial" w:cs="Arial" w:eastAsia="Arial" w:hAnsi="Arial"/>
                <w:sz w:val="13"/>
                <w:szCs w:val="13"/>
                <w:b w:val="1"/>
                <w:bCs w:val="1"/>
                <w:color w:val="auto"/>
                <w:w w:val="89"/>
              </w:rPr>
              <w:t>Chief Financial Officer</w:t>
            </w:r>
          </w:p>
        </w:tc>
      </w:tr>
      <w:tr>
        <w:trPr>
          <w:trHeight w:val="135"/>
        </w:trPr>
        <w:tc>
          <w:tcPr>
            <w:tcW w:w="28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9"/>
              </w:rPr>
              <w:t>Leanne A. Gould</w:t>
            </w:r>
          </w:p>
        </w:tc>
        <w:tc>
          <w:tcPr>
            <w:tcW w:w="4840" w:type="dxa"/>
            <w:vAlign w:val="bottom"/>
          </w:tcPr>
          <w:p>
            <w:pPr>
              <w:jc w:val="center"/>
              <w:ind w:left="2697"/>
              <w:spacing w:after="0" w:line="135" w:lineRule="exact"/>
              <w:rPr>
                <w:sz w:val="20"/>
                <w:szCs w:val="20"/>
                <w:color w:val="auto"/>
              </w:rPr>
            </w:pPr>
            <w:r>
              <w:rPr>
                <w:rFonts w:ascii="Arial" w:cs="Arial" w:eastAsia="Arial" w:hAnsi="Arial"/>
                <w:sz w:val="13"/>
                <w:szCs w:val="13"/>
                <w:b w:val="1"/>
                <w:bCs w:val="1"/>
                <w:color w:val="auto"/>
                <w:w w:val="89"/>
              </w:rPr>
              <w:t>Bryan Wahl</w:t>
            </w:r>
          </w:p>
        </w:tc>
      </w:tr>
      <w:tr>
        <w:trPr>
          <w:trHeight w:val="135"/>
        </w:trPr>
        <w:tc>
          <w:tcPr>
            <w:tcW w:w="28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7"/>
              </w:rPr>
              <w:t>Gunderson Dettmer Stough Villeneuve</w:t>
            </w:r>
          </w:p>
        </w:tc>
        <w:tc>
          <w:tcPr>
            <w:tcW w:w="4840" w:type="dxa"/>
            <w:vAlign w:val="bottom"/>
          </w:tcPr>
          <w:p>
            <w:pPr>
              <w:jc w:val="center"/>
              <w:ind w:left="2677"/>
              <w:spacing w:after="0" w:line="135" w:lineRule="exact"/>
              <w:rPr>
                <w:sz w:val="20"/>
                <w:szCs w:val="20"/>
                <w:color w:val="auto"/>
              </w:rPr>
            </w:pPr>
            <w:r>
              <w:rPr>
                <w:rFonts w:ascii="Arial" w:cs="Arial" w:eastAsia="Arial" w:hAnsi="Arial"/>
                <w:sz w:val="13"/>
                <w:szCs w:val="13"/>
                <w:b w:val="1"/>
                <w:bCs w:val="1"/>
                <w:color w:val="auto"/>
                <w:w w:val="87"/>
              </w:rPr>
              <w:t>General Counsel</w:t>
            </w:r>
          </w:p>
        </w:tc>
      </w:tr>
      <w:tr>
        <w:trPr>
          <w:trHeight w:val="135"/>
        </w:trPr>
        <w:tc>
          <w:tcPr>
            <w:tcW w:w="2800" w:type="dxa"/>
            <w:vAlign w:val="bottom"/>
          </w:tcPr>
          <w:p>
            <w:pPr>
              <w:jc w:val="center"/>
              <w:ind w:right="677"/>
              <w:spacing w:after="0" w:line="135" w:lineRule="exact"/>
              <w:rPr>
                <w:sz w:val="20"/>
                <w:szCs w:val="20"/>
                <w:color w:val="auto"/>
              </w:rPr>
            </w:pPr>
            <w:r>
              <w:rPr>
                <w:rFonts w:ascii="Arial" w:cs="Arial" w:eastAsia="Arial" w:hAnsi="Arial"/>
                <w:sz w:val="13"/>
                <w:szCs w:val="13"/>
                <w:b w:val="1"/>
                <w:bCs w:val="1"/>
                <w:color w:val="auto"/>
                <w:w w:val="93"/>
              </w:rPr>
              <w:t>Franklin &amp; Hachigian, LLP</w:t>
            </w:r>
          </w:p>
        </w:tc>
        <w:tc>
          <w:tcPr>
            <w:tcW w:w="4840" w:type="dxa"/>
            <w:vAlign w:val="bottom"/>
          </w:tcPr>
          <w:p>
            <w:pPr>
              <w:jc w:val="center"/>
              <w:ind w:left="2697"/>
              <w:spacing w:after="0" w:line="135" w:lineRule="exact"/>
              <w:rPr>
                <w:sz w:val="20"/>
                <w:szCs w:val="20"/>
                <w:color w:val="auto"/>
              </w:rPr>
            </w:pPr>
            <w:r>
              <w:rPr>
                <w:rFonts w:ascii="Arial" w:cs="Arial" w:eastAsia="Arial" w:hAnsi="Arial"/>
                <w:sz w:val="13"/>
                <w:szCs w:val="13"/>
                <w:b w:val="1"/>
                <w:bCs w:val="1"/>
                <w:color w:val="auto"/>
                <w:w w:val="87"/>
              </w:rPr>
              <w:t>Tarsus Pharmaceuticals, Inc.</w:t>
            </w:r>
          </w:p>
        </w:tc>
      </w:tr>
      <w:tr>
        <w:trPr>
          <w:trHeight w:val="135"/>
        </w:trPr>
        <w:tc>
          <w:tcPr>
            <w:tcW w:w="28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9"/>
              </w:rPr>
              <w:t>3570 Carmel Mountain Rd., Suite 200</w:t>
            </w:r>
          </w:p>
        </w:tc>
        <w:tc>
          <w:tcPr>
            <w:tcW w:w="4840" w:type="dxa"/>
            <w:vAlign w:val="bottom"/>
          </w:tcPr>
          <w:p>
            <w:pPr>
              <w:jc w:val="center"/>
              <w:ind w:left="2697"/>
              <w:spacing w:after="0" w:line="135" w:lineRule="exact"/>
              <w:rPr>
                <w:sz w:val="20"/>
                <w:szCs w:val="20"/>
                <w:color w:val="auto"/>
              </w:rPr>
            </w:pPr>
            <w:r>
              <w:rPr>
                <w:rFonts w:ascii="Arial" w:cs="Arial" w:eastAsia="Arial" w:hAnsi="Arial"/>
                <w:sz w:val="13"/>
                <w:szCs w:val="13"/>
                <w:b w:val="1"/>
                <w:bCs w:val="1"/>
                <w:color w:val="auto"/>
                <w:w w:val="87"/>
              </w:rPr>
              <w:t>15440 Laguna Canyon Road, Suite 160</w:t>
            </w:r>
          </w:p>
        </w:tc>
      </w:tr>
      <w:tr>
        <w:trPr>
          <w:trHeight w:val="135"/>
        </w:trPr>
        <w:tc>
          <w:tcPr>
            <w:tcW w:w="28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6"/>
              </w:rPr>
              <w:t>San Diego, CA 92130</w:t>
            </w:r>
          </w:p>
        </w:tc>
        <w:tc>
          <w:tcPr>
            <w:tcW w:w="4840" w:type="dxa"/>
            <w:vAlign w:val="bottom"/>
          </w:tcPr>
          <w:p>
            <w:pPr>
              <w:jc w:val="center"/>
              <w:ind w:left="2697"/>
              <w:spacing w:after="0" w:line="135" w:lineRule="exact"/>
              <w:rPr>
                <w:sz w:val="20"/>
                <w:szCs w:val="20"/>
                <w:color w:val="auto"/>
              </w:rPr>
            </w:pPr>
            <w:r>
              <w:rPr>
                <w:rFonts w:ascii="Arial" w:cs="Arial" w:eastAsia="Arial" w:hAnsi="Arial"/>
                <w:sz w:val="13"/>
                <w:szCs w:val="13"/>
                <w:b w:val="1"/>
                <w:bCs w:val="1"/>
                <w:color w:val="auto"/>
                <w:w w:val="90"/>
              </w:rPr>
              <w:t>Irvine, California 92618</w:t>
            </w:r>
          </w:p>
        </w:tc>
      </w:tr>
      <w:tr>
        <w:trPr>
          <w:trHeight w:val="164"/>
        </w:trPr>
        <w:tc>
          <w:tcPr>
            <w:tcW w:w="2800" w:type="dxa"/>
            <w:vAlign w:val="bottom"/>
          </w:tcPr>
          <w:p>
            <w:pPr>
              <w:jc w:val="center"/>
              <w:ind w:right="657"/>
              <w:spacing w:after="0"/>
              <w:rPr>
                <w:sz w:val="20"/>
                <w:szCs w:val="20"/>
                <w:color w:val="auto"/>
              </w:rPr>
            </w:pPr>
            <w:r>
              <w:rPr>
                <w:rFonts w:ascii="Arial" w:cs="Arial" w:eastAsia="Arial" w:hAnsi="Arial"/>
                <w:sz w:val="13"/>
                <w:szCs w:val="13"/>
                <w:b w:val="1"/>
                <w:bCs w:val="1"/>
                <w:color w:val="auto"/>
                <w:w w:val="89"/>
              </w:rPr>
              <w:t>(858) 436-8000</w:t>
            </w:r>
          </w:p>
        </w:tc>
        <w:tc>
          <w:tcPr>
            <w:tcW w:w="4840" w:type="dxa"/>
            <w:vAlign w:val="bottom"/>
          </w:tcPr>
          <w:p>
            <w:pPr>
              <w:jc w:val="center"/>
              <w:ind w:left="2697"/>
              <w:spacing w:after="0"/>
              <w:rPr>
                <w:sz w:val="20"/>
                <w:szCs w:val="20"/>
                <w:color w:val="auto"/>
              </w:rPr>
            </w:pPr>
            <w:r>
              <w:rPr>
                <w:rFonts w:ascii="Arial" w:cs="Arial" w:eastAsia="Arial" w:hAnsi="Arial"/>
                <w:sz w:val="13"/>
                <w:szCs w:val="13"/>
                <w:b w:val="1"/>
                <w:bCs w:val="1"/>
                <w:color w:val="auto"/>
                <w:w w:val="89"/>
              </w:rPr>
              <w:t>(949) 409-9820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30" w:lineRule="exact"/>
        <w:rPr>
          <w:sz w:val="24"/>
          <w:szCs w:val="24"/>
          <w:color w:val="auto"/>
        </w:rPr>
      </w:pPr>
    </w:p>
    <w:p>
      <w:pPr>
        <w:ind w:left="3800"/>
        <w:spacing w:after="0"/>
        <w:rPr>
          <w:sz w:val="20"/>
          <w:szCs w:val="20"/>
          <w:color w:val="auto"/>
        </w:rPr>
      </w:pPr>
      <w:r>
        <w:rPr>
          <w:rFonts w:ascii="Arial" w:cs="Arial" w:eastAsia="Arial" w:hAnsi="Arial"/>
          <w:sz w:val="13"/>
          <w:szCs w:val="13"/>
          <w:color w:val="auto"/>
        </w:rPr>
        <w:t>From time to time, after the effective date of this Registration Statement.</w:t>
      </w:r>
    </w:p>
    <w:p>
      <w:pPr>
        <w:spacing w:after="0" w:line="11"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ind w:left="120" w:right="4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60"/>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2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52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180"/>
        <w:spacing w:after="0" w:line="161"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left="120" w:right="560"/>
        <w:spacing w:after="0" w:line="22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3"/>
                <w:szCs w:val="13"/>
                <w:color w:val="auto"/>
                <w:w w:val="97"/>
              </w:rPr>
              <w:t>Large accelerated filer</w:t>
            </w:r>
          </w:p>
        </w:tc>
        <w:tc>
          <w:tcPr>
            <w:tcW w:w="40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740"/>
              <w:spacing w:after="0"/>
              <w:rPr>
                <w:sz w:val="20"/>
                <w:szCs w:val="20"/>
                <w:color w:val="auto"/>
              </w:rPr>
            </w:pPr>
            <w:r>
              <w:rPr>
                <w:rFonts w:ascii="Arial" w:cs="Arial" w:eastAsia="Arial" w:hAnsi="Arial"/>
                <w:sz w:val="13"/>
                <w:szCs w:val="13"/>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3"/>
        </w:trPr>
        <w:tc>
          <w:tcPr>
            <w:tcW w:w="12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740"/>
              <w:spacing w:after="0"/>
              <w:rPr>
                <w:sz w:val="20"/>
                <w:szCs w:val="20"/>
                <w:color w:val="auto"/>
              </w:rPr>
            </w:pPr>
            <w:r>
              <w:rPr>
                <w:rFonts w:ascii="Arial" w:cs="Arial" w:eastAsia="Arial" w:hAnsi="Arial"/>
                <w:sz w:val="13"/>
                <w:szCs w:val="13"/>
                <w:color w:val="auto"/>
                <w:w w:val="99"/>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2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300" w:type="dxa"/>
            <w:vAlign w:val="bottom"/>
          </w:tcPr>
          <w:p>
            <w:pPr>
              <w:ind w:left="3740"/>
              <w:spacing w:after="0"/>
              <w:rPr>
                <w:sz w:val="20"/>
                <w:szCs w:val="20"/>
                <w:color w:val="auto"/>
              </w:rPr>
            </w:pPr>
            <w:r>
              <w:rPr>
                <w:rFonts w:ascii="Arial" w:cs="Arial" w:eastAsia="Arial" w:hAnsi="Arial"/>
                <w:sz w:val="13"/>
                <w:szCs w:val="13"/>
                <w:color w:val="auto"/>
                <w:w w:val="99"/>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6"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97"/>
        </w:trPr>
        <w:tc>
          <w:tcPr>
            <w:tcW w:w="774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ind w:left="300"/>
              <w:spacing w:after="0" w:line="98" w:lineRule="exact"/>
              <w:rPr>
                <w:sz w:val="20"/>
                <w:szCs w:val="20"/>
                <w:color w:val="auto"/>
              </w:rPr>
            </w:pPr>
            <w:r>
              <w:rPr>
                <w:rFonts w:ascii="Arial" w:cs="Arial" w:eastAsia="Arial" w:hAnsi="Arial"/>
                <w:sz w:val="10"/>
                <w:szCs w:val="10"/>
                <w:b w:val="1"/>
                <w:bCs w:val="1"/>
                <w:color w:val="auto"/>
              </w:rPr>
              <w:t>Proposed Maximum</w:t>
            </w:r>
          </w:p>
        </w:tc>
        <w:tc>
          <w:tcPr>
            <w:tcW w:w="1640" w:type="dxa"/>
            <w:vAlign w:val="bottom"/>
          </w:tcPr>
          <w:p>
            <w:pPr>
              <w:spacing w:after="0"/>
              <w:rPr>
                <w:sz w:val="8"/>
                <w:szCs w:val="8"/>
                <w:color w:val="auto"/>
              </w:rPr>
            </w:pPr>
          </w:p>
        </w:tc>
      </w:tr>
      <w:tr>
        <w:trPr>
          <w:trHeight w:val="135"/>
        </w:trPr>
        <w:tc>
          <w:tcPr>
            <w:tcW w:w="7740" w:type="dxa"/>
            <w:vAlign w:val="bottom"/>
            <w:tcBorders>
              <w:right w:val="single" w:sz="8" w:color="auto"/>
            </w:tcBorders>
          </w:tcPr>
          <w:p>
            <w:pPr>
              <w:ind w:left="3280"/>
              <w:spacing w:after="0" w:line="135" w:lineRule="exact"/>
              <w:rPr>
                <w:sz w:val="20"/>
                <w:szCs w:val="20"/>
                <w:color w:val="auto"/>
              </w:rPr>
            </w:pPr>
            <w:r>
              <w:rPr>
                <w:rFonts w:ascii="Arial" w:cs="Arial" w:eastAsia="Arial" w:hAnsi="Arial"/>
                <w:sz w:val="13"/>
                <w:szCs w:val="13"/>
                <w:b w:val="1"/>
                <w:bCs w:val="1"/>
                <w:color w:val="auto"/>
              </w:rPr>
              <w:t>Title of Each Class of</w:t>
            </w:r>
          </w:p>
        </w:tc>
        <w:tc>
          <w:tcPr>
            <w:tcW w:w="1640" w:type="dxa"/>
            <w:vAlign w:val="bottom"/>
            <w:tcBorders>
              <w:right w:val="single" w:sz="8" w:color="auto"/>
            </w:tcBorders>
          </w:tcPr>
          <w:p>
            <w:pPr>
              <w:ind w:left="340"/>
              <w:spacing w:after="0" w:line="135" w:lineRule="exact"/>
              <w:rPr>
                <w:sz w:val="20"/>
                <w:szCs w:val="20"/>
                <w:color w:val="auto"/>
              </w:rPr>
            </w:pPr>
            <w:r>
              <w:rPr>
                <w:rFonts w:ascii="Arial" w:cs="Arial" w:eastAsia="Arial" w:hAnsi="Arial"/>
                <w:sz w:val="13"/>
                <w:szCs w:val="13"/>
                <w:b w:val="1"/>
                <w:bCs w:val="1"/>
                <w:color w:val="auto"/>
              </w:rPr>
              <w:t>Aggregate Offering</w:t>
            </w:r>
          </w:p>
        </w:tc>
        <w:tc>
          <w:tcPr>
            <w:tcW w:w="16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7740" w:type="dxa"/>
            <w:vAlign w:val="bottom"/>
            <w:tcBorders>
              <w:bottom w:val="single" w:sz="8" w:color="auto"/>
              <w:right w:val="single" w:sz="8" w:color="auto"/>
            </w:tcBorders>
          </w:tcPr>
          <w:p>
            <w:pPr>
              <w:ind w:left="3140"/>
              <w:spacing w:after="0"/>
              <w:rPr>
                <w:sz w:val="20"/>
                <w:szCs w:val="20"/>
                <w:color w:val="auto"/>
              </w:rPr>
            </w:pPr>
            <w:r>
              <w:rPr>
                <w:rFonts w:ascii="Arial" w:cs="Arial" w:eastAsia="Arial" w:hAnsi="Arial"/>
                <w:sz w:val="13"/>
                <w:szCs w:val="13"/>
                <w:b w:val="1"/>
                <w:bCs w:val="1"/>
                <w:color w:val="auto"/>
              </w:rPr>
              <w:t>Securities to be Registered</w:t>
            </w:r>
          </w:p>
        </w:tc>
        <w:tc>
          <w:tcPr>
            <w:tcW w:w="164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90"/>
              </w:rPr>
              <w:t>Price(1)(2)(3)</w:t>
            </w:r>
          </w:p>
        </w:tc>
        <w:tc>
          <w:tcPr>
            <w:tcW w:w="16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Registration Fee</w:t>
            </w: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$0.0001 par value per share</w:t>
            </w:r>
          </w:p>
        </w:tc>
        <w:tc>
          <w:tcPr>
            <w:tcW w:w="1640" w:type="dxa"/>
            <w:vAlign w:val="bottom"/>
            <w:tcBorders>
              <w:bottom w:val="single" w:sz="8" w:color="auto"/>
              <w:right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r>
      <w:tr>
        <w:trPr>
          <w:trHeight w:val="128"/>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Preferred Stock, $0.0001 par value per share</w:t>
            </w:r>
          </w:p>
        </w:tc>
        <w:tc>
          <w:tcPr>
            <w:tcW w:w="1640" w:type="dxa"/>
            <w:vAlign w:val="bottom"/>
            <w:tcBorders>
              <w:bottom w:val="single" w:sz="8" w:color="auto"/>
              <w:right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Debt Securities</w:t>
            </w:r>
          </w:p>
        </w:tc>
        <w:tc>
          <w:tcPr>
            <w:tcW w:w="1640" w:type="dxa"/>
            <w:vAlign w:val="bottom"/>
            <w:tcBorders>
              <w:bottom w:val="single" w:sz="8" w:color="auto"/>
              <w:right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Warrants</w:t>
            </w:r>
          </w:p>
        </w:tc>
        <w:tc>
          <w:tcPr>
            <w:tcW w:w="1640" w:type="dxa"/>
            <w:vAlign w:val="bottom"/>
            <w:tcBorders>
              <w:bottom w:val="single" w:sz="8" w:color="auto"/>
              <w:right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Units</w:t>
            </w:r>
          </w:p>
        </w:tc>
        <w:tc>
          <w:tcPr>
            <w:tcW w:w="1640" w:type="dxa"/>
            <w:vAlign w:val="bottom"/>
            <w:tcBorders>
              <w:bottom w:val="single" w:sz="8" w:color="auto"/>
              <w:right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760"/>
              <w:spacing w:after="0" w:line="129" w:lineRule="exact"/>
              <w:rPr>
                <w:sz w:val="20"/>
                <w:szCs w:val="20"/>
                <w:color w:val="auto"/>
              </w:rPr>
            </w:pPr>
            <w:r>
              <w:rPr>
                <w:rFonts w:ascii="Arial" w:cs="Arial" w:eastAsia="Arial" w:hAnsi="Arial"/>
                <w:sz w:val="13"/>
                <w:szCs w:val="13"/>
                <w:color w:val="auto"/>
              </w:rPr>
              <w:t>—</w:t>
            </w:r>
          </w:p>
        </w:tc>
      </w:tr>
      <w:tr>
        <w:trPr>
          <w:trHeight w:val="128"/>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 Registration Fee</w:t>
            </w:r>
          </w:p>
        </w:tc>
        <w:tc>
          <w:tcPr>
            <w:tcW w:w="1640" w:type="dxa"/>
            <w:vAlign w:val="bottom"/>
            <w:tcBorders>
              <w:bottom w:val="single" w:sz="8" w:color="auto"/>
              <w:right w:val="single" w:sz="8" w:color="auto"/>
            </w:tcBorders>
          </w:tcPr>
          <w:p>
            <w:pPr>
              <w:jc w:val="right"/>
              <w:ind w:right="278"/>
              <w:spacing w:after="0" w:line="129" w:lineRule="exact"/>
              <w:rPr>
                <w:sz w:val="20"/>
                <w:szCs w:val="20"/>
                <w:color w:val="auto"/>
              </w:rPr>
            </w:pPr>
            <w:r>
              <w:rPr>
                <w:rFonts w:ascii="Arial" w:cs="Arial" w:eastAsia="Arial" w:hAnsi="Arial"/>
                <w:sz w:val="13"/>
                <w:szCs w:val="13"/>
                <w:color w:val="auto"/>
              </w:rPr>
              <w:t>$300,000,000 (3)</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90"/>
              </w:rPr>
              <w:t>$27,810 (4)</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440" w:right="200" w:hanging="324"/>
        <w:spacing w:after="0" w:line="242"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securities registered hereunder include such indeterminate number of shares of common stock and preferred stock, debt securities, warrants, and units as may be issued upon conversion or exchange of any preferred stock or warrants registered hereunder that provide for conversion or exchange, upon exercise of warrants or pursuant to the anti-dilution provisions of any such securities.</w:t>
      </w:r>
    </w:p>
    <w:p>
      <w:pPr>
        <w:ind w:left="440" w:right="240" w:hanging="324"/>
        <w:spacing w:after="0" w:line="234"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proposed maximum per unit and aggregate offering prices per class of securities will be determined from time to time by the registrant in connection with the issuance by the registrant of the securities registered under this registration statement and is not specified as to each class of security pursuant to General Instruction II.D of Form S-3 under the Securities Act of 1933, as amended, or the Securities Act. With respect to debt securities, the public offering price therefor excludes accrued interest and accrued amortization of discount, if any, to the date of delivery.</w:t>
      </w:r>
    </w:p>
    <w:p>
      <w:pPr>
        <w:spacing w:after="0" w:line="1" w:lineRule="exact"/>
        <w:rPr>
          <w:rFonts w:ascii="Arial" w:cs="Arial" w:eastAsia="Arial" w:hAnsi="Arial"/>
          <w:sz w:val="12"/>
          <w:szCs w:val="12"/>
          <w:color w:val="auto"/>
        </w:rPr>
      </w:pPr>
    </w:p>
    <w:p>
      <w:pPr>
        <w:ind w:left="440" w:right="22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Any securities registered hereunder may be sold separately or as units with other securities registered hereunder. The proposed maximum offering price per unit will be determined by us in connection with the issuance of the securities. In no event will the aggregate offering price of all securities issued by the registrant from time to time pursuant to this Registration Statement exceed $300,000,000 or the equivalent thereof in one or more foreign currencies, foreign currency units or composite currencies.</w:t>
      </w:r>
    </w:p>
    <w:p>
      <w:pPr>
        <w:spacing w:after="0" w:line="1"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w:t>
      </w:r>
    </w:p>
    <w:p>
      <w:pPr>
        <w:spacing w:after="0" w:line="53" w:lineRule="exact"/>
        <w:rPr>
          <w:sz w:val="24"/>
          <w:szCs w:val="24"/>
          <w:color w:val="auto"/>
        </w:rPr>
      </w:pPr>
    </w:p>
    <w:p>
      <w:pPr>
        <w:jc w:val="both"/>
        <w:ind w:left="120" w:right="1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4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$300 million in the aggregate of the securities identified above from time to time in one or more offerings;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sales agreement prospectus covering the offering, issuance and sale by us of up to a maximum aggregate offering price of $100 million of our common stock that may be issued and sold under an Open Market Sale Agreement</w:t>
      </w:r>
      <w:r>
        <w:rPr>
          <w:rFonts w:ascii="Arial" w:cs="Arial" w:eastAsia="Arial" w:hAnsi="Arial"/>
          <w:sz w:val="13"/>
          <w:szCs w:val="13"/>
          <w:color w:val="auto"/>
        </w:rPr>
        <w:t>SM</w:t>
      </w:r>
      <w:r>
        <w:rPr>
          <w:rFonts w:ascii="Arial" w:cs="Arial" w:eastAsia="Arial" w:hAnsi="Arial"/>
          <w:sz w:val="16"/>
          <w:szCs w:val="16"/>
          <w:color w:val="auto"/>
        </w:rPr>
        <w:t>, or the Sale Agreement, with Jefferies LLC.</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sales agreement prospectus immediately follows the base prospectus. The $100 million of common stock that may be offered, issued and sold by the Registrant under the Sale Agreement prospectus is included in the $300 million of securities that may be offered, issued and sold by the Registrant under the base prospectus. Upon termination of the Sale Agreement with Jefferies, any portion of the $100 million included in the Sale Agreement prospectus that is not sold pursuant to the Sale Agreement will be available for sale in other offerings pursuant to the base prospectus, and if no shares are sold under the Sale Agreement, the full $300 million of securities may be sold in other offerings by us pursuant to the base prospectus and a corresponding prospectus supplement.</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NOVEMBER 1, 2021</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68580</wp:posOffset>
            </wp:positionV>
            <wp:extent cx="2065655" cy="141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5655"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$300,000,000</w:t>
      </w:r>
    </w:p>
    <w:p>
      <w:pPr>
        <w:spacing w:after="0" w:line="8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3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common stock is listed on the Nasdaq Global Select Market, or Nasdaq, under the symbol “TARS.” On October 29, 2021, the last reported sale price for our common stock was $27.76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8" w:lineRule="exact"/>
        <w:rPr>
          <w:sz w:val="20"/>
          <w:szCs w:val="20"/>
          <w:color w:val="auto"/>
        </w:rPr>
      </w:pPr>
    </w:p>
    <w:p>
      <w:pPr>
        <w:ind w:left="120" w:right="80" w:firstLine="440"/>
        <w:spacing w:after="0" w:line="25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SIGNIFICANT RISKS. SEE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1"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41"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220" w:type="dxa"/>
            <w:vAlign w:val="bottom"/>
            <w:tcBorders>
              <w:top w:val="single" w:sz="8" w:color="0000EE"/>
            </w:tcBorders>
            <w:gridSpan w:val="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PROSPECTUS SUMMARY</w:t>
              </w:r>
            </w:hyperlink>
          </w:p>
        </w:tc>
        <w:tc>
          <w:tcPr>
            <w:tcW w:w="8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080" w:type="dxa"/>
            <w:vAlign w:val="bottom"/>
            <w:tcBorders>
              <w:top w:val="single" w:sz="8" w:color="0000EE"/>
            </w:tcBorders>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58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1"/>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DESCRIPTION OF DEBT SECURITIES</w:t>
              </w:r>
            </w:hyperlink>
          </w:p>
        </w:tc>
        <w:tc>
          <w:tcPr>
            <w:tcW w:w="762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DESCRIPTION OF WARRANTS</w:t>
              </w:r>
            </w:hyperlink>
          </w:p>
        </w:tc>
        <w:tc>
          <w:tcPr>
            <w:tcW w:w="81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DESCRIPTION OF UNITS</w:t>
              </w:r>
            </w:hyperlink>
          </w:p>
        </w:tc>
        <w:tc>
          <w:tcPr>
            <w:tcW w:w="86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LEGAL OWNERSHIP OF SECURITIES</w:t>
              </w:r>
            </w:hyperlink>
          </w:p>
        </w:tc>
        <w:tc>
          <w:tcPr>
            <w:tcW w:w="764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4"/>
                <w:szCs w:val="24"/>
                <w:color w:val="auto"/>
              </w:rPr>
            </w:pPr>
          </w:p>
        </w:tc>
        <w:tc>
          <w:tcPr>
            <w:tcW w:w="862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2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INFORMATION INCORPORATED BY REFERENCE</w:t>
              </w:r>
            </w:hyperlink>
          </w:p>
        </w:tc>
        <w:tc>
          <w:tcPr>
            <w:tcW w:w="66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8"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76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7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We were incorporated under the laws of the state of Delaware on November 17, 2016. Our principal executive offices are located at 15440 Laguna Canyon Road, Suite 160, Irvine, California 92618. Our main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telephone number is (949) 409-9820. Our website is www.tarsusrx.com. The information on, or that can be accessed through, our website address is not part of this prospectus and is not incorporated by reference herein.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160" w:firstLine="426"/>
        <w:spacing w:after="0" w:line="296" w:lineRule="auto"/>
        <w:rPr>
          <w:sz w:val="20"/>
          <w:szCs w:val="20"/>
          <w:color w:val="auto"/>
        </w:rPr>
      </w:pPr>
      <w:r>
        <w:rPr>
          <w:rFonts w:ascii="Arial" w:cs="Arial" w:eastAsia="Arial" w:hAnsi="Arial"/>
          <w:sz w:val="16"/>
          <w:szCs w:val="16"/>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an Emerging Growth Company</w:t>
      </w:r>
    </w:p>
    <w:p>
      <w:pPr>
        <w:spacing w:after="0" w:line="121"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currently are an “emerging growth company” as defined in the Jumpstart Our Business Startups Act of 2012, as amended, or JOBS Act. We will remain an emerging growth company until the earliest to occur of: (i) the last day of the fiscal year in which we have more than</w:t>
      </w:r>
    </w:p>
    <w:p>
      <w:pPr>
        <w:ind w:left="300"/>
        <w:spacing w:after="0" w:line="267" w:lineRule="auto"/>
        <w:rPr>
          <w:sz w:val="20"/>
          <w:szCs w:val="20"/>
          <w:color w:val="auto"/>
        </w:rPr>
      </w:pPr>
      <w:r>
        <w:rPr>
          <w:rFonts w:ascii="Arial" w:cs="Arial" w:eastAsia="Arial" w:hAnsi="Arial"/>
          <w:sz w:val="17"/>
          <w:szCs w:val="17"/>
          <w:color w:val="auto"/>
        </w:rPr>
        <w:t>$1.07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jc w:val="both"/>
        <w:ind w:left="300" w:right="80" w:firstLine="426"/>
        <w:spacing w:after="0" w:line="279" w:lineRule="auto"/>
        <w:rPr>
          <w:sz w:val="20"/>
          <w:szCs w:val="20"/>
          <w:color w:val="auto"/>
        </w:rPr>
      </w:pPr>
      <w:r>
        <w:rPr>
          <w:rFonts w:ascii="Arial" w:cs="Arial" w:eastAsia="Arial" w:hAnsi="Arial"/>
          <w:sz w:val="17"/>
          <w:szCs w:val="17"/>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our assets remaining after the payment of liabilities and any preferential rights of any outstanding preferred stock. Our common stock is described in greater detail in this prospectus under “Description of Capital Stock — Common Stock.”</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300" w:right="240" w:firstLine="426"/>
        <w:spacing w:after="0" w:line="301" w:lineRule="auto"/>
        <w:rPr>
          <w:sz w:val="20"/>
          <w:szCs w:val="20"/>
          <w:color w:val="auto"/>
        </w:rPr>
      </w:pPr>
      <w:r>
        <w:rPr>
          <w:rFonts w:ascii="Arial" w:cs="Arial" w:eastAsia="Arial" w:hAnsi="Arial"/>
          <w:sz w:val="16"/>
          <w:szCs w:val="16"/>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70"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Units</w:t>
      </w:r>
    </w:p>
    <w:p>
      <w:pPr>
        <w:spacing w:after="0" w:line="117"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Unless otherwise indicated in the prospectus supplement, we will use the net proceeds from the sale of securities offered by this prospectus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2021, there were 20,671,079 shares of our common stock outstanding held by approximately 35 stockholders of record, although we believe that there may be a significantly larger number of beneficial owners of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“TARS.” The transfer agent and registrar for our common stock is ComputerShare Trust Company, N.A. Its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 Louisville, KY 40202.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9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voting rights; and</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or all other preferences and relative, participating, optional or other special rights, privileges or qualifications, limitations or restrictions.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7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9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Provisions of the Indenture</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You should read the prospectus supplement or term sheet for the material terms of the offered debt securities and any underlying debt securities, including the following:</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 and whether the debt securities will be senior securities or subordinated securities of Tarsus;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not the principal amount of the debt securities, the portion of the principal amount payable upon acceleration of the maturity of the debt securities or how this portion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or dates, or how the date or dates will be determined or may be extended, when the principal of the debt securities will be payable;</w:t>
      </w:r>
    </w:p>
    <w:p>
      <w:pPr>
        <w:spacing w:after="0" w:line="153"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form in which we will issue the debt securities and whether we will have the option of issuing debt securities in “certificated” form;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debt securities are denominated and/or payable;</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provisions of Article Fourteen of the indenture described under “defeasance” are not applicable and any provisions in modification of, in addition to or in lieu of any of these provisions;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subordinated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granting special rights to the holders of the debt securities upon the occurrence of specified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contained in the applicable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debt securities will be convertible into or exchangeable for any other securities and the applicable terms and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guaranteed;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Payments on 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Covenants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for 30 days in payment of any interest on the debt securities of such series when it becomes due and payable;</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payment of principal of or any premium on the debt securities of such series at maturity or upon redemption or repayment when the same becomes due and payable;</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76" w:lineRule="exact"/>
        <w:rPr>
          <w:sz w:val="20"/>
          <w:szCs w:val="20"/>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of its obligations under the indenture and the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covenants of Tarsus or surrender any of its rights, or add any rights for the benefit of the holders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such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including any subordinated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maintain the qualification of the indenture under the Trust Indenture Act;</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any guarantee of one or more series of the debt securities; or</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9" w:lineRule="exact"/>
        <w:rPr>
          <w:sz w:val="20"/>
          <w:szCs w:val="20"/>
          <w:color w:val="auto"/>
        </w:rPr>
      </w:pPr>
    </w:p>
    <w:p>
      <w:pPr>
        <w:ind w:left="1080" w:right="100" w:hanging="424"/>
        <w:spacing w:after="0" w:line="29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92" w:lineRule="exact"/>
        <w:rPr>
          <w:sz w:val="20"/>
          <w:szCs w:val="20"/>
          <w:color w:val="auto"/>
        </w:rPr>
      </w:pPr>
    </w:p>
    <w:p>
      <w:pPr>
        <w:ind w:left="1080" w:right="1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29" w:lineRule="exact"/>
        <w:rPr>
          <w:sz w:val="20"/>
          <w:szCs w:val="20"/>
          <w:color w:val="auto"/>
        </w:rPr>
      </w:pPr>
    </w:p>
    <w:p>
      <w:pPr>
        <w:ind w:left="1080" w:right="360" w:hanging="424"/>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54"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Covenant defeasance and full defeasance are both subject to certain conditions, such as no default or event of default occurring and continuing, and no breach of any material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of the Indenture</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or term sheet, in a minimum denomination of $2,000 and amounts above the minimum denomination that are integral multiples of $1,000.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459" w:right="5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such securities will describe the terms of the warrants, including the following:</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securities that may be purchased upon exercise of the warrants;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and basic terms of the securities that may be purchased upon exercise of a warrant and the exercise price for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warrants upon a change in control or similar event; and</w:t>
      </w:r>
    </w:p>
    <w:p>
      <w:pPr>
        <w:spacing w:after="0" w:line="153" w:lineRule="exact"/>
        <w:rPr>
          <w:rFonts w:ascii="Arial" w:cs="Arial" w:eastAsia="Arial" w:hAnsi="Arial"/>
          <w:sz w:val="16"/>
          <w:szCs w:val="16"/>
          <w:color w:val="auto"/>
        </w:rPr>
      </w:pPr>
    </w:p>
    <w:p>
      <w:pPr>
        <w:ind w:left="1080" w:right="6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legal holder, if that is permitted in the future;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54" w:lineRule="exact"/>
        <w:rPr>
          <w:rFonts w:ascii="Arial" w:cs="Arial" w:eastAsia="Arial" w:hAnsi="Arial"/>
          <w:sz w:val="16"/>
          <w:szCs w:val="16"/>
          <w:color w:val="auto"/>
        </w:rPr>
      </w:pPr>
    </w:p>
    <w:p>
      <w:pPr>
        <w:ind w:left="1080" w:right="30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23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9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through underwriters or dealers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8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Delayed delivery contracts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making, stabilization and other transactions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transactions and hedging</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Electronic auctions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information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320" w:top="459" w:right="6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31, 2021;</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0000EE"/>
        </w:rPr>
      </w:pPr>
      <w:hyperlink r:id="rId56">
        <w:r>
          <w:rPr>
            <w:rFonts w:ascii="Arial" w:cs="Arial" w:eastAsia="Arial" w:hAnsi="Arial"/>
            <w:sz w:val="18"/>
            <w:szCs w:val="18"/>
            <w:color w:val="auto"/>
          </w:rPr>
          <w:t xml:space="preserve">our Quarterly Reports on Form 10-Q for the quarterly periods ended March 31, 2021 and June 30, 2021, filed with the SEC on </w:t>
        </w:r>
        <w:r>
          <w:rPr>
            <w:rFonts w:ascii="Arial" w:cs="Arial" w:eastAsia="Arial" w:hAnsi="Arial"/>
            <w:sz w:val="18"/>
            <w:szCs w:val="18"/>
            <w:u w:val="single" w:color="auto"/>
            <w:color w:val="0000EE"/>
          </w:rPr>
          <w:t>May 11,</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2021</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August 5, 2021</w:t>
        </w:r>
      </w:hyperlink>
      <w:hyperlink r:id="rId56">
        <w:r>
          <w:rPr>
            <w:rFonts w:ascii="Arial" w:cs="Arial" w:eastAsia="Arial" w:hAnsi="Arial"/>
            <w:sz w:val="18"/>
            <w:szCs w:val="18"/>
            <w:color w:val="000000"/>
          </w:rPr>
          <w:t>, respectively;</w:t>
        </w:r>
      </w:hyperlink>
    </w:p>
    <w:p>
      <w:pPr>
        <w:spacing w:after="0" w:line="75" w:lineRule="exact"/>
        <w:rPr>
          <w:rFonts w:ascii="Arial" w:cs="Arial" w:eastAsia="Arial" w:hAnsi="Arial"/>
          <w:sz w:val="18"/>
          <w:szCs w:val="18"/>
          <w:color w:val="0000EE"/>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8">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June 22, 2021</w:t>
        </w:r>
      </w:hyperlink>
      <w:r>
        <w:rPr>
          <w:rFonts w:ascii="Arial" w:cs="Arial" w:eastAsia="Arial" w:hAnsi="Arial"/>
          <w:sz w:val="18"/>
          <w:szCs w:val="18"/>
          <w:color w:val="auto"/>
        </w:rPr>
        <w:t xml:space="preserve">, and </w:t>
      </w:r>
      <w:hyperlink r:id="rId61">
        <w:r>
          <w:rPr>
            <w:rFonts w:ascii="Arial" w:cs="Arial" w:eastAsia="Arial" w:hAnsi="Arial"/>
            <w:sz w:val="18"/>
            <w:szCs w:val="18"/>
            <w:u w:val="single" w:color="auto"/>
            <w:color w:val="0000EE"/>
          </w:rPr>
          <w:t>August 12,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(each to the extent filed and not furnished);</w:t>
      </w:r>
    </w:p>
    <w:p>
      <w:pPr>
        <w:spacing w:after="0" w:line="75" w:lineRule="exact"/>
        <w:rPr>
          <w:rFonts w:ascii="Arial" w:cs="Arial" w:eastAsia="Arial" w:hAnsi="Arial"/>
          <w:sz w:val="18"/>
          <w:szCs w:val="18"/>
          <w:color w:val="auto"/>
        </w:rPr>
      </w:pPr>
    </w:p>
    <w:p>
      <w:pPr>
        <w:jc w:val="both"/>
        <w:ind w:left="1080" w:right="1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Form 10-K for the year ended December 31, 2020 from our </w:t>
      </w:r>
      <w:hyperlink r:id="rId62">
        <w:r>
          <w:rPr>
            <w:rFonts w:ascii="Arial" w:cs="Arial" w:eastAsia="Arial" w:hAnsi="Arial"/>
            <w:sz w:val="16"/>
            <w:szCs w:val="16"/>
            <w:u w:val="single" w:color="auto"/>
            <w:color w:val="0000EE"/>
          </w:rPr>
          <w:t>definitive proxy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statement relating to our 2021 annual meeting of stockholders, which was filed with the SEC on April 30, 2021; and</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October 13, 2020 pursuant to Section 12(b) of the Exchange Act.</w:t>
      </w:r>
    </w:p>
    <w:p>
      <w:pPr>
        <w:spacing w:after="0" w:line="170" w:lineRule="exact"/>
        <w:rPr>
          <w:rFonts w:ascii="Arial" w:cs="Arial" w:eastAsia="Arial" w:hAnsi="Arial"/>
          <w:sz w:val="16"/>
          <w:szCs w:val="16"/>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8" w:lineRule="exact"/>
        <w:rPr>
          <w:rFonts w:ascii="Arial" w:cs="Arial" w:eastAsia="Arial" w:hAnsi="Arial"/>
          <w:sz w:val="16"/>
          <w:szCs w:val="16"/>
          <w:color w:val="auto"/>
        </w:rPr>
      </w:pPr>
    </w:p>
    <w:p>
      <w:pPr>
        <w:ind w:left="120" w:firstLine="440"/>
        <w:spacing w:after="0" w:line="279" w:lineRule="auto"/>
        <w:rPr>
          <w:sz w:val="20"/>
          <w:szCs w:val="20"/>
          <w:color w:val="auto"/>
        </w:rPr>
      </w:pPr>
      <w:r>
        <w:rPr>
          <w:rFonts w:ascii="Arial" w:cs="Arial" w:eastAsia="Arial" w:hAnsi="Arial"/>
          <w:sz w:val="17"/>
          <w:szCs w:val="17"/>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1" w:lineRule="exact"/>
        <w:rPr>
          <w:rFonts w:ascii="Arial" w:cs="Arial" w:eastAsia="Arial" w:hAnsi="Arial"/>
          <w:sz w:val="16"/>
          <w:szCs w:val="16"/>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70"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should direct any requests for documents to:</w:t>
      </w:r>
    </w:p>
    <w:p>
      <w:pPr>
        <w:spacing w:after="0" w:line="225"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Tarsus Pharmaceuticals, Inc.</w:t>
      </w:r>
    </w:p>
    <w:p>
      <w:pPr>
        <w:spacing w:after="0" w:line="2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Irvine, California 92618</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(949) 409-9820</w:t>
      </w:r>
    </w:p>
    <w:p>
      <w:pPr>
        <w:spacing w:after="0" w:line="211" w:lineRule="exact"/>
        <w:rPr>
          <w:rFonts w:ascii="Arial" w:cs="Arial" w:eastAsia="Arial" w:hAnsi="Arial"/>
          <w:sz w:val="16"/>
          <w:szCs w:val="16"/>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Our reports and documents incorporated by reference herein may also be found in the “Investors &amp; News” section of our website at www.tarsusrx.com. Our website and the information contained in it or connected to it</w:t>
      </w:r>
    </w:p>
    <w:p>
      <w:pPr>
        <w:spacing w:after="0" w:line="10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459" w:right="6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648970</wp:posOffset>
            </wp:positionV>
            <wp:extent cx="2065655" cy="141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Common Stock</w:t>
      </w:r>
    </w:p>
    <w:p>
      <w:pPr>
        <w:spacing w:after="0" w:line="6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Preferred Stock</w:t>
      </w:r>
    </w:p>
    <w:p>
      <w:pPr>
        <w:spacing w:after="0" w:line="44"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Debt Securities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4477385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4537075</wp:posOffset>
            </wp:positionV>
            <wp:extent cx="699516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FF4338"/>
        </w:rPr>
        <w:t>The information in this prospectus supplement is not complete and may be changed. We may not sell these securities until the Securities and Exchange Commission declares our registration statement effective. This prospectus supplement is not an offer to sell these securities and is not soliciting an offer to buy these securities in any state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83185</wp:posOffset>
            </wp:positionV>
            <wp:extent cx="2065655" cy="141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$100,000,000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or the Sale Agreement, with Jefferies LLC, or Jefferies, dated November 1, 2021, relating to the sale of shares of our common stock, par value $0.0001 per share. In accordance with the terms of the Sale Agreement, under this prospectus supplement we may offer and sell shares of our common stock having an aggregate offering price of up to $100 million from time to time through Jefferies, acting as our agent.</w:t>
      </w:r>
    </w:p>
    <w:p>
      <w:pPr>
        <w:spacing w:after="0" w:line="7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“TARS.” On October 28, 2021, the closing price for our common stock, as reported on the Nasdaq Global Select Market, was $28.27 per share.</w:t>
      </w:r>
    </w:p>
    <w:p>
      <w:pPr>
        <w:spacing w:after="0" w:line="6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Sales of our common stock, if any, under this prospectus supplement may be made in sales deemed to be an “at the market offering” as defined in Rule 415(a)(4) promulgated under the Securities Act of 1933, as amended, or the Securities Act. Jefferies is not required to sell any specific number or dollar amount of securities, but will act as sales agent and use commercially reasonable efforts to sell on our behalf all of the shares of common stock requested to be sold by us, consistent with its normal trading and sales practices, on mutually agreed terms between us and Jefferies. There is no arrangement for funds to be received in any escrow, trust or similar arrangement.</w:t>
      </w:r>
    </w:p>
    <w:p>
      <w:pPr>
        <w:spacing w:after="0" w:line="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Jefferies will be entitled to a commission equal to 3.0% of the gross sales price per common share sold under the Sale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See “Plan of Distribution” beginning on page SA-14 for additional information regarding the compensation to be paid to Jefferies.</w:t>
      </w:r>
    </w:p>
    <w:p>
      <w:pPr>
        <w:spacing w:after="0" w:line="71" w:lineRule="exact"/>
        <w:rPr>
          <w:sz w:val="20"/>
          <w:szCs w:val="20"/>
          <w:color w:val="auto"/>
        </w:rPr>
      </w:pPr>
    </w:p>
    <w:p>
      <w:pPr>
        <w:ind w:left="120" w:right="100" w:firstLine="440"/>
        <w:spacing w:after="0" w:line="254"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OUR SECURITIES INVOLVES SIGNIFICANT RISKS. SEE “ </w:t>
      </w:r>
      <w:hyperlink w:anchor="page4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SA-7 OF THIS PROSPECTUS SUPPLEMENT AS WELL AS THE RISK FACTORS THAT ARE INCORPORATED BY REFERENCE INTO THIS PROSPECTUS SUPPLEMENT FROM OUR FILINGS WITH THE SECURITIES AND EXCHANGE COMMISSION, BEFORE INVESTING IN ANY OF OUR SECURITIES.</w:t>
      </w:r>
    </w:p>
    <w:p>
      <w:pPr>
        <w:spacing w:after="0" w:line="67"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5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Jefferies</w:t>
      </w:r>
    </w:p>
    <w:p>
      <w:pPr>
        <w:spacing w:after="0" w:line="126"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supplement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gridSpan w:val="10"/>
            <w:vMerge w:val="restart"/>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ABOUT THIS SALE AGREEMENT PROSPECTUS SUPPLEMENT</w:t>
              </w:r>
            </w:hyperlink>
          </w:p>
        </w:tc>
        <w:tc>
          <w:tcPr>
            <w:tcW w:w="5260" w:type="dxa"/>
            <w:vAlign w:val="bottom"/>
            <w:gridSpan w:val="2"/>
            <w:vMerge w:val="restart"/>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080" w:type="dxa"/>
            <w:vAlign w:val="bottom"/>
            <w:tcBorders>
              <w:bottom w:val="single" w:sz="8" w:color="0000EE"/>
            </w:tcBorders>
            <w:gridSpan w:val="10"/>
            <w:vMerge w:val="continue"/>
          </w:tcPr>
          <w:p>
            <w:pPr>
              <w:spacing w:after="0"/>
              <w:rPr>
                <w:sz w:val="13"/>
                <w:szCs w:val="13"/>
                <w:color w:val="auto"/>
              </w:rPr>
            </w:pPr>
          </w:p>
        </w:tc>
        <w:tc>
          <w:tcPr>
            <w:tcW w:w="5260" w:type="dxa"/>
            <w:vAlign w:val="bottom"/>
            <w:gridSpan w:val="2"/>
            <w:vMerge w:val="continue"/>
          </w:tcPr>
          <w:p>
            <w:pPr>
              <w:spacing w:after="0"/>
              <w:rPr>
                <w:sz w:val="13"/>
                <w:szCs w:val="13"/>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SA-3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THE OFFERING</w:t>
              </w:r>
            </w:hyperlink>
          </w:p>
        </w:tc>
        <w:tc>
          <w:tcPr>
            <w:tcW w:w="9060" w:type="dxa"/>
            <w:vAlign w:val="bottom"/>
            <w:gridSpan w:val="8"/>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304"/>
        </w:trPr>
        <w:tc>
          <w:tcPr>
            <w:tcW w:w="1034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4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SPECIAL NOTE REGARDING FORWARD-LOOKING STATEMENTS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SA-9</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5"/>
          </w:tcPr>
          <w:p>
            <w:pPr>
              <w:spacing w:after="0"/>
              <w:rPr>
                <w:sz w:val="24"/>
                <w:szCs w:val="24"/>
                <w:color w:val="auto"/>
              </w:rPr>
            </w:pPr>
          </w:p>
        </w:tc>
        <w:tc>
          <w:tcPr>
            <w:tcW w:w="50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SA-11</w:t>
            </w:r>
          </w:p>
        </w:tc>
        <w:tc>
          <w:tcPr>
            <w:tcW w:w="0" w:type="dxa"/>
            <w:vAlign w:val="bottom"/>
          </w:tcPr>
          <w:p>
            <w:pPr>
              <w:spacing w:after="0"/>
              <w:rPr>
                <w:sz w:val="1"/>
                <w:szCs w:val="1"/>
                <w:color w:val="auto"/>
              </w:rPr>
            </w:pPr>
          </w:p>
        </w:tc>
      </w:tr>
      <w:tr>
        <w:trPr>
          <w:trHeight w:val="304"/>
        </w:trPr>
        <w:tc>
          <w:tcPr>
            <w:tcW w:w="8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DILUTION</w:t>
              </w:r>
            </w:hyperlink>
          </w:p>
        </w:tc>
        <w:tc>
          <w:tcPr>
            <w:tcW w:w="9480" w:type="dxa"/>
            <w:vAlign w:val="bottom"/>
            <w:gridSpan w:val="10"/>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SA-12</w:t>
            </w:r>
          </w:p>
        </w:tc>
        <w:tc>
          <w:tcPr>
            <w:tcW w:w="0" w:type="dxa"/>
            <w:vAlign w:val="bottom"/>
          </w:tcPr>
          <w:p>
            <w:pPr>
              <w:spacing w:after="0"/>
              <w:rPr>
                <w:sz w:val="1"/>
                <w:szCs w:val="1"/>
                <w:color w:val="auto"/>
              </w:rPr>
            </w:pPr>
          </w:p>
        </w:tc>
      </w:tr>
      <w:tr>
        <w:trPr>
          <w:trHeight w:val="304"/>
        </w:trPr>
        <w:tc>
          <w:tcPr>
            <w:tcW w:w="10340" w:type="dxa"/>
            <w:vAlign w:val="bottom"/>
            <w:gridSpan w:val="1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SA-14</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24"/>
                <w:szCs w:val="24"/>
                <w:color w:val="auto"/>
              </w:rPr>
            </w:pPr>
          </w:p>
        </w:tc>
        <w:tc>
          <w:tcPr>
            <w:tcW w:w="8300" w:type="dxa"/>
            <w:vAlign w:val="bottom"/>
            <w:gridSpan w:val="5"/>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SA-16</w:t>
            </w:r>
          </w:p>
        </w:tc>
        <w:tc>
          <w:tcPr>
            <w:tcW w:w="0" w:type="dxa"/>
            <w:vAlign w:val="bottom"/>
          </w:tcPr>
          <w:p>
            <w:pPr>
              <w:spacing w:after="0"/>
              <w:rPr>
                <w:sz w:val="1"/>
                <w:szCs w:val="1"/>
                <w:color w:val="auto"/>
              </w:rPr>
            </w:pPr>
          </w:p>
        </w:tc>
      </w:tr>
      <w:tr>
        <w:trPr>
          <w:trHeight w:val="304"/>
        </w:trPr>
        <w:tc>
          <w:tcPr>
            <w:tcW w:w="1034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4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SA-16</w:t>
            </w:r>
          </w:p>
        </w:tc>
        <w:tc>
          <w:tcPr>
            <w:tcW w:w="0" w:type="dxa"/>
            <w:vAlign w:val="bottom"/>
          </w:tcPr>
          <w:p>
            <w:pPr>
              <w:spacing w:after="0"/>
              <w:rPr>
                <w:sz w:val="1"/>
                <w:szCs w:val="1"/>
                <w:color w:val="auto"/>
              </w:rPr>
            </w:pPr>
          </w:p>
        </w:tc>
      </w:tr>
      <w:tr>
        <w:trPr>
          <w:trHeight w:val="304"/>
        </w:trPr>
        <w:tc>
          <w:tcPr>
            <w:tcW w:w="3800" w:type="dxa"/>
            <w:vAlign w:val="bottom"/>
            <w:tcBorders>
              <w:top w:val="single" w:sz="8" w:color="0000EE"/>
            </w:tcBorders>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INCORPORATION BY REFERENCE</w:t>
              </w:r>
            </w:hyperlink>
          </w:p>
        </w:tc>
        <w:tc>
          <w:tcPr>
            <w:tcW w:w="6540" w:type="dxa"/>
            <w:vAlign w:val="bottom"/>
            <w:gridSpan w:val="3"/>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SA-17</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SA-2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SALE AGREEMENT PROSPECTUS SUPPLEMENT</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prospectus supplement relates to part of a registration statement on Form S-3 that we have filed with the Securities and Exchange Commission, or SEC, utilizing a “shelf” registration process. By using a shelf registration statement, we may offer shares of our common stock having an aggregate offering price of up to $300 million from time to time under this prospectus supplement at prices and on terms to be determined by market conditions at the time of offering.</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we urge you to carefully read this prospectus supplement,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provide information to you about this offering of our common stock in two separate documents that are bound together: (1) this sale agreement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1"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and in any free writing prospectus that we have authorized for use in connection with this offering. We have not, and Jefferies has not, authorized anyone to provide you with different information. If anyone provides you with different or inconsistent information, you should not rely on it. We are not, and Jefferies is not, making an offer to sell these securities in any jurisdiction where the offer or sale is not permitted. You should assume that the information appearing in this prospectus supplement, the documents incorporated by reference in this prospectus supplement,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in this prospectus, and any free writing prospectus that we have authorized for use in connection with this offering, in their entirety before making an investment decision.</w:t>
      </w:r>
    </w:p>
    <w:p>
      <w:pPr>
        <w:spacing w:after="0" w:line="18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This prospectus supplement, the accompanying base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used in this prospectus supplement, unless the context otherwise requires, references to “Tarsus,” “company,” “we,” “us” and “our” refer to Tarsus Pharmaceuticals, Inc.</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All trademarks, service marks and trade names appearing in this prospectus supplement are the property of their respective holders. Use or display by us of other parties’ trademarks, trade dress, or products in this prospectus supplement is not intended to, and does not, imply a relationship with, or endorsements or sponsorship of, us by the trademark or trade dress owners.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i w:val="1"/>
          <w:iCs w:val="1"/>
          <w:color w:val="auto"/>
        </w:rPr>
        <w:t>This summary highlights certain information about us, our business, this offering and selected information contained elsewhere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base prospectus and any related free writing prospectus, including the information set forth in the section titled “Risk Factors” in this prospectus supplement, and under similar headings in the other documents that are filed after the date hereof and incorporated by reference into this prospectus supplement and any related free writing prospectus in their entirety before making an investment decision.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7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7"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Tarsus Pharmaceuticals, Tarsus, and our logo are some of our tradenames used in this prospectus supplement and in the documents incorporated by reference in this prospectus supplement. This prospectus supplement also includes trademarks, tradenames, and service marks that are the property of other organizations.</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0900"/>
          </w:cols>
          <w:pgMar w:left="32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04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998970" cy="3304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86" w:lineRule="auto"/>
        <w:rPr>
          <w:sz w:val="20"/>
          <w:szCs w:val="20"/>
          <w:color w:val="auto"/>
        </w:rPr>
      </w:pPr>
      <w:r>
        <w:rPr>
          <w:rFonts w:ascii="Arial" w:cs="Arial" w:eastAsia="Arial" w:hAnsi="Arial"/>
          <w:sz w:val="17"/>
          <w:szCs w:val="17"/>
          <w:color w:val="auto"/>
        </w:rPr>
        <w:t xml:space="preserve">Solely for convenience, our trademarks and tradenames referred to in this prospectus or in the documents incorporated by reference in this prospectus supplement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an Emerging Growth Company</w:t>
      </w:r>
    </w:p>
    <w:p>
      <w:pPr>
        <w:spacing w:after="0" w:line="121"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currently are an “emerging growth company” as defined in the Jumpstart Our Business Startups Act of 2012, as amended, or JOBS Act. We will remain an emerging growth company until the earliest to occur of: (i) the last day of the fiscal year in which we have more than</w:t>
      </w:r>
    </w:p>
    <w:p>
      <w:pPr>
        <w:ind w:left="300"/>
        <w:spacing w:after="0" w:line="267" w:lineRule="auto"/>
        <w:rPr>
          <w:sz w:val="20"/>
          <w:szCs w:val="20"/>
          <w:color w:val="auto"/>
        </w:rPr>
      </w:pPr>
      <w:r>
        <w:rPr>
          <w:rFonts w:ascii="Arial" w:cs="Arial" w:eastAsia="Arial" w:hAnsi="Arial"/>
          <w:sz w:val="17"/>
          <w:szCs w:val="17"/>
          <w:color w:val="auto"/>
        </w:rPr>
        <w:t>$1.07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0940"/>
          </w:cols>
          <w:pgMar w:left="32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$100,000,000.</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Up to 24,111,270 shares (as more fully described in the notes following this table), assuming sales of 3,537,319 shares of our common stock in this offering at an assumed offering price of $28.27 per share, which was the last reported sale price of our common stock on the Nasdaq Global Select Market on October 28, 2021. The actual number of shares issued will vary depending on the sales price under this offering.</w:t>
      </w:r>
    </w:p>
    <w:p>
      <w:pPr>
        <w:spacing w:after="0" w:line="188" w:lineRule="exact"/>
        <w:rPr>
          <w:sz w:val="20"/>
          <w:szCs w:val="20"/>
          <w:color w:val="auto"/>
        </w:rPr>
      </w:pPr>
    </w:p>
    <w:p>
      <w:pPr>
        <w:sectPr>
          <w:pgSz w:w="11900" w:h="16838" w:orient="portrait"/>
          <w:cols w:equalWidth="0" w:num="2">
            <w:col w:w="3980" w:space="36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440"/>
        <w:spacing w:after="0" w:line="342" w:lineRule="auto"/>
        <w:rPr>
          <w:sz w:val="20"/>
          <w:szCs w:val="20"/>
          <w:color w:val="auto"/>
        </w:rPr>
      </w:pPr>
      <w:r>
        <w:rPr>
          <w:rFonts w:ascii="Arial" w:cs="Arial" w:eastAsia="Arial" w:hAnsi="Arial"/>
          <w:sz w:val="16"/>
          <w:szCs w:val="16"/>
          <w:color w:val="auto"/>
        </w:rPr>
        <w:t>“At the market offering” that may be made from time to time through our sales agent, Jefferies. See “Plan of Distribution” on page SA-14 of this prospectus supplement.</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3" w:lineRule="exact"/>
        <w:rPr>
          <w:sz w:val="20"/>
          <w:szCs w:val="20"/>
          <w:color w:val="auto"/>
        </w:rPr>
      </w:pPr>
    </w:p>
    <w:p>
      <w:pPr>
        <w:ind w:left="300" w:firstLine="36"/>
        <w:spacing w:after="0" w:line="253" w:lineRule="auto"/>
        <w:rPr>
          <w:sz w:val="20"/>
          <w:szCs w:val="20"/>
          <w:color w:val="auto"/>
        </w:rPr>
      </w:pPr>
      <w:r>
        <w:rPr>
          <w:rFonts w:ascii="Arial" w:cs="Arial" w:eastAsia="Arial" w:hAnsi="Arial"/>
          <w:sz w:val="18"/>
          <w:szCs w:val="18"/>
          <w:color w:val="auto"/>
        </w:rPr>
        <w:t>We currently intend to use the net proceeds from this offering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See “Use of Proceeds” on page SA-11 of this prospectus supplement.</w:t>
      </w:r>
    </w:p>
    <w:p>
      <w:pPr>
        <w:sectPr>
          <w:pgSz w:w="11900" w:h="16838" w:orient="portrait"/>
          <w:cols w:equalWidth="0" w:num="1">
            <w:col w:w="10940"/>
          </w:cols>
          <w:pgMar w:left="320" w:top="459" w:right="639" w:bottom="1440" w:gutter="0" w:footer="0" w:header="0"/>
          <w:type w:val="continuous"/>
        </w:sect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Investing in our common stock involves significant risks. See “Risk Factors” on page SA-7 of this prospectus supplement, and under similar headings in other documents incorporated by reference into this prospectus supplement.</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“TARS”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All information in this prospectus supplement related to the number of shares of our common stock to be outstanding immediately after this offering is based on 20,573,951 shares of our common stock outstanding as of June 30, 2021, and unless otherwise indicated, excludes:</w:t>
      </w:r>
    </w:p>
    <w:p>
      <w:pPr>
        <w:spacing w:after="0" w:line="29" w:lineRule="exact"/>
        <w:rPr>
          <w:sz w:val="20"/>
          <w:szCs w:val="20"/>
          <w:color w:val="auto"/>
        </w:rPr>
      </w:pPr>
    </w:p>
    <w:p>
      <w:pPr>
        <w:ind w:left="1240" w:right="3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2,598,764 shares of common stock issuable upon the exercise of options outstanding as of June 30, 2021, with a weighted-average exercise price of $15.40 per share;</w:t>
      </w:r>
    </w:p>
    <w:p>
      <w:pPr>
        <w:spacing w:after="0" w:line="75"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130,153 shares of common stock which have been issued as of June 30, 2021 upon early exercise of stock options, but are not outstanding as they are subject to a right of repurchase;</w:t>
      </w:r>
    </w:p>
    <w:p>
      <w:pPr>
        <w:spacing w:after="0" w:line="75"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151,731 shares of common stock issuable upon the exercise of options granted after June 30, 2021, at a weighted-average exercise price of $23.28 per share;</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9,451,191 shares of common stock reserved for future issuance under our 2020 Equity Incentive Plan, or the 2020 Plan, as of June 30, 2021, which includes an annual evergreen increase; and</w:t>
      </w:r>
    </w:p>
    <w:p>
      <w:pPr>
        <w:spacing w:after="0" w:line="75"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2,505,030 shares of common stock reserved for issuance under our 2020 Employee Stock Purchase Plan, or the 2020 ESPP, as of June 30, 2021, which includes an annual evergreen increase.</w:t>
      </w:r>
    </w:p>
    <w:p>
      <w:pPr>
        <w:spacing w:after="0" w:line="170"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Unless otherwise stated, all information contained in this prospectus supplement assumes no exercise of stock options after June 30, 2021 and reflects an assumed public offering price of $28.27, which was the last reported sale price of our common stock on the Nasdaq Global Select Market on October 28, 2021.</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0940"/>
          </w:cols>
          <w:pgMar w:left="320" w:top="459" w:right="6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i w:val="1"/>
          <w:iCs w:val="1"/>
          <w:color w:val="auto"/>
        </w:rPr>
        <w:t>Investing in our common stock is speculative and involves a high degree of risk. Before investing in our common stock, you should consider carefully the risks described below, together with the risks described in the section entitled “Risk Factors” in our Annual Report, and our Quarterly Report on Form 10-Q for the three months ended June 30, 2021, each of which is incorporated by reference in its entirety, as well as the other information contained in or incorporated by reference in this prospectus supplement,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62"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insignificant rates of return. These investments may not yield a favorable return to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net tangible book value of your shares.</w:t>
      </w:r>
    </w:p>
    <w:p>
      <w:pPr>
        <w:spacing w:after="0" w:line="15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offering price per share in this offering may exceed the net tangible book value per share of our common stock outstanding at the time of sale. As of June 30, 2021, assuming that an aggregate of 3,537,319 shares of our common stock are sold at a price of $28.27 per share, the last reported sale price of our common stock on the Nasdaq Global Select Market on October 28, 2021, for aggregate gross proceeds of approximately $100 million, after deducting commissions and estimated offering expenses payable by us, investors in this offering would experience immediate dilution of $16.28 per share, representing the difference between our as adjusted net tangible book value per share of $12.00, after giving effect to this offering, and the assumed offering price. For a further description of the dilution that you will experience immediately after this offering, see the section titled “Dilution.”</w:t>
      </w:r>
    </w:p>
    <w:p>
      <w:pPr>
        <w:spacing w:after="0" w:line="2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Future sales or issuances of our common stock in the public markets, or the perception of such sales, could depress the trading price of our common stock.</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and/or in one or more separate offerings. We cannot predict the effect that future sales of common stock or other equity-related securities would have on the market price of our common stock.</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 Agreement, at any one time or in total, is uncertain.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certain limitations in the Sale Agreement entered into by us with Jefferies and compliance with applicable law, we have the discretion to deliver a placement notice to Jefferies at any time throughout the term of the Sale Agreement. The number of shares that are sold by Jefferies after delivering a placement notice will fluctuate based on the market price of the common shares during the sales period and limits we set with Jefferies. Because the price per share of each share sold will fluctuate based on the market price of our common shares during the sales period, it is not possible at this stage to predict the number of shares that will be ultimately issued or the resulting gross proceeds.</w:t>
      </w:r>
    </w:p>
    <w:p>
      <w:pPr>
        <w:spacing w:after="0" w:line="2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This prospectus supplement, the accompanying base prospectus and the information incorporated by reference in this prospectus supplement,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and the documents incorporated herein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(including but not limited to Elanco and LianBio) and our ability to attract collaborators with development, regulatory and commercialization expertise;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and the information incorporated by reference in this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under the section entitled “Risk Factors”, together with all of the other information appearing or incorporated by reference into this prospectus supplement.</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$100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 Agreement with Jefferies as a source of financing.</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currently intend to use the net proceeds from this offering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We may invest the net proceeds from this offering in short-term U.S. Treasury securities with insignificant rates of return, or may hold such proceeds as cash, until required for these business expenditures. We have not yet determined the specific amounts of net proceeds to be used for each of these ongoing business activities. As a result, management will retain broad discretion over the allocation of the net proceeds from this offering for its business use.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Our historical net tangible book value as of June 30, 2021 was $192.5 million, or $9.36 per share. Net tangible book value per share is determined by dividing our total tangible assets, less total liabilities, by the 20,573,951 shares of our common stock outstanding as of June 30, 2021.</w:t>
      </w:r>
    </w:p>
    <w:p>
      <w:pPr>
        <w:spacing w:after="0" w:line="12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After giving effect to the sale of 3,537,319 shares of our common stock in this offering at an assumed offering price of $28.27 per share, the last reported sale price of our common stock on the Nasdaq Global Select Market on October 28, 2021, and after deducting commissions and estimated offering expenses payable by us, our as adjusted net tangible book value as of June 30, 2021 would have been $289.2 million, or $12.00 per share. This represents an immediate increase in net tangible book value of $2.64 per share to existing stockholders and immediate dilution of $16.28 per share to investors purchasing our common stock in this offering at the assumed public offering price. The following table illustrates this dilution on a per share basis: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$28.27</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Historical net tangible book value per share of as June 30, 2021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$9.36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w w:val="97"/>
              </w:rPr>
              <w:t>Increase in net tangible book value per share attributable to new investors purchasing shares of common stock in 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As adjusted net tangible book value per share as of June 30, 2021, after giving effect to this offering</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20"/>
                <w:szCs w:val="20"/>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16.28</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number of shares of common stock outstanding is based on an aggregate of 20,573,951 shares outstanding as of June 30, 2021, and excludes:</w:t>
      </w:r>
    </w:p>
    <w:p>
      <w:pPr>
        <w:spacing w:after="0" w:line="154" w:lineRule="exact"/>
        <w:rPr>
          <w:sz w:val="20"/>
          <w:szCs w:val="20"/>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2,598,764 shares of common stock issuable upon the exercise of options outstanding as of June 30, 2021, with a weighted-average exercise price of $15.40 per share;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130,153 shares of common stock which have been issued as of June 30, 2021 upon early exercise of stock options, but are not outstanding as they are subject to a right of repurchase;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151,731 shares of common stock issuable upon the exercise of options granted after June 30, 2021, at a weighted-average exercise price of $23.28 per share;</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9,451,191 shares of common stock reserved for future issuance under our 2020 Plan as of June 30, 2021, which includes an annual evergreen increase;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2,505,030 shares of common stock reserved for issuance under our 2020 ESPP as of June 30, 2021, which includes an annual evergreen increase.</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table above assumes for illustrative purposes that an aggregate of 3,537,319 shares of our common stock are sold during the term of the Sale Agreement with Jefferies at a price of $28.27 per share, the last reported sale price of our common stock on the Nasdaq Global Select Market on October 28, 2021, for aggregate gross proceeds of $100 million. The shares subject to the Sale Agreement with Jefferies, if sold, may be sold from time to time at various prices. An increase of $1.00 per share in the price at which the shares are sold from the assumed offering price of $28.27 per share shown in the table above, assuming all of our common stock in the aggregate amount of $100 million during the term of the Sale Agreement with Jefferies is sold at that price, would increase our pro forma as adjusted net tangible book value per share to $12.06 per share and would increase the dilution in net tangible book value per share to new investors in this offering to $17.22 per share, after deducting commissions and estimated offering expenses payable by us. A decrease of $1.00 per share in the price at which the shares are sold from the assumed offering price of $28.27 per share shown in the table above, assuming all of our common stock in the aggregate amount of $100 million during the term of the Sale Agreement with Jefferies is sold at that price, would decrease our pro forma as adjusted net tangible book value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 share to $11.93 per share and would decrease the dilution in net tangible book value per share to new investors in this offering to $15.34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after deducting commissions and estimated offering expenses payable by us. This information is supplied for illustrative purposes only and assumes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of the options outstanding as of June 30, 2021. For more information, see “Description of Capital Stock” in the accompanying base prospectus.</w:t>
      </w:r>
    </w:p>
    <w:p>
      <w:pPr>
        <w:spacing w:after="0" w:line="23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 the extent that options outstanding as of June 30, 2021 have been or may be exercised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entered into the Sale Agreement with Jefferies, under which we may offer and sell our shares of common stock from time to time through Jefferies acting as agent. Pursuant to this prospectus, we may offer and sell up to $100 million of our shares of common stock. Sales of our shares of common stock, if any, under this prospectus supplement and the accompanying base prospectus will be made by any method that is deemed to be an “at the market offering” as defined in Rule 415(a)(4) under the Securities Act.</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the execution of the Sale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 Agreement, will be approximately $265,000. The remaining sale proceeds, after deducting any other transaction fees, will equal our net proceeds from the sale of such shares.</w:t>
      </w:r>
    </w:p>
    <w:p>
      <w:pPr>
        <w:spacing w:after="0" w:line="17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our shares of common stock are sold under the Sale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offering of our shares of common stock pursuant to the Sale Agreement will terminate as permitted in the Sale Agreement.</w:t>
      </w:r>
    </w:p>
    <w:p>
      <w:pPr>
        <w:spacing w:after="0" w:line="22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This summary of the material provisions of the Sale Agreement does not purport to be a complete statement of its terms and conditions. A copy of the Sale Agreement is filed as an exhibit to the registration statement of which this prospectus supplement forms a part.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prospectus and the accompanying base prospectus in electronic format may be made available on a website maintained by Jefferies, and Jefferies may distribute the prospectus and the accompanying base prospectus electronically.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020"/>
          </w:cols>
          <w:pgMar w:left="320" w:top="459" w:right="5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validity of the securities offered by this prospectus supplement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Jefferies LLC is being represented in connection with this offering by Cooley LLP, New York, New York.</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SA-16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93"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31, 2021;</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0000EE"/>
        </w:rPr>
      </w:pPr>
      <w:hyperlink r:id="rId56">
        <w:r>
          <w:rPr>
            <w:rFonts w:ascii="Arial" w:cs="Arial" w:eastAsia="Arial" w:hAnsi="Arial"/>
            <w:sz w:val="18"/>
            <w:szCs w:val="18"/>
            <w:color w:val="auto"/>
          </w:rPr>
          <w:t xml:space="preserve">our Quarterly Reports on Form 10-Q for the quarterly periods ended March 31, 2021 and June 30, 2021, filed with the SEC on </w:t>
        </w:r>
        <w:r>
          <w:rPr>
            <w:rFonts w:ascii="Arial" w:cs="Arial" w:eastAsia="Arial" w:hAnsi="Arial"/>
            <w:sz w:val="18"/>
            <w:szCs w:val="18"/>
            <w:u w:val="single" w:color="auto"/>
            <w:color w:val="0000EE"/>
          </w:rPr>
          <w:t>May 11,</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2021</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August 5, 2021</w:t>
        </w:r>
      </w:hyperlink>
      <w:hyperlink r:id="rId56">
        <w:r>
          <w:rPr>
            <w:rFonts w:ascii="Arial" w:cs="Arial" w:eastAsia="Arial" w:hAnsi="Arial"/>
            <w:sz w:val="18"/>
            <w:szCs w:val="18"/>
            <w:color w:val="000000"/>
          </w:rPr>
          <w:t>, respectively;</w:t>
        </w:r>
      </w:hyperlink>
    </w:p>
    <w:p>
      <w:pPr>
        <w:spacing w:after="0" w:line="75" w:lineRule="exact"/>
        <w:rPr>
          <w:rFonts w:ascii="Arial" w:cs="Arial" w:eastAsia="Arial" w:hAnsi="Arial"/>
          <w:sz w:val="18"/>
          <w:szCs w:val="18"/>
          <w:color w:val="0000EE"/>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8">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June 22, 2021</w:t>
        </w:r>
      </w:hyperlink>
      <w:r>
        <w:rPr>
          <w:rFonts w:ascii="Arial" w:cs="Arial" w:eastAsia="Arial" w:hAnsi="Arial"/>
          <w:sz w:val="18"/>
          <w:szCs w:val="18"/>
          <w:color w:val="auto"/>
        </w:rPr>
        <w:t xml:space="preserve">, and </w:t>
      </w:r>
      <w:hyperlink r:id="rId61">
        <w:r>
          <w:rPr>
            <w:rFonts w:ascii="Arial" w:cs="Arial" w:eastAsia="Arial" w:hAnsi="Arial"/>
            <w:sz w:val="18"/>
            <w:szCs w:val="18"/>
            <w:u w:val="single" w:color="auto"/>
            <w:color w:val="0000EE"/>
          </w:rPr>
          <w:t>August 12,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(each to the extent filed and not furnished);</w:t>
      </w:r>
    </w:p>
    <w:p>
      <w:pPr>
        <w:spacing w:after="0" w:line="75"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Form 10-K for the year ended December 31, 2020 from our </w:t>
      </w:r>
      <w:hyperlink r:id="rId62">
        <w:r>
          <w:rPr>
            <w:rFonts w:ascii="Arial" w:cs="Arial" w:eastAsia="Arial" w:hAnsi="Arial"/>
            <w:sz w:val="16"/>
            <w:szCs w:val="16"/>
            <w:u w:val="single" w:color="auto"/>
            <w:color w:val="0000EE"/>
          </w:rPr>
          <w:t>definitive proxy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statement relating to our 2020 annual meeting of stockholders, which was filed with the SEC on April 30, 2021; and</w:t>
      </w:r>
    </w:p>
    <w:p>
      <w:pPr>
        <w:spacing w:after="0" w:line="29"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October 13, 2020 pursuant to Section 12(b) of the Exchange Act.</w:t>
      </w:r>
    </w:p>
    <w:p>
      <w:pPr>
        <w:spacing w:after="0" w:line="170" w:lineRule="exact"/>
        <w:rPr>
          <w:rFonts w:ascii="Arial" w:cs="Arial" w:eastAsia="Arial" w:hAnsi="Arial"/>
          <w:sz w:val="16"/>
          <w:szCs w:val="16"/>
          <w:color w:val="auto"/>
        </w:rPr>
      </w:pPr>
    </w:p>
    <w:p>
      <w:pPr>
        <w:ind w:left="120" w:firstLine="440"/>
        <w:spacing w:after="0" w:line="273" w:lineRule="auto"/>
        <w:rPr>
          <w:sz w:val="20"/>
          <w:szCs w:val="20"/>
          <w:color w:val="auto"/>
        </w:rPr>
      </w:pPr>
      <w:r>
        <w:rPr>
          <w:rFonts w:ascii="Arial" w:cs="Arial" w:eastAsia="Arial" w:hAnsi="Arial"/>
          <w:sz w:val="17"/>
          <w:szCs w:val="17"/>
          <w:color w:val="auto"/>
        </w:rPr>
        <w:t>We also incorporate by reference into this prospectus supplement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8" w:lineRule="exact"/>
        <w:rPr>
          <w:rFonts w:ascii="Arial" w:cs="Arial" w:eastAsia="Arial" w:hAnsi="Arial"/>
          <w:sz w:val="16"/>
          <w:szCs w:val="16"/>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8" w:lineRule="exact"/>
        <w:rPr>
          <w:rFonts w:ascii="Arial" w:cs="Arial" w:eastAsia="Arial" w:hAnsi="Arial"/>
          <w:sz w:val="16"/>
          <w:szCs w:val="16"/>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46"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should direct any requests for documents to:</w:t>
      </w:r>
    </w:p>
    <w:p>
      <w:pPr>
        <w:spacing w:after="0" w:line="117"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Tarsus Pharmaceuticals, Inc.</w:t>
      </w:r>
    </w:p>
    <w:p>
      <w:pPr>
        <w:spacing w:after="0" w:line="23"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Irvine, California 92618</w:t>
      </w:r>
    </w:p>
    <w:p>
      <w:pPr>
        <w:spacing w:after="0" w:line="9" w:lineRule="exact"/>
        <w:rPr>
          <w:rFonts w:ascii="Arial" w:cs="Arial" w:eastAsia="Arial" w:hAnsi="Arial"/>
          <w:sz w:val="16"/>
          <w:szCs w:val="16"/>
          <w:color w:val="auto"/>
        </w:rPr>
      </w:pPr>
    </w:p>
    <w:p>
      <w:pPr>
        <w:ind w:left="5380" w:right="4920" w:hanging="318"/>
        <w:spacing w:after="0" w:line="517" w:lineRule="auto"/>
        <w:tabs>
          <w:tab w:leader="none" w:pos="54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409-9820 SA-17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SA-18</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648970</wp:posOffset>
            </wp:positionV>
            <wp:extent cx="2065655" cy="141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Up to $100,000,000</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860" w:firstLine="440"/>
        <w:spacing w:after="0" w:line="342" w:lineRule="auto"/>
        <w:rPr>
          <w:sz w:val="20"/>
          <w:szCs w:val="20"/>
          <w:color w:val="auto"/>
        </w:rPr>
      </w:pPr>
      <w:r>
        <w:rPr>
          <w:rFonts w:ascii="Arial" w:cs="Arial" w:eastAsia="Arial" w:hAnsi="Arial"/>
          <w:sz w:val="16"/>
          <w:szCs w:val="16"/>
          <w:color w:val="auto"/>
        </w:rPr>
        <w:t>The following table sets forth the estimated costs and expenses (other than the actual registration fee and FINRA filing fee), other than underwriting discounts and commissions, payable by the registrant in connection with the sale of the securities being registered.</w:t>
      </w:r>
    </w:p>
    <w:p>
      <w:pPr>
        <w:sectPr>
          <w:pgSz w:w="11900" w:h="16838" w:orient="portrait"/>
          <w:cols w:equalWidth="0" w:num="1">
            <w:col w:w="11100"/>
          </w:cols>
          <w:pgMar w:left="320" w:top="459" w:right="479" w:bottom="1440" w:gutter="0" w:footer="0" w:header="0"/>
        </w:sectPr>
      </w:pPr>
    </w:p>
    <w:p>
      <w:pPr>
        <w:spacing w:after="0" w:line="15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-107315</wp:posOffset>
            </wp:positionV>
            <wp:extent cx="474916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Printing and engraving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25" w:hanging="125"/>
        <w:spacing w:after="0"/>
        <w:tabs>
          <w:tab w:leader="none" w:pos="125" w:val="left"/>
        </w:tabs>
        <w:numPr>
          <w:ilvl w:val="0"/>
          <w:numId w:val="28"/>
        </w:numPr>
        <w:rPr>
          <w:rFonts w:ascii="Arial" w:cs="Arial" w:eastAsia="Arial" w:hAnsi="Arial"/>
          <w:sz w:val="16"/>
          <w:szCs w:val="16"/>
          <w:color w:val="auto"/>
        </w:rPr>
      </w:pPr>
      <w:r>
        <w:rPr>
          <w:rFonts w:ascii="Arial" w:cs="Arial" w:eastAsia="Arial" w:hAnsi="Arial"/>
          <w:sz w:val="16"/>
          <w:szCs w:val="16"/>
          <w:color w:val="auto"/>
        </w:rPr>
        <w:t>27,810</w:t>
      </w:r>
    </w:p>
    <w:p>
      <w:pPr>
        <w:spacing w:after="0" w:line="46" w:lineRule="exact"/>
        <w:rPr>
          <w:rFonts w:ascii="Arial" w:cs="Arial" w:eastAsia="Arial" w:hAnsi="Arial"/>
          <w:sz w:val="16"/>
          <w:szCs w:val="16"/>
          <w:color w:val="auto"/>
        </w:rPr>
      </w:pPr>
    </w:p>
    <w:p>
      <w:pPr>
        <w:ind w:left="125"/>
        <w:spacing w:after="0"/>
        <w:rPr>
          <w:rFonts w:ascii="Arial" w:cs="Arial" w:eastAsia="Arial" w:hAnsi="Arial"/>
          <w:sz w:val="16"/>
          <w:szCs w:val="16"/>
          <w:color w:val="auto"/>
        </w:rPr>
      </w:pPr>
      <w:r>
        <w:rPr>
          <w:rFonts w:ascii="Arial" w:cs="Arial" w:eastAsia="Arial" w:hAnsi="Arial"/>
          <w:sz w:val="16"/>
          <w:szCs w:val="16"/>
          <w:color w:val="auto"/>
        </w:rPr>
        <w:t>45,500</w:t>
      </w:r>
    </w:p>
    <w:p>
      <w:pPr>
        <w:spacing w:after="0" w:line="32"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943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 w:lineRule="exact"/>
        <w:rPr>
          <w:sz w:val="20"/>
          <w:szCs w:val="20"/>
          <w:color w:val="auto"/>
        </w:rPr>
      </w:pPr>
    </w:p>
    <w:p>
      <w:pPr>
        <w:ind w:left="525" w:hanging="525"/>
        <w:spacing w:after="0"/>
        <w:tabs>
          <w:tab w:leader="none" w:pos="5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94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943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425"/>
          </w:cols>
          <w:pgMar w:left="320" w:top="459" w:right="479" w:bottom="1440" w:gutter="0" w:footer="0" w:header="0"/>
          <w:type w:val="continuous"/>
        </w:sectPr>
      </w:pPr>
    </w:p>
    <w:p>
      <w:pPr>
        <w:spacing w:after="0" w:line="106" w:lineRule="exact"/>
        <w:rPr>
          <w:sz w:val="20"/>
          <w:szCs w:val="20"/>
          <w:color w:val="auto"/>
        </w:rPr>
      </w:pPr>
    </w:p>
    <w:p>
      <w:pPr>
        <w:ind w:left="340" w:right="320" w:hanging="224"/>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cause to believe his or her conduct was unlawful.</w:t>
      </w:r>
    </w:p>
    <w:p>
      <w:pPr>
        <w:spacing w:after="0" w:line="16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Section 145 of the DGCL further provides that: (i) to the extent that a former or present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w:t>
      </w:r>
    </w:p>
    <w:p>
      <w:pPr>
        <w:spacing w:after="0" w:line="2" w:lineRule="exact"/>
        <w:rPr>
          <w:sz w:val="20"/>
          <w:szCs w:val="20"/>
          <w:color w:val="auto"/>
        </w:rPr>
      </w:pPr>
    </w:p>
    <w:p>
      <w:pPr>
        <w:ind w:left="380" w:hanging="264"/>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indemnification provided for by Section 145 shall not be deemed exclusive of any other rights to which the indemnified party may be entitled; and</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4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present or former director, officer, employee or agent of the corporation or any person who at the request of the corporation was serving in such capacity for another entity against any liability asserted against such person and incurred by him or her in any such capacity or arising out of his or her status as such, whether or not the corporation would have the power to indemnify him or her against such liabilities under Section 145.</w:t>
      </w:r>
    </w:p>
    <w:p>
      <w:pPr>
        <w:spacing w:after="0" w:line="193"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Company’s Amended and Restated Certificate of Incorporation specifies that a director of the Company shall not be personally liable to the Company or to any stockholders for monetary damages for breach of fiduciary duties as a director, except to the extent such exemption from liability or limitation thereof is not permitted under the DGCL. Further, the Company’s Amended and Restated Certificate of Incorporation also provides that if Delaware law is amended to authorize corporation action further eliminating or limiting the personal liability of directors, then the liability of the Company’s directors will be eliminated or limited to the fullest extent permitted by Delaware law.</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Company’s Amended and Restated Bylaws provide that the Company shall indemnify its directors and officers to the fullest extent permitted by Delaware law, as it now exists or may in the future be amended, against all expenses and liabilities reasonably incurred in connection with their service for or on the Company’s behalf. The Company’s amended and restated bylaws provide that the Company shall advance the expenses incurred by a director or officer in advance of the final disposition of an action or proceeding, and permit the Company to secure insurance on behalf of any director, officer, employee, or other enterprise agent for any liability arising out of his or her action in that capacity, whether or not Delaware law would otherwise permit indemnification.</w:t>
      </w:r>
    </w:p>
    <w:p>
      <w:pPr>
        <w:spacing w:after="0" w:line="19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Company has entered into indemnification agreements with each of its directors and officers and certain other key employees. Subject to certain limited exceptions, under these agreements, the Company will be obligated to indemnify each of its directors, executive officers and other key employees against any and all expenses incurred by that director, executive officer, or other key employee because of his or her status as one of the Company’s directors, executive officers, or other key employees, to the fullest extent permitted by Delaware law, the Company’s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also maintains liability insurance for its directors and officers in order to limit its exposure to liability for indemnification of such persons.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any underwriting agreement the Company enters into in connection with the sale of the common stock being registered hereby, the underwriters may agree to indemnify, under certain conditions, the Company, its directors, its officers and persons who control the Company within the meaning of the Securities Act of 1933, as amended, or the Securities Act, against certain liabilities.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the undertakings set out in response to Item 17 herein.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Incorporated</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4"/>
        </w:trPr>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gridSpan w:val="17"/>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30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Form</w:t>
            </w:r>
          </w:p>
        </w:tc>
        <w:tc>
          <w:tcPr>
            <w:tcW w:w="380" w:type="dxa"/>
            <w:vAlign w:val="bottom"/>
            <w:vMerge w:val="restart"/>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380" w:type="dxa"/>
            <w:vAlign w:val="bottom"/>
            <w:vMerge w:val="restart"/>
          </w:tcPr>
          <w:p>
            <w:pPr>
              <w:spacing w:after="0"/>
              <w:rPr>
                <w:sz w:val="12"/>
                <w:szCs w:val="12"/>
                <w:color w:val="auto"/>
              </w:rPr>
            </w:pPr>
          </w:p>
        </w:tc>
        <w:tc>
          <w:tcPr>
            <w:tcW w:w="120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w w:val="90"/>
              </w:rPr>
              <w:t>by Reference</w:t>
            </w:r>
          </w:p>
        </w:tc>
        <w:tc>
          <w:tcPr>
            <w:tcW w:w="8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Date</w:t>
            </w:r>
          </w:p>
        </w:tc>
        <w:tc>
          <w:tcPr>
            <w:tcW w:w="380" w:type="dxa"/>
            <w:vAlign w:val="bottom"/>
            <w:vMerge w:val="restart"/>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7"/>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Form of Underwriting Agreement.</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2"/>
                <w:szCs w:val="22"/>
                <w:color w:val="auto"/>
              </w:rPr>
            </w:pPr>
          </w:p>
        </w:tc>
        <w:tc>
          <w:tcPr>
            <w:tcW w:w="2160" w:type="dxa"/>
            <w:vAlign w:val="bottom"/>
            <w:gridSpan w:val="5"/>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Open Market Sale Agreement</w:t>
              </w:r>
            </w:hyperlink>
          </w:p>
        </w:tc>
        <w:tc>
          <w:tcPr>
            <w:tcW w:w="220" w:type="dxa"/>
            <w:vAlign w:val="bottom"/>
            <w:tcBorders>
              <w:bottom w:val="single" w:sz="8" w:color="0000EE"/>
            </w:tcBorders>
          </w:tcPr>
          <w:p>
            <w:pPr>
              <w:spacing w:after="0"/>
              <w:rPr>
                <w:rFonts w:ascii="Arial" w:cs="Arial" w:eastAsia="Arial" w:hAnsi="Arial"/>
                <w:sz w:val="15"/>
                <w:szCs w:val="15"/>
                <w:color w:val="0000EE"/>
                <w:w w:val="88"/>
              </w:rPr>
            </w:pPr>
            <w:hyperlink w:anchor="page59">
              <w:r>
                <w:rPr>
                  <w:rFonts w:ascii="Arial" w:cs="Arial" w:eastAsia="Arial" w:hAnsi="Arial"/>
                  <w:sz w:val="15"/>
                  <w:szCs w:val="15"/>
                  <w:color w:val="0000EE"/>
                  <w:w w:val="88"/>
                </w:rPr>
                <w:t>SM</w:t>
              </w:r>
            </w:hyperlink>
          </w:p>
        </w:tc>
        <w:tc>
          <w:tcPr>
            <w:tcW w:w="2540" w:type="dxa"/>
            <w:vAlign w:val="bottom"/>
            <w:gridSpan w:val="16"/>
          </w:tcPr>
          <w:p>
            <w:pPr>
              <w:ind w:left="40"/>
              <w:spacing w:after="0"/>
              <w:rPr>
                <w:rFonts w:ascii="Arial" w:cs="Arial" w:eastAsia="Arial" w:hAnsi="Arial"/>
                <w:sz w:val="18"/>
                <w:szCs w:val="18"/>
                <w:color w:val="0000EE"/>
              </w:rPr>
            </w:pPr>
            <w:hyperlink w:anchor="page59">
              <w:r>
                <w:rPr>
                  <w:rFonts w:ascii="Arial" w:cs="Arial" w:eastAsia="Arial" w:hAnsi="Arial"/>
                  <w:sz w:val="18"/>
                  <w:szCs w:val="18"/>
                  <w:color w:val="0000EE"/>
                </w:rPr>
                <w:t>by and between the Registrant</w:t>
              </w:r>
            </w:hyperlink>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20" w:type="dxa"/>
            <w:vAlign w:val="bottom"/>
            <w:gridSpan w:val="22"/>
          </w:tcPr>
          <w:p>
            <w:pPr>
              <w:spacing w:after="0" w:line="183" w:lineRule="exact"/>
              <w:rPr>
                <w:rFonts w:ascii="Arial" w:cs="Arial" w:eastAsia="Arial" w:hAnsi="Arial"/>
                <w:sz w:val="18"/>
                <w:szCs w:val="18"/>
                <w:color w:val="0000EE"/>
              </w:rPr>
            </w:pPr>
            <w:hyperlink w:anchor="page59">
              <w:r>
                <w:rPr>
                  <w:rFonts w:ascii="Arial" w:cs="Arial" w:eastAsia="Arial" w:hAnsi="Arial"/>
                  <w:sz w:val="18"/>
                  <w:szCs w:val="18"/>
                  <w:color w:val="0000EE"/>
                </w:rPr>
                <w:t>and Jefferies LLC.</w:t>
              </w:r>
            </w:hyperlink>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920" w:type="dxa"/>
            <w:vAlign w:val="bottom"/>
            <w:gridSpan w:val="22"/>
          </w:tcPr>
          <w:p>
            <w:pPr>
              <w:spacing w:after="0"/>
              <w:rPr>
                <w:rFonts w:ascii="Arial" w:cs="Arial" w:eastAsia="Arial" w:hAnsi="Arial"/>
                <w:sz w:val="18"/>
                <w:szCs w:val="18"/>
                <w:color w:val="0000EE"/>
              </w:rPr>
            </w:pPr>
            <w:hyperlink r:id="rId114">
              <w:r>
                <w:rPr>
                  <w:rFonts w:ascii="Arial" w:cs="Arial" w:eastAsia="Arial" w:hAnsi="Arial"/>
                  <w:sz w:val="18"/>
                  <w:szCs w:val="18"/>
                  <w:color w:val="0000EE"/>
                </w:rPr>
                <w:t>Amended and Restated Certificate of Incorporation of</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Registrant.</w:t>
              </w:r>
            </w:hyperlink>
          </w:p>
        </w:tc>
        <w:tc>
          <w:tcPr>
            <w:tcW w:w="1040" w:type="dxa"/>
            <w:vAlign w:val="bottom"/>
            <w:gridSpan w:val="7"/>
          </w:tcPr>
          <w:p>
            <w:pPr>
              <w:spacing w:after="0"/>
              <w:rPr>
                <w:sz w:val="17"/>
                <w:szCs w:val="17"/>
                <w:color w:val="auto"/>
              </w:rPr>
            </w:pPr>
          </w:p>
        </w:tc>
        <w:tc>
          <w:tcPr>
            <w:tcW w:w="88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001-39614</w:t>
            </w:r>
          </w:p>
        </w:tc>
        <w:tc>
          <w:tcPr>
            <w:tcW w:w="120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3.1</w:t>
            </w:r>
          </w:p>
        </w:tc>
        <w:tc>
          <w:tcPr>
            <w:tcW w:w="12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5"/>
              </w:rPr>
              <w:t>10/20/2020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3280" w:type="dxa"/>
            <w:vAlign w:val="bottom"/>
            <w:tcBorders>
              <w:bottom w:val="single" w:sz="8" w:color="0000EE"/>
            </w:tcBorders>
            <w:gridSpan w:val="9"/>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Amended and Restated Bylaws of Registrant.</w:t>
              </w:r>
            </w:hyperlink>
          </w:p>
        </w:tc>
        <w:tc>
          <w:tcPr>
            <w:tcW w:w="1640" w:type="dxa"/>
            <w:vAlign w:val="bottom"/>
            <w:gridSpan w:val="13"/>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001-39614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10/20/2020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400" w:type="dxa"/>
            <w:vAlign w:val="bottom"/>
            <w:tcBorders>
              <w:bottom w:val="single" w:sz="8" w:color="0000EE"/>
            </w:tcBorders>
            <w:gridSpan w:val="11"/>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Registrant’s common stock certificate.</w:t>
              </w:r>
            </w:hyperlink>
          </w:p>
        </w:tc>
        <w:tc>
          <w:tcPr>
            <w:tcW w:w="1520" w:type="dxa"/>
            <w:vAlign w:val="bottom"/>
            <w:gridSpan w:val="11"/>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333-249076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10/09/2020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280" w:type="dxa"/>
            <w:vAlign w:val="bottom"/>
            <w:tcBorders>
              <w:bottom w:val="single" w:sz="8" w:color="0000EE"/>
            </w:tcBorders>
            <w:gridSpan w:val="17"/>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Amended and Restated Investors’ Rights Agreement, dated</w:t>
              </w:r>
            </w:hyperlink>
          </w:p>
        </w:tc>
        <w:tc>
          <w:tcPr>
            <w:tcW w:w="6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September 24, 2020, by and among the Registrant and the</w:t>
              </w:r>
            </w:hyperlink>
          </w:p>
        </w:tc>
        <w:tc>
          <w:tcPr>
            <w:tcW w:w="7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gridSpan w:val="2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other parties thereto.</w:t>
              </w:r>
            </w:hyperlink>
          </w:p>
        </w:tc>
        <w:tc>
          <w:tcPr>
            <w:tcW w:w="88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3"/>
              </w:rPr>
              <w:t>333-249076</w:t>
            </w:r>
          </w:p>
        </w:tc>
        <w:tc>
          <w:tcPr>
            <w:tcW w:w="120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4.2</w:t>
            </w:r>
          </w:p>
        </w:tc>
        <w:tc>
          <w:tcPr>
            <w:tcW w:w="12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5"/>
              </w:rPr>
              <w:t>10/09/2020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Certificate of designation, preferences and rights with respect</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to any preferred stock issued hereunder.</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w w:val="96"/>
              </w:rPr>
              <w:t>Form of Warrant with respect to each warrant issued hereunder.</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35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Form of Indenture with respect to the Securities.</w:t>
              </w:r>
            </w:hyperlink>
          </w:p>
        </w:tc>
        <w:tc>
          <w:tcPr>
            <w:tcW w:w="14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Form of Note.</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Form of Unit Agreement.</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44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86">
              <w:r>
                <w:rPr>
                  <w:rFonts w:ascii="Arial" w:cs="Arial" w:eastAsia="Arial" w:hAnsi="Arial"/>
                  <w:sz w:val="18"/>
                  <w:szCs w:val="18"/>
                  <w:color w:val="0000EE"/>
                  <w:w w:val="92"/>
                </w:rPr>
                <w:t>Opinion of Gunderson Dettmer Stough Villeneuve Franklin &amp;</w:t>
              </w:r>
            </w:hyperlink>
          </w:p>
        </w:tc>
        <w:tc>
          <w:tcPr>
            <w:tcW w:w="4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Hachigian, LLP.</w:t>
              </w:r>
            </w:hyperlink>
          </w:p>
        </w:tc>
        <w:tc>
          <w:tcPr>
            <w:tcW w:w="374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44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89">
              <w:r>
                <w:rPr>
                  <w:rFonts w:ascii="Arial" w:cs="Arial" w:eastAsia="Arial" w:hAnsi="Arial"/>
                  <w:sz w:val="18"/>
                  <w:szCs w:val="18"/>
                  <w:color w:val="0000EE"/>
                  <w:w w:val="92"/>
                </w:rPr>
                <w:t>Opinion of Gunderson Dettmer Stough Villeneuve Franklin &amp;</w:t>
              </w:r>
            </w:hyperlink>
          </w:p>
        </w:tc>
        <w:tc>
          <w:tcPr>
            <w:tcW w:w="4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Hachigian, LLP.</w:t>
              </w:r>
            </w:hyperlink>
          </w:p>
        </w:tc>
        <w:tc>
          <w:tcPr>
            <w:tcW w:w="374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4920" w:type="dxa"/>
            <w:vAlign w:val="bottom"/>
            <w:gridSpan w:val="22"/>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Consent of Independent Registered Public Accounting Firm.</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Consent of Gunderson Dettmer Stough Villeneuve Franklin &amp;</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20" w:type="dxa"/>
            <w:vAlign w:val="bottom"/>
            <w:gridSpan w:val="22"/>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Hachigian, LLP (included in Exhibits </w:t>
            </w:r>
            <w:hyperlink w:anchor="page186">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189">
              <w:r>
                <w:rPr>
                  <w:rFonts w:ascii="Arial" w:cs="Arial" w:eastAsia="Arial" w:hAnsi="Arial"/>
                  <w:sz w:val="18"/>
                  <w:szCs w:val="18"/>
                  <w:color w:val="0000EE"/>
                </w:rPr>
                <w:t>5.2</w:t>
              </w:r>
            </w:hyperlink>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492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Power of Attorney (included on signature page).</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jc w:val="right"/>
              <w:spacing w:after="0"/>
              <w:rPr>
                <w:sz w:val="20"/>
                <w:szCs w:val="20"/>
                <w:color w:val="auto"/>
              </w:rPr>
            </w:pPr>
            <w:r>
              <w:rPr>
                <w:rFonts w:ascii="Arial" w:cs="Arial" w:eastAsia="Arial" w:hAnsi="Arial"/>
                <w:sz w:val="18"/>
                <w:szCs w:val="18"/>
                <w:color w:val="auto"/>
                <w:w w:val="97"/>
              </w:rPr>
              <w:t>25.1**</w:t>
            </w:r>
          </w:p>
        </w:tc>
        <w:tc>
          <w:tcPr>
            <w:tcW w:w="320" w:type="dxa"/>
            <w:vAlign w:val="bottom"/>
          </w:tcPr>
          <w:p>
            <w:pPr>
              <w:spacing w:after="0"/>
              <w:rPr>
                <w:sz w:val="24"/>
                <w:szCs w:val="24"/>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The Statement of Eligibility on Form T-1 under the Trust</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Indenture Act of 1939, as amended, of the Trustee under the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22"/>
          </w:tcPr>
          <w:p>
            <w:pPr>
              <w:spacing w:after="0"/>
              <w:rPr>
                <w:sz w:val="20"/>
                <w:szCs w:val="20"/>
                <w:color w:val="auto"/>
              </w:rPr>
            </w:pPr>
            <w:r>
              <w:rPr>
                <w:rFonts w:ascii="Arial" w:cs="Arial" w:eastAsia="Arial" w:hAnsi="Arial"/>
                <w:sz w:val="18"/>
                <w:szCs w:val="18"/>
                <w:color w:val="auto"/>
              </w:rPr>
              <w:t>Indenture will be incorporated herein by reference from a</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40"/>
        <w:spacing w:after="0"/>
        <w:rPr>
          <w:sz w:val="20"/>
          <w:szCs w:val="20"/>
          <w:color w:val="auto"/>
        </w:rPr>
      </w:pPr>
      <w:r>
        <w:rPr>
          <w:rFonts w:ascii="Arial" w:cs="Arial" w:eastAsia="Arial" w:hAnsi="Arial"/>
          <w:sz w:val="18"/>
          <w:szCs w:val="18"/>
          <w:color w:val="auto"/>
        </w:rPr>
        <w:t>subsequent filing in accordance with Section 305(b)(2) of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Trust Indenture Act of 1939.</w:t>
      </w:r>
    </w:p>
    <w:p>
      <w:pPr>
        <w:spacing w:after="0" w:line="116" w:lineRule="exact"/>
        <w:rPr>
          <w:sz w:val="20"/>
          <w:szCs w:val="20"/>
          <w:color w:val="auto"/>
        </w:rPr>
      </w:pPr>
    </w:p>
    <w:p>
      <w:pPr>
        <w:ind w:left="1080" w:right="5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140" w:hanging="209"/>
        <w:spacing w:after="0"/>
        <w:tabs>
          <w:tab w:leader="none" w:pos="21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540" w:firstLine="391"/>
        <w:spacing w:after="0" w:line="291" w:lineRule="auto"/>
        <w:tabs>
          <w:tab w:leader="none" w:pos="2188" w:val="left"/>
        </w:tabs>
        <w:numPr>
          <w:ilvl w:val="2"/>
          <w:numId w:val="3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8" w:lineRule="exact"/>
        <w:rPr>
          <w:rFonts w:ascii="Arial" w:cs="Arial" w:eastAsia="Arial" w:hAnsi="Arial"/>
          <w:sz w:val="16"/>
          <w:szCs w:val="16"/>
          <w:color w:val="auto"/>
        </w:rPr>
      </w:pPr>
    </w:p>
    <w:p>
      <w:pPr>
        <w:ind w:left="1540" w:right="380" w:firstLine="391"/>
        <w:spacing w:after="0" w:line="277" w:lineRule="auto"/>
        <w:tabs>
          <w:tab w:leader="none" w:pos="2238"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540" w:right="40"/>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information required to be included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1540" w:right="300" w:hanging="439"/>
        <w:spacing w:after="0" w:line="263"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2080" w:right="120" w:hanging="533"/>
        <w:spacing w:after="0" w:line="277" w:lineRule="auto"/>
        <w:tabs>
          <w:tab w:leader="none" w:pos="2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080" w:right="20" w:hanging="533"/>
        <w:spacing w:after="0" w:line="272" w:lineRule="auto"/>
        <w:tabs>
          <w:tab w:leader="none" w:pos="20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080" w:right="40"/>
        <w:spacing w:after="0" w:line="293" w:lineRule="auto"/>
        <w:rPr>
          <w:sz w:val="20"/>
          <w:szCs w:val="20"/>
          <w:color w:val="auto"/>
        </w:rPr>
      </w:pPr>
      <w:r>
        <w:rPr>
          <w:rFonts w:ascii="Arial" w:cs="Arial" w:eastAsia="Arial" w:hAnsi="Arial"/>
          <w:sz w:val="16"/>
          <w:szCs w:val="16"/>
          <w:color w:val="auto"/>
        </w:rPr>
        <w:t xml:space="preserve">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statement made in a registration statement or prospectus that is part of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0" w:lineRule="exact"/>
        <w:rPr>
          <w:sz w:val="20"/>
          <w:szCs w:val="20"/>
          <w:color w:val="auto"/>
        </w:rPr>
      </w:pPr>
    </w:p>
    <w:p>
      <w:pPr>
        <w:ind w:left="1540" w:hanging="439"/>
        <w:spacing w:after="0" w:line="275" w:lineRule="auto"/>
        <w:tabs>
          <w:tab w:leader="none" w:pos="1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2080" w:right="140" w:hanging="533"/>
        <w:spacing w:after="0" w:line="277" w:lineRule="auto"/>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2080" w:right="40" w:hanging="533"/>
        <w:spacing w:after="0" w:line="277" w:lineRule="auto"/>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2080" w:right="840" w:hanging="533"/>
        <w:spacing w:after="0" w:line="308" w:lineRule="auto"/>
        <w:tabs>
          <w:tab w:leader="none" w:pos="2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Arial" w:cs="Arial" w:eastAsia="Arial" w:hAnsi="Arial"/>
          <w:sz w:val="17"/>
          <w:szCs w:val="17"/>
          <w:color w:val="auto"/>
        </w:rPr>
      </w:pPr>
    </w:p>
    <w:p>
      <w:pPr>
        <w:ind w:left="2080" w:hanging="533"/>
        <w:spacing w:after="0"/>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540" w:hanging="439"/>
        <w:spacing w:after="0" w:line="296"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Arial" w:cs="Arial" w:eastAsia="Arial" w:hAnsi="Arial"/>
          <w:sz w:val="16"/>
          <w:szCs w:val="16"/>
          <w:color w:val="auto"/>
        </w:rPr>
      </w:pPr>
    </w:p>
    <w:p>
      <w:pPr>
        <w:ind w:left="1540" w:right="40" w:hanging="439"/>
        <w:spacing w:after="0" w:line="270" w:lineRule="auto"/>
        <w:tabs>
          <w:tab w:leader="none" w:pos="1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6" w:lineRule="exact"/>
        <w:rPr>
          <w:rFonts w:ascii="Arial" w:cs="Arial" w:eastAsia="Arial" w:hAnsi="Arial"/>
          <w:sz w:val="17"/>
          <w:szCs w:val="17"/>
          <w:color w:val="auto"/>
        </w:rPr>
      </w:pPr>
    </w:p>
    <w:p>
      <w:pPr>
        <w:ind w:left="1540" w:right="300" w:hanging="439"/>
        <w:spacing w:after="0" w:line="263" w:lineRule="auto"/>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Irvine, State of California, on November 1, 2021.</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Tarsus Pharmaceuticals, Inc.</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35"/>
          <w:szCs w:val="35"/>
          <w:color w:val="auto"/>
          <w:vertAlign w:val="subscript"/>
        </w:rPr>
        <w:t>By:</w:t>
      </w:r>
      <w:r>
        <w:rPr>
          <w:rFonts w:ascii="Arial" w:cs="Arial" w:eastAsia="Arial" w:hAnsi="Arial"/>
          <w:sz w:val="18"/>
          <w:szCs w:val="18"/>
          <w:color w:val="auto"/>
        </w:rPr>
        <w:t xml:space="preserve"> /s/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43180</wp:posOffset>
            </wp:positionV>
            <wp:extent cx="2597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Bobak Azamian, M.D., Ph.D. Leonard M. Greenstein and Bryan Wahl, M.D., and each of them acting individually, as his or her true and lawful attorneys-in-fact and agents, with full power of each to act alone, with full powers of substitution and resubstitution, for him and in his or her name, place and stead, in any and all capacities, to sign any and all amendments to this registration statement on Form S-3 (including post-effective amendments and any related registration statements filed pursuant to Rule 462 and otherwise)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8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154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31546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Bobak Azamian, M.D., Ph.D.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Leonard M. Greenstein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Michael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Ackermann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Bhaskar Chaudhuri,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Bhaskar Chaudhuri, Ph.D.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Rosemary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Rosemary Crane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Andrew Goldberg,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Andrew Goldberg, M.D.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J. Link, Ph.D.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Wendy Yarno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Wendy Yarno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Date</w:t>
            </w:r>
          </w:p>
        </w:tc>
      </w:tr>
      <w:tr>
        <w:trPr>
          <w:trHeight w:val="303"/>
        </w:trPr>
        <w:tc>
          <w:tcPr>
            <w:tcW w:w="406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1880" w:type="dxa"/>
            <w:vAlign w:val="bottom"/>
          </w:tcPr>
          <w:p>
            <w:pPr>
              <w:spacing w:after="0"/>
              <w:rPr>
                <w:sz w:val="24"/>
                <w:szCs w:val="24"/>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Principal</w:t>
            </w:r>
          </w:p>
        </w:tc>
        <w:tc>
          <w:tcPr>
            <w:tcW w:w="1880" w:type="dxa"/>
            <w:vAlign w:val="bottom"/>
          </w:tcPr>
          <w:p>
            <w:pPr>
              <w:spacing w:after="0"/>
              <w:rPr>
                <w:sz w:val="18"/>
                <w:szCs w:val="18"/>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567"/>
        </w:trPr>
        <w:tc>
          <w:tcPr>
            <w:tcW w:w="4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spacing w:after="0"/>
              <w:rPr>
                <w:sz w:val="20"/>
                <w:szCs w:val="20"/>
                <w:color w:val="auto"/>
              </w:rPr>
            </w:pPr>
            <w:r>
              <w:rPr>
                <w:rFonts w:ascii="Arial" w:cs="Arial" w:eastAsia="Arial" w:hAnsi="Arial"/>
                <w:sz w:val="18"/>
                <w:szCs w:val="18"/>
                <w:color w:val="auto"/>
              </w:rPr>
              <w:t>November 1, 2021</w:t>
            </w:r>
          </w:p>
        </w:tc>
      </w:tr>
      <w:tr>
        <w:trPr>
          <w:trHeight w:val="364"/>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2">
            <w:col w:w="4480" w:space="720"/>
            <w:col w:w="5940"/>
          </w:cols>
          <w:pgMar w:left="320" w:top="459" w:right="4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color w:val="auto"/>
        </w:rPr>
        <w:t>Tarsus 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right="720" w:firstLine="436"/>
        <w:spacing w:after="0" w:line="277"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58"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71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59" w:name="page60"/>
    <w:bookmarkEnd w:id="5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(3.0%)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REPRESENTATIONS AND WARRANTIES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each Settlement Date, (4) each Triggering Event Date and (5) as of each Time of Sale (each of the times referenced above is referred to herein as a</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77" w:lineRule="exact"/>
        <w:rPr>
          <w:sz w:val="20"/>
          <w:szCs w:val="20"/>
          <w:color w:val="auto"/>
        </w:rPr>
      </w:pPr>
    </w:p>
    <w:p>
      <w:pPr>
        <w:ind w:firstLine="436"/>
        <w:spacing w:after="0" w:line="285"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will file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in this Agreement, the terms “amendment” or “supplement” when applied to the Registration Statement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shall be deemed to include the filing by the Company with the Commission of any document under the Exchange Act after the date hereof that is or is deemed to be incorporated therein by reference.</w:t>
      </w:r>
    </w:p>
    <w:p>
      <w:pPr>
        <w:spacing w:after="0" w:line="176"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1" w:name="page62"/>
    <w:bookmarkEnd w:id="61"/>
    <w:p>
      <w:pPr>
        <w:ind w:right="40" w:firstLine="436"/>
        <w:spacing w:after="0" w:line="25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Registration Requirements</w:t>
      </w:r>
      <w:r>
        <w:rPr>
          <w:rFonts w:ascii="Arial" w:cs="Arial" w:eastAsia="Arial" w:hAnsi="Arial"/>
          <w:sz w:val="18"/>
          <w:szCs w:val="18"/>
          <w:color w:val="auto"/>
        </w:rPr>
        <w:t>. The Original Registration Statement and any Rule 462(b) Registration Statement have been or will be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The Prospectus when filed complied or will comply in all material respects with the Securities Act and, if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(except as may be permitted by Regulation S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7"/>
          <w:szCs w:val="17"/>
          <w:b w:val="1"/>
          <w:bCs w:val="1"/>
          <w:color w:val="auto"/>
        </w:rPr>
        <w:t>Time of Sale Information</w:t>
      </w:r>
      <w:r>
        <w:rPr>
          <w:rFonts w:ascii="Arial" w:cs="Arial" w:eastAsia="Arial" w:hAnsi="Arial"/>
          <w:sz w:val="17"/>
          <w:szCs w:val="17"/>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90" w:lineRule="exact"/>
        <w:rPr>
          <w:sz w:val="20"/>
          <w:szCs w:val="20"/>
          <w:color w:val="auto"/>
        </w:rPr>
      </w:pPr>
    </w:p>
    <w:p>
      <w:pPr>
        <w:ind w:right="20" w:firstLine="436"/>
        <w:spacing w:after="0" w:line="293" w:lineRule="auto"/>
        <w:tabs>
          <w:tab w:leader="none" w:pos="68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2" w:name="page63"/>
    <w:bookmarkEnd w:id="6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88" w:lineRule="exact"/>
        <w:rPr>
          <w:sz w:val="20"/>
          <w:szCs w:val="20"/>
          <w:color w:val="auto"/>
        </w:rPr>
      </w:pPr>
    </w:p>
    <w:p>
      <w:pPr>
        <w:ind w:right="20" w:firstLine="436"/>
        <w:spacing w:after="0" w:line="301"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ind w:right="40" w:firstLine="436"/>
        <w:spacing w:after="0" w:line="293"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right="20" w:firstLine="436"/>
        <w:spacing w:after="0" w:line="279" w:lineRule="auto"/>
        <w:tabs>
          <w:tab w:leader="none" w:pos="66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As of the date hereof, the Company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 During the Agency Period, the Company agrees to notify the Agent as soon as practicable upon the Company ceasing to be an Emerging Growth Company; provided, however, that no such notice shall be required if the Company has disclosed in its public filings with the Commission that it no longer expects to be, or no longer is, an Emerging Growth Company.</w:t>
      </w:r>
    </w:p>
    <w:p>
      <w:pPr>
        <w:spacing w:after="0" w:line="171" w:lineRule="exact"/>
        <w:rPr>
          <w:rFonts w:ascii="Arial" w:cs="Arial" w:eastAsia="Arial" w:hAnsi="Arial"/>
          <w:sz w:val="17"/>
          <w:szCs w:val="17"/>
          <w:color w:val="auto"/>
        </w:rPr>
      </w:pPr>
    </w:p>
    <w:p>
      <w:pPr>
        <w:ind w:firstLine="436"/>
        <w:spacing w:after="0" w:line="263"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audited the financial statements and supporting schedules, if any, included or incorporated by reference in the Registration Statement and the Prospectus are an independent registered public accounting firm as required by the Securities Act and the Public Company Accounting Oversight Board.</w:t>
      </w:r>
    </w:p>
    <w:p>
      <w:pPr>
        <w:spacing w:after="0" w:line="183" w:lineRule="exact"/>
        <w:rPr>
          <w:rFonts w:ascii="Arial" w:cs="Arial" w:eastAsia="Arial" w:hAnsi="Arial"/>
          <w:sz w:val="18"/>
          <w:szCs w:val="18"/>
          <w:color w:val="auto"/>
        </w:rPr>
      </w:pPr>
    </w:p>
    <w:p>
      <w:pPr>
        <w:ind w:firstLine="436"/>
        <w:spacing w:after="0" w:line="257"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or incorporated by reference in the 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applied on a consistent basis throughout the periods involved.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3" w:name="page64"/>
    <w:bookmarkEnd w:id="63"/>
    <w:p>
      <w:pPr>
        <w:ind w:right="3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supporting schedules, if any, present fairly, in all material respects, in accordance with GAAP the information required to be stated therein.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Except as included therein, no historical or pro forma financial statements or supporting schedules are required to be included or incorporated by reference in the Registration Statement or the Prospectus under the Securities Act.</w:t>
      </w:r>
    </w:p>
    <w:p>
      <w:pPr>
        <w:spacing w:after="0" w:line="176" w:lineRule="exact"/>
        <w:rPr>
          <w:sz w:val="20"/>
          <w:szCs w:val="20"/>
          <w:color w:val="auto"/>
        </w:rPr>
      </w:pPr>
    </w:p>
    <w:p>
      <w:pPr>
        <w:ind w:right="20" w:firstLine="436"/>
        <w:spacing w:after="0" w:line="293"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64" w:lineRule="exact"/>
        <w:rPr>
          <w:rFonts w:ascii="Arial" w:cs="Arial" w:eastAsia="Arial" w:hAnsi="Arial"/>
          <w:sz w:val="16"/>
          <w:szCs w:val="16"/>
          <w:color w:val="auto"/>
        </w:rPr>
      </w:pPr>
    </w:p>
    <w:p>
      <w:pPr>
        <w:ind w:firstLine="436"/>
        <w:spacing w:after="0" w:line="273"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w:t>
      </w:r>
    </w:p>
    <w:p>
      <w:pPr>
        <w:spacing w:after="0" w:line="177" w:lineRule="exact"/>
        <w:rPr>
          <w:rFonts w:ascii="Arial" w:cs="Arial" w:eastAsia="Arial" w:hAnsi="Arial"/>
          <w:sz w:val="17"/>
          <w:szCs w:val="17"/>
          <w:color w:val="auto"/>
        </w:rPr>
      </w:pPr>
    </w:p>
    <w:p>
      <w:pPr>
        <w:ind w:firstLine="436"/>
        <w:spacing w:after="0" w:line="268"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Each of the Company’s “subsidiaries” (for purposes of this Agreement, as defined in Rule 405 under the Securities Act), if any,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4" w:name="page65"/>
    <w:bookmarkEnd w:id="64"/>
    <w:p>
      <w:pPr>
        <w:ind w:right="60" w:firstLine="436"/>
        <w:spacing w:after="0" w:line="279"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 Restrictions</w:t>
      </w:r>
      <w:r>
        <w:rPr>
          <w:rFonts w:ascii="Arial" w:cs="Arial" w:eastAsia="Arial" w:hAnsi="Arial"/>
          <w:sz w:val="17"/>
          <w:szCs w:val="17"/>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1" w:lineRule="exact"/>
        <w:rPr>
          <w:rFonts w:ascii="Arial" w:cs="Arial" w:eastAsia="Arial" w:hAnsi="Arial"/>
          <w:sz w:val="17"/>
          <w:szCs w:val="17"/>
          <w:color w:val="auto"/>
        </w:rPr>
      </w:pPr>
    </w:p>
    <w:p>
      <w:pPr>
        <w:ind w:right="40" w:firstLine="436"/>
        <w:spacing w:after="0" w:line="293" w:lineRule="auto"/>
        <w:tabs>
          <w:tab w:leader="none" w:pos="74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of the dates set forth therein, as set forth in the Registration Statement and the Prospectus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w:t>
      </w:r>
    </w:p>
    <w:p>
      <w:pPr>
        <w:spacing w:after="0" w:line="164" w:lineRule="exact"/>
        <w:rPr>
          <w:rFonts w:ascii="Arial" w:cs="Arial" w:eastAsia="Arial" w:hAnsi="Arial"/>
          <w:sz w:val="16"/>
          <w:szCs w:val="16"/>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firstLine="436"/>
        <w:spacing w:after="0" w:line="296"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Stock Exchange Listing</w:t>
      </w:r>
      <w:r>
        <w:rPr>
          <w:rFonts w:ascii="Arial" w:cs="Arial" w:eastAsia="Arial" w:hAnsi="Arial"/>
          <w:sz w:val="16"/>
          <w:szCs w:val="16"/>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and except as otherwise described in the Registration Statement or Prospectus, the Company is in compliance with all applicable listing requirements of the Principal Market.</w:t>
      </w:r>
    </w:p>
    <w:p>
      <w:pPr>
        <w:spacing w:after="0" w:line="161" w:lineRule="exact"/>
        <w:rPr>
          <w:rFonts w:ascii="Arial" w:cs="Arial" w:eastAsia="Arial" w:hAnsi="Arial"/>
          <w:sz w:val="16"/>
          <w:szCs w:val="16"/>
          <w:color w:val="auto"/>
        </w:rPr>
      </w:pPr>
    </w:p>
    <w:p>
      <w:pPr>
        <w:ind w:right="60" w:firstLine="436"/>
        <w:spacing w:after="0" w:line="273" w:lineRule="auto"/>
        <w:tabs>
          <w:tab w:leader="none" w:pos="69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Shares</w:t>
      </w:r>
      <w:r>
        <w:rPr>
          <w:rFonts w:ascii="Arial" w:cs="Arial" w:eastAsia="Arial" w:hAnsi="Arial"/>
          <w:sz w:val="17"/>
          <w:szCs w:val="17"/>
          <w:color w:val="auto"/>
        </w:rPr>
        <w:t>. The Shares have been duly authorized for issuance and sale by the Agent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to subscribe for or purchase the Shares. The Common Shares conform, in all material respects, to all statements relating thereto contained in the Registration Statement and the Prospectus and such description conforms, in all material respects, to the rights set forth in the instruments defining the same. No holder of Shares will be subject to personal liability solely by reason of being such a holder.</w:t>
      </w:r>
    </w:p>
    <w:p>
      <w:pPr>
        <w:spacing w:after="0" w:line="177"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waived.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5" w:name="page66"/>
    <w:bookmarkEnd w:id="65"/>
    <w:p>
      <w:pPr>
        <w:ind w:firstLine="436"/>
        <w:spacing w:after="0" w:line="284" w:lineRule="auto"/>
        <w:tabs>
          <w:tab w:leader="none" w:pos="66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Defaults and Conflicts</w:t>
      </w:r>
      <w:r>
        <w:rPr>
          <w:rFonts w:ascii="Arial" w:cs="Arial" w:eastAsia="Arial" w:hAnsi="Arial"/>
          <w:sz w:val="16"/>
          <w:szCs w:val="16"/>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b w:val="1"/>
          <w:bCs w:val="1"/>
          <w:color w:val="auto"/>
        </w:rPr>
        <w:t>Governmental Entity</w:t>
      </w:r>
      <w:r>
        <w:rPr>
          <w:rFonts w:ascii="Arial" w:cs="Arial" w:eastAsia="Arial" w:hAnsi="Arial"/>
          <w:sz w:val="16"/>
          <w:szCs w:val="16"/>
          <w:color w:val="auto"/>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9" w:lineRule="exact"/>
        <w:rPr>
          <w:rFonts w:ascii="Arial" w:cs="Arial" w:eastAsia="Arial" w:hAnsi="Arial"/>
          <w:sz w:val="16"/>
          <w:szCs w:val="16"/>
          <w:color w:val="auto"/>
        </w:rPr>
      </w:pPr>
    </w:p>
    <w:p>
      <w:pPr>
        <w:ind w:firstLine="436"/>
        <w:spacing w:after="0" w:line="259" w:lineRule="auto"/>
        <w:tabs>
          <w:tab w:leader="none" w:pos="67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w:t>
      </w:r>
    </w:p>
    <w:p>
      <w:pPr>
        <w:spacing w:after="0" w:line="186" w:lineRule="exact"/>
        <w:rPr>
          <w:rFonts w:ascii="Arial" w:cs="Arial" w:eastAsia="Arial" w:hAnsi="Arial"/>
          <w:sz w:val="18"/>
          <w:szCs w:val="18"/>
          <w:color w:val="auto"/>
        </w:rPr>
      </w:pPr>
    </w:p>
    <w:p>
      <w:pPr>
        <w:ind w:right="60" w:firstLine="436"/>
        <w:spacing w:after="0" w:line="301"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and the Prospectus, there is no action, suit, proceeding, inquiry or investigation before or brought by any Governmental Entity (including, without limitation,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the European Medicines Agency (the “</w:t>
      </w:r>
      <w:r>
        <w:rPr>
          <w:rFonts w:ascii="Arial" w:cs="Arial" w:eastAsia="Arial" w:hAnsi="Arial"/>
          <w:sz w:val="16"/>
          <w:szCs w:val="16"/>
          <w:b w:val="1"/>
          <w:bCs w:val="1"/>
          <w:color w:val="auto"/>
        </w:rPr>
        <w:t>EMA</w:t>
      </w:r>
      <w:r>
        <w:rPr>
          <w:rFonts w:ascii="Arial" w:cs="Arial" w:eastAsia="Arial" w:hAnsi="Arial"/>
          <w:sz w:val="16"/>
          <w:szCs w:val="16"/>
          <w:color w:val="auto"/>
        </w:rPr>
        <w:t>”)) now pending or, to the knowledge of the Company, threatened, against or affecting the Company or any of its subsidiaries, which, singly or in the aggregate, would reasonably be expected to result in a Material Adverse Effect, or which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6" w:name="page67"/>
    <w:bookmarkEnd w:id="6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and the Prospectus, including ordinary routine litigation incidental to the business, would not, singly or in the aggregate, reasonably be expected to result in a Material Adverse Effect.</w:t>
      </w:r>
    </w:p>
    <w:p>
      <w:pPr>
        <w:spacing w:after="0" w:line="176" w:lineRule="exact"/>
        <w:rPr>
          <w:sz w:val="20"/>
          <w:szCs w:val="20"/>
          <w:color w:val="auto"/>
        </w:rPr>
      </w:pPr>
    </w:p>
    <w:p>
      <w:pPr>
        <w:ind w:right="120" w:firstLine="436"/>
        <w:spacing w:after="0" w:line="27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70" w:lineRule="exact"/>
        <w:rPr>
          <w:rFonts w:ascii="Arial" w:cs="Arial" w:eastAsia="Arial" w:hAnsi="Arial"/>
          <w:sz w:val="18"/>
          <w:szCs w:val="18"/>
          <w:color w:val="auto"/>
        </w:rPr>
      </w:pPr>
    </w:p>
    <w:p>
      <w:pPr>
        <w:ind w:right="40" w:firstLine="436"/>
        <w:spacing w:after="0" w:line="301"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Shares hereunder or the consummation of the transactions contemplated by this Agreement, except (A) such as have been already obtained or as may be required under the Securities Act, the rules of the Principal Market, state securities laws or the rules of FINRA.</w:t>
      </w:r>
    </w:p>
    <w:p>
      <w:pPr>
        <w:spacing w:after="0" w:line="157" w:lineRule="exact"/>
        <w:rPr>
          <w:rFonts w:ascii="Arial" w:cs="Arial" w:eastAsia="Arial" w:hAnsi="Arial"/>
          <w:sz w:val="16"/>
          <w:szCs w:val="16"/>
          <w:color w:val="auto"/>
        </w:rPr>
      </w:pPr>
    </w:p>
    <w:p>
      <w:pPr>
        <w:ind w:firstLine="436"/>
        <w:spacing w:after="0" w:line="267" w:lineRule="auto"/>
        <w:tabs>
          <w:tab w:leader="none" w:pos="73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its subsidiaries possess such permits, licenses, approvals, clearances, certificates, consents and other authorizations issued by the appropriate Governmental Entities necessary to conduct the business as described in the Registration Statement and the Prospectus (collectively,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written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 (i) are, and at all times have been, in compliance with all applicable statutes, rules and regulations applicable to the ownership, testing, development, manufacture, packaging, processing, use, distribution, storage, import, export or disposal of any product manufactured or distributed by them (“</w:t>
      </w:r>
      <w:r>
        <w:rPr>
          <w:rFonts w:ascii="Arial" w:cs="Arial" w:eastAsia="Arial" w:hAnsi="Arial"/>
          <w:sz w:val="17"/>
          <w:szCs w:val="17"/>
          <w:b w:val="1"/>
          <w:bCs w:val="1"/>
          <w:color w:val="auto"/>
        </w:rPr>
        <w:t>Applicable Laws</w:t>
      </w:r>
      <w:r>
        <w:rPr>
          <w:rFonts w:ascii="Arial" w:cs="Arial" w:eastAsia="Arial" w:hAnsi="Arial"/>
          <w:sz w:val="17"/>
          <w:szCs w:val="17"/>
          <w:color w:val="auto"/>
        </w:rPr>
        <w:t>”),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7" w:name="page68"/>
    <w:bookmarkEnd w:id="67"/>
    <w:p>
      <w:pPr>
        <w:ind w:right="40" w:firstLine="436"/>
        <w:spacing w:after="0" w:line="289"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and the Prospectus or (B) 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6" w:lineRule="exact"/>
        <w:rPr>
          <w:rFonts w:ascii="Arial" w:cs="Arial" w:eastAsia="Arial" w:hAnsi="Arial"/>
          <w:sz w:val="16"/>
          <w:szCs w:val="16"/>
          <w:color w:val="auto"/>
        </w:rPr>
      </w:pPr>
    </w:p>
    <w:p>
      <w:pPr>
        <w:ind w:firstLine="436"/>
        <w:spacing w:after="0" w:line="284"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Except as would not reasonably be expected to have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carry on the business now operated by them and as proposed to be operated as described in the Registration Statement and the Prospectus. Except as would not reasonably be expected to have a Material Adverse Effect, (i) neither the Company nor any of its subsidiaries has received any notice of nor, to the knowledge of the Company, has engaged in any infringement, misappropriation or other violation of or conflict regarding any Intellectual Property of any third party, (ii) 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To the knowledge of the Company, no third party is infringing, misappropriating or otherwise violating any of the Company Intellectual Property and there is no pending or threatened action, suit, proceeding or claim by the Company or any of its subsidiaries against a third party regarding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8" w:name="page69"/>
    <w:bookmarkEnd w:id="6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 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 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w:t>
      </w:r>
    </w:p>
    <w:p>
      <w:pPr>
        <w:spacing w:after="0" w:line="180" w:lineRule="exact"/>
        <w:rPr>
          <w:sz w:val="20"/>
          <w:szCs w:val="20"/>
          <w:color w:val="auto"/>
        </w:rPr>
      </w:pPr>
    </w:p>
    <w:p>
      <w:pPr>
        <w:ind w:left="684" w:hanging="244"/>
        <w:spacing w:after="0"/>
        <w:tabs>
          <w:tab w:leader="none" w:pos="68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would not, singly or in the aggregate, reasonably be expected to result in a Material Adverse Effect,</w:t>
      </w:r>
    </w:p>
    <w:p>
      <w:pPr>
        <w:spacing w:after="0" w:line="34" w:lineRule="exact"/>
        <w:rPr>
          <w:rFonts w:ascii="Arial" w:cs="Arial" w:eastAsia="Arial" w:hAnsi="Arial"/>
          <w:sz w:val="17"/>
          <w:szCs w:val="17"/>
          <w:color w:val="auto"/>
        </w:rPr>
      </w:pPr>
    </w:p>
    <w:p>
      <w:pPr>
        <w:ind w:left="4" w:right="120" w:hanging="4"/>
        <w:spacing w:after="0" w:line="268" w:lineRule="auto"/>
        <w:tabs>
          <w:tab w:leader="none" w:pos="2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9" w:name="page70"/>
    <w:bookmarkEnd w:id="69"/>
    <w:p>
      <w:pPr>
        <w:ind w:left="4" w:right="6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disposal, transport, discharge, emission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65" w:lineRule="exact"/>
        <w:rPr>
          <w:sz w:val="20"/>
          <w:szCs w:val="20"/>
          <w:color w:val="auto"/>
        </w:rPr>
      </w:pPr>
    </w:p>
    <w:p>
      <w:pPr>
        <w:ind w:left="4" w:right="120" w:firstLine="436"/>
        <w:spacing w:after="0" w:line="291" w:lineRule="auto"/>
        <w:tabs>
          <w:tab w:leader="none" w:pos="769"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and each of its subsidiaries maintain effective internal control over financial reporting (as defined under Rules 13-a15 and 15d-15 under the Exchange Act) and a system of internal accounting controls sufficient to provide reasonable assurances that</w:t>
      </w:r>
    </w:p>
    <w:p>
      <w:pPr>
        <w:ind w:left="4" w:right="20" w:hanging="4"/>
        <w:spacing w:after="0" w:line="285" w:lineRule="auto"/>
        <w:tabs>
          <w:tab w:leader="none" w:pos="29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74" w:lineRule="exact"/>
        <w:rPr>
          <w:rFonts w:ascii="Arial" w:cs="Arial" w:eastAsia="Arial" w:hAnsi="Arial"/>
          <w:sz w:val="16"/>
          <w:szCs w:val="16"/>
          <w:color w:val="auto"/>
        </w:rPr>
      </w:pPr>
    </w:p>
    <w:p>
      <w:pPr>
        <w:ind w:left="4" w:firstLine="436"/>
        <w:spacing w:after="0" w:line="255" w:lineRule="auto"/>
        <w:tabs>
          <w:tab w:leader="none" w:pos="78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(the “</w:t>
      </w:r>
      <w:r>
        <w:rPr>
          <w:rFonts w:ascii="Arial" w:cs="Arial" w:eastAsia="Arial" w:hAnsi="Arial"/>
          <w:sz w:val="18"/>
          <w:szCs w:val="18"/>
          <w:b w:val="1"/>
          <w:bCs w:val="1"/>
          <w:color w:val="auto"/>
        </w:rPr>
        <w:t>Sarbanes-Oxley Act</w:t>
      </w:r>
      <w:r>
        <w:rPr>
          <w:rFonts w:ascii="Arial" w:cs="Arial" w:eastAsia="Arial" w:hAnsi="Arial"/>
          <w:sz w:val="18"/>
          <w:szCs w:val="18"/>
          <w:color w:val="auto"/>
        </w:rPr>
        <w:t>”) that are then in effect and with which the Company is required to comply as of the effectiveness of the Registration Statement, and is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92" w:lineRule="exact"/>
        <w:rPr>
          <w:rFonts w:ascii="Arial" w:cs="Arial" w:eastAsia="Arial" w:hAnsi="Arial"/>
          <w:sz w:val="18"/>
          <w:szCs w:val="18"/>
          <w:color w:val="auto"/>
        </w:rPr>
      </w:pPr>
    </w:p>
    <w:p>
      <w:pPr>
        <w:ind w:left="4" w:right="60" w:firstLine="436"/>
        <w:spacing w:after="0" w:line="263" w:lineRule="auto"/>
        <w:tabs>
          <w:tab w:leader="none" w:pos="76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United States federal, state, local and non-U.S. income tax returns of the Company and its subsidiaries required by law to be filed have been filed as of the date hereof (after giving effect to any extensions provided by law that have been requested) and all taxes shown by such returns or otherwise assessed, which are due and payable, have been paid,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70" w:name="page71"/>
    <w:bookmarkEnd w:id="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assessments against which appeals have been or will be promptly taken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Company’s most recent annual fiscal year for which it has filed an annual report on Form 10-K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w:t>
      </w:r>
    </w:p>
    <w:p>
      <w:pPr>
        <w:spacing w:after="0" w:line="186" w:lineRule="exact"/>
        <w:rPr>
          <w:sz w:val="20"/>
          <w:szCs w:val="20"/>
          <w:color w:val="auto"/>
        </w:rPr>
      </w:pPr>
    </w:p>
    <w:p>
      <w:pPr>
        <w:ind w:right="60" w:firstLine="436"/>
        <w:spacing w:after="0" w:line="254" w:lineRule="auto"/>
        <w:tabs>
          <w:tab w:leader="none" w:pos="78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w:t>
      </w:r>
    </w:p>
    <w:p>
      <w:pPr>
        <w:spacing w:after="0" w:line="194" w:lineRule="exact"/>
        <w:rPr>
          <w:rFonts w:ascii="Arial" w:cs="Arial" w:eastAsia="Arial" w:hAnsi="Arial"/>
          <w:sz w:val="18"/>
          <w:szCs w:val="18"/>
          <w:color w:val="auto"/>
        </w:rPr>
      </w:pPr>
    </w:p>
    <w:p>
      <w:pPr>
        <w:ind w:right="600" w:firstLine="436"/>
        <w:spacing w:after="0" w:line="286" w:lineRule="auto"/>
        <w:tabs>
          <w:tab w:leader="none" w:pos="76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required, and upon the issuance and sale of the Shares as herein contemplated and the application of the net proceeds therefrom as described in the Registration Statement and the Prospectus will not be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180" w:firstLine="436"/>
        <w:spacing w:after="0" w:line="259" w:lineRule="auto"/>
        <w:tabs>
          <w:tab w:leader="none" w:pos="72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71" w:name="page72"/>
    <w:bookmarkEnd w:id="71"/>
    <w:p>
      <w:pPr>
        <w:ind w:right="40" w:firstLine="436"/>
        <w:spacing w:after="0" w:line="289" w:lineRule="auto"/>
        <w:tabs>
          <w:tab w:leader="none" w:pos="78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Arial" w:cs="Arial" w:eastAsia="Arial" w:hAnsi="Arial"/>
          <w:sz w:val="16"/>
          <w:szCs w:val="16"/>
          <w:color w:val="auto"/>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b w:val="1"/>
          <w:bCs w:val="1"/>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66" w:lineRule="exact"/>
        <w:rPr>
          <w:rFonts w:ascii="Arial" w:cs="Arial" w:eastAsia="Arial" w:hAnsi="Arial"/>
          <w:sz w:val="16"/>
          <w:szCs w:val="16"/>
          <w:color w:val="auto"/>
        </w:rPr>
      </w:pPr>
    </w:p>
    <w:p>
      <w:pPr>
        <w:ind w:firstLine="436"/>
        <w:spacing w:after="0" w:line="255" w:lineRule="auto"/>
        <w:tabs>
          <w:tab w:leader="none" w:pos="7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Governmental Entity involving the Company or any of its subsidiaries with respect to the Money Laundering Laws is pending or, to the best knowledge of the Company, threatened.</w:t>
      </w:r>
    </w:p>
    <w:p>
      <w:pPr>
        <w:spacing w:after="0" w:line="192" w:lineRule="exact"/>
        <w:rPr>
          <w:rFonts w:ascii="Arial" w:cs="Arial" w:eastAsia="Arial" w:hAnsi="Arial"/>
          <w:sz w:val="18"/>
          <w:szCs w:val="18"/>
          <w:color w:val="auto"/>
        </w:rPr>
      </w:pPr>
    </w:p>
    <w:p>
      <w:pPr>
        <w:ind w:right="40" w:firstLine="436"/>
        <w:spacing w:after="0" w:line="289"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director or officer or, to the knowledge of the Company, any director or officer of the Company or its subsidiaries, as applicable,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66" w:lineRule="exact"/>
        <w:rPr>
          <w:rFonts w:ascii="Arial" w:cs="Arial" w:eastAsia="Arial" w:hAnsi="Arial"/>
          <w:sz w:val="16"/>
          <w:szCs w:val="16"/>
          <w:color w:val="auto"/>
        </w:rPr>
      </w:pPr>
    </w:p>
    <w:p>
      <w:pPr>
        <w:jc w:val="both"/>
        <w:ind w:right="480" w:firstLine="436"/>
        <w:spacing w:after="0" w:line="263"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color w:val="auto"/>
        </w:rPr>
        <w:t>. Except as disclosed in the Registration Statement and the Prospectus, the Company (i) does not have any material lending or other relationship with any bank or lending affiliate of the Agent and (ii) does not intend to use any of the proceeds from the sale of the Shares to repay any outstanding debt owed to any affiliate of the Agent.</w:t>
      </w:r>
    </w:p>
    <w:p>
      <w:pPr>
        <w:spacing w:after="0" w:line="183" w:lineRule="exact"/>
        <w:rPr>
          <w:rFonts w:ascii="Arial" w:cs="Arial" w:eastAsia="Arial" w:hAnsi="Arial"/>
          <w:sz w:val="18"/>
          <w:szCs w:val="18"/>
          <w:color w:val="auto"/>
        </w:rPr>
      </w:pPr>
    </w:p>
    <w:p>
      <w:pPr>
        <w:jc w:val="both"/>
        <w:ind w:right="440" w:firstLine="436"/>
        <w:spacing w:after="0" w:line="286" w:lineRule="auto"/>
        <w:tabs>
          <w:tab w:leader="none" w:pos="78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72" w:name="page73"/>
    <w:bookmarkEnd w:id="72"/>
    <w:p>
      <w:pPr>
        <w:ind w:firstLine="436"/>
        <w:spacing w:after="0" w:line="283"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Technology, Cybersecurity and Data Protection</w:t>
      </w:r>
      <w:r>
        <w:rPr>
          <w:rFonts w:ascii="Arial" w:cs="Arial" w:eastAsia="Arial" w:hAnsi="Arial"/>
          <w:sz w:val="16"/>
          <w:szCs w:val="16"/>
          <w:color w:val="auto"/>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Arial" w:cs="Arial" w:eastAsia="Arial" w:hAnsi="Arial"/>
          <w:sz w:val="16"/>
          <w:szCs w:val="16"/>
          <w:b w:val="1"/>
          <w:bCs w:val="1"/>
          <w:color w:val="auto"/>
        </w:rPr>
        <w:t>IT Systems and Data</w:t>
      </w:r>
      <w:r>
        <w:rPr>
          <w:rFonts w:ascii="Arial" w:cs="Arial" w:eastAsia="Arial" w:hAnsi="Arial"/>
          <w:sz w:val="16"/>
          <w:szCs w:val="16"/>
          <w:color w:val="auto"/>
        </w:rPr>
        <w:t>”);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currently proposed to be operated as described in the Registration Statement and the Prospectus.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Arial" w:cs="Arial" w:eastAsia="Arial" w:hAnsi="Arial"/>
          <w:sz w:val="16"/>
          <w:szCs w:val="16"/>
          <w:b w:val="1"/>
          <w:bCs w:val="1"/>
          <w:color w:val="auto"/>
        </w:rPr>
        <w:t>Sensitive Company Data</w:t>
      </w:r>
      <w:r>
        <w:rPr>
          <w:rFonts w:ascii="Arial" w:cs="Arial" w:eastAsia="Arial" w:hAnsi="Arial"/>
          <w:sz w:val="16"/>
          <w:szCs w:val="16"/>
          <w:color w:val="auto"/>
        </w:rPr>
        <w:t>”),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 “</w:t>
      </w:r>
      <w:r>
        <w:rPr>
          <w:rFonts w:ascii="Arial" w:cs="Arial" w:eastAsia="Arial" w:hAnsi="Arial"/>
          <w:sz w:val="16"/>
          <w:szCs w:val="16"/>
          <w:b w:val="1"/>
          <w:bCs w:val="1"/>
          <w:color w:val="auto"/>
        </w:rPr>
        <w:t>Data Protection Laws</w:t>
      </w:r>
      <w:r>
        <w:rPr>
          <w:rFonts w:ascii="Arial" w:cs="Arial" w:eastAsia="Arial" w:hAnsi="Arial"/>
          <w:sz w:val="16"/>
          <w:szCs w:val="16"/>
          <w:color w:val="auto"/>
        </w:rPr>
        <w:t>”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and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73" w:name="page74"/>
    <w:bookmarkEnd w:id="7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w:t>
      </w:r>
    </w:p>
    <w:p>
      <w:pPr>
        <w:spacing w:after="0" w:line="188" w:lineRule="exact"/>
        <w:rPr>
          <w:sz w:val="20"/>
          <w:szCs w:val="20"/>
          <w:color w:val="auto"/>
        </w:rPr>
      </w:pPr>
    </w:p>
    <w:p>
      <w:pPr>
        <w:ind w:right="200" w:firstLine="436"/>
        <w:spacing w:after="0" w:line="277" w:lineRule="auto"/>
        <w:tabs>
          <w:tab w:leader="none" w:pos="88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Neither the Company nor its subsidiaries have any debt securities or preferred stock that are rated by any “nationally recognized statistical rating organization” (as defined in Section 3(a)(62) of the Exchange Act).</w:t>
      </w:r>
    </w:p>
    <w:p>
      <w:pPr>
        <w:spacing w:after="0" w:line="170" w:lineRule="exact"/>
        <w:rPr>
          <w:rFonts w:ascii="Arial" w:cs="Arial" w:eastAsia="Arial" w:hAnsi="Arial"/>
          <w:sz w:val="18"/>
          <w:szCs w:val="18"/>
          <w:color w:val="auto"/>
        </w:rPr>
      </w:pPr>
    </w:p>
    <w:p>
      <w:pPr>
        <w:ind w:firstLine="436"/>
        <w:spacing w:after="0" w:line="267" w:lineRule="auto"/>
        <w:tabs>
          <w:tab w:leader="none" w:pos="78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Except as would not, singly or in the aggregate, reasonably be expected to result in a Material Adverse Effect, (A) the Company and its subsidiaries and any “Employee Benefit Plan” (as defined under the Employee Retirement Income Security Act of 1974, as amended, and the regulations and published interpretations promulgated thereunder (collectively,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its subsidiaries or its or their “ERISA Affiliates” (as defined below) would have any liability (each, a “</w:t>
      </w:r>
      <w:r>
        <w:rPr>
          <w:rFonts w:ascii="Arial" w:cs="Arial" w:eastAsia="Arial" w:hAnsi="Arial"/>
          <w:sz w:val="17"/>
          <w:szCs w:val="17"/>
          <w:b w:val="1"/>
          <w:bCs w:val="1"/>
          <w:color w:val="auto"/>
        </w:rPr>
        <w:t>Plan</w:t>
      </w:r>
      <w:r>
        <w:rPr>
          <w:rFonts w:ascii="Arial" w:cs="Arial" w:eastAsia="Arial" w:hAnsi="Arial"/>
          <w:sz w:val="17"/>
          <w:szCs w:val="17"/>
          <w:color w:val="auto"/>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(D) 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(E) each Plan that is intended to be 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the Company, any member of any group of organizations described in Sections 414(b), (c), (m) or (o) of the Code of which the Company or such subsidiary is a member.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74" w:name="page75"/>
    <w:bookmarkEnd w:id="74"/>
    <w:p>
      <w:pPr>
        <w:ind w:firstLine="436"/>
        <w:spacing w:after="0" w:line="284" w:lineRule="auto"/>
        <w:tabs>
          <w:tab w:leader="none" w:pos="7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Matters</w:t>
      </w:r>
      <w:r>
        <w:rPr>
          <w:rFonts w:ascii="Arial" w:cs="Arial" w:eastAsia="Arial" w:hAnsi="Arial"/>
          <w:sz w:val="16"/>
          <w:szCs w:val="16"/>
          <w:color w:val="auto"/>
        </w:rPr>
        <w:t>. Except as described in the Registration Statement and the Prospectus: (i)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Arial" w:cs="Arial" w:eastAsia="Arial" w:hAnsi="Arial"/>
          <w:sz w:val="16"/>
          <w:szCs w:val="16"/>
          <w:b w:val="1"/>
          <w:bCs w:val="1"/>
          <w:color w:val="auto"/>
        </w:rPr>
        <w:t>FFDCA</w:t>
      </w:r>
      <w:r>
        <w:rPr>
          <w:rFonts w:ascii="Arial" w:cs="Arial" w:eastAsia="Arial" w:hAnsi="Arial"/>
          <w:sz w:val="16"/>
          <w:szCs w:val="16"/>
          <w:color w:val="auto"/>
        </w:rPr>
        <w:t>”), the Anti-Kickback Statute (42 U.S.C. Section 1320a-7b(b)), the Civil Monetary Penalties Law (42 U.S.C. § 1320a-7a), the Physician Payment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storage, import, export or disposal of the Company’s product candidates, each as amended from time to time (collectively, “</w:t>
      </w:r>
      <w:r>
        <w:rPr>
          <w:rFonts w:ascii="Arial" w:cs="Arial" w:eastAsia="Arial" w:hAnsi="Arial"/>
          <w:sz w:val="16"/>
          <w:szCs w:val="16"/>
          <w:b w:val="1"/>
          <w:bCs w:val="1"/>
          <w:color w:val="auto"/>
        </w:rPr>
        <w:t>Health Care Laws</w:t>
      </w:r>
      <w:r>
        <w:rPr>
          <w:rFonts w:ascii="Arial" w:cs="Arial" w:eastAsia="Arial" w:hAnsi="Arial"/>
          <w:sz w:val="16"/>
          <w:szCs w:val="16"/>
          <w:color w:val="auto"/>
        </w:rPr>
        <w:t>”); (ii) the Company and its subsidiaries are and have been in compliance with applicable Health Care Laws, except where instances of non-compliance would not, singly or in the aggregate, reasonably be expected to result in a Material Adverse Effect;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or third party alleging that any product operation or activity is in violation of any Health Care Laws and, to the Company’s knowledge, no such claim, action, suit, proceeding, hearing, enforcement, investigation, arbitration or other action is threatened;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 or, to the knowledge of the Company, is subject to a governmental inquiry, investigation, proceeding, or other similar action that would 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167" w:lineRule="exact"/>
        <w:rPr>
          <w:rFonts w:ascii="Arial" w:cs="Arial" w:eastAsia="Arial" w:hAnsi="Arial"/>
          <w:sz w:val="16"/>
          <w:szCs w:val="16"/>
          <w:color w:val="auto"/>
        </w:rPr>
      </w:pPr>
    </w:p>
    <w:p>
      <w:pPr>
        <w:ind w:right="140" w:firstLine="436"/>
        <w:spacing w:after="0" w:line="257" w:lineRule="auto"/>
        <w:tabs>
          <w:tab w:leader="none" w:pos="7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Preclinical Studies and Clinical Trials</w:t>
      </w:r>
      <w:r>
        <w:rPr>
          <w:rFonts w:ascii="Arial" w:cs="Arial" w:eastAsia="Arial" w:hAnsi="Arial"/>
          <w:sz w:val="18"/>
          <w:szCs w:val="18"/>
          <w:color w:val="auto"/>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and all other applicable Health Care Laws, except as would not, singly or in the aggregate, reasonably be expected to have a Material Adverse Effect; the descriptions in the Registration Statement or the Prospectus of the results of such 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and the Prospectus, the results of which would reasonably call into question in any material respect the results of the preclinical studies and clinical trials described in the Registration Statement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and the Prospectus, or (ii) the material modification of any preclinical studies or clinical trials that would cause them to materially differ from their descriptions in the Registration Statement and the Prospectus, other than ordinary course communications with respect to modifications in connection with the design and implementation of such preclinical studies or clinical trials, and, to the Company’s knowledge, there are no reasonable grounds for the same.</w:t>
      </w:r>
    </w:p>
    <w:p>
      <w:pPr>
        <w:spacing w:after="0" w:line="171" w:lineRule="exact"/>
        <w:rPr>
          <w:sz w:val="20"/>
          <w:szCs w:val="20"/>
          <w:color w:val="auto"/>
        </w:rPr>
      </w:pPr>
    </w:p>
    <w:p>
      <w:pPr>
        <w:ind w:right="40" w:firstLine="436"/>
        <w:spacing w:after="0" w:line="287" w:lineRule="auto"/>
        <w:tabs>
          <w:tab w:leader="none" w:pos="78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Health Care Products Manufacturing</w:t>
      </w:r>
      <w:r>
        <w:rPr>
          <w:rFonts w:ascii="Arial" w:cs="Arial" w:eastAsia="Arial" w:hAnsi="Arial"/>
          <w:sz w:val="16"/>
          <w:szCs w:val="16"/>
          <w:color w:val="auto"/>
        </w:rPr>
        <w:t>.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candidates) subject to a Governmental Authority (including FDA or EMA) shutdown or import or export prohibition, nor received any FDA, EMA or other Governmental Authority “warning letters,” or “untitled letters” alleging or asserting material noncompliance with any applicable Health Care Laws, requests to make material changes to the Company’s or its subsidiaries’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171" w:lineRule="exact"/>
        <w:rPr>
          <w:rFonts w:ascii="Arial" w:cs="Arial" w:eastAsia="Arial" w:hAnsi="Arial"/>
          <w:sz w:val="16"/>
          <w:szCs w:val="16"/>
          <w:color w:val="auto"/>
        </w:rPr>
      </w:pPr>
    </w:p>
    <w:p>
      <w:pPr>
        <w:ind w:right="160" w:firstLine="436"/>
        <w:spacing w:after="0" w:line="255" w:lineRule="auto"/>
        <w:tabs>
          <w:tab w:leader="none" w:pos="72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Safety Notices</w:t>
      </w:r>
      <w:r>
        <w:rPr>
          <w:rFonts w:ascii="Arial" w:cs="Arial" w:eastAsia="Arial" w:hAnsi="Arial"/>
          <w:sz w:val="18"/>
          <w:szCs w:val="18"/>
          <w:color w:val="auto"/>
        </w:rPr>
        <w:t>. (i) There have been no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w:t>
      </w:r>
      <w:r>
        <w:rPr>
          <w:rFonts w:ascii="Arial" w:cs="Arial" w:eastAsia="Arial" w:hAnsi="Arial"/>
          <w:sz w:val="18"/>
          <w:szCs w:val="18"/>
          <w:b w:val="1"/>
          <w:bCs w:val="1"/>
          <w:color w:val="auto"/>
        </w:rPr>
        <w:t>Safety Notices</w:t>
      </w:r>
      <w:r>
        <w:rPr>
          <w:rFonts w:ascii="Arial" w:cs="Arial" w:eastAsia="Arial" w:hAnsi="Arial"/>
          <w:sz w:val="18"/>
          <w:szCs w:val="18"/>
          <w:color w:val="auto"/>
        </w:rPr>
        <w:t>”) and (ii) there are no facts that would be reasonably likely to result in (x) a Safety Notice with respect to the Company’s or its subsidiaries’ product candidates, or (y) a material change in labeling of any of the Company’s or its subsidiaries’ product candidates or (z) a termination or suspension of marketing or testing of any of the Company’s or its subsidiaries’ product candidates.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6" w:name="page77"/>
    <w:bookmarkEnd w:id="76"/>
    <w:p>
      <w:pPr>
        <w:jc w:val="both"/>
        <w:ind w:right="40" w:firstLine="436"/>
        <w:spacing w:after="0" w:line="279" w:lineRule="auto"/>
        <w:tabs>
          <w:tab w:leader="none" w:pos="74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FINRA Matters</w:t>
      </w:r>
      <w:r>
        <w:rPr>
          <w:rFonts w:ascii="Arial" w:cs="Arial" w:eastAsia="Arial" w:hAnsi="Arial"/>
          <w:sz w:val="17"/>
          <w:szCs w:val="17"/>
          <w:color w:val="auto"/>
        </w:rPr>
        <w:t>. All of the information provided to the Agent or to counsel for the Agent by the Company, and, to the Company’s knowledge, its counsel, its officers and directors and the holders of any securities (debt or equity) or options to acquire any securities of the Company in connection with the offering of the Shares is true and correct as of the date it is provided to the Agent or to counsel for the Agent and is compliant in all material respects with FINRA’s rules in effect at the time it is provided to the Agent or to counsel for the Agent.</w:t>
      </w:r>
    </w:p>
    <w:p>
      <w:pPr>
        <w:spacing w:after="0" w:line="171" w:lineRule="exact"/>
        <w:rPr>
          <w:rFonts w:ascii="Arial" w:cs="Arial" w:eastAsia="Arial" w:hAnsi="Arial"/>
          <w:sz w:val="17"/>
          <w:szCs w:val="17"/>
          <w:color w:val="auto"/>
        </w:rPr>
      </w:pPr>
    </w:p>
    <w:p>
      <w:pPr>
        <w:ind w:right="140" w:firstLine="436"/>
        <w:spacing w:after="0" w:line="342"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23" w:lineRule="exact"/>
        <w:rPr>
          <w:rFonts w:ascii="Arial" w:cs="Arial" w:eastAsia="Arial" w:hAnsi="Arial"/>
          <w:sz w:val="16"/>
          <w:szCs w:val="16"/>
          <w:color w:val="auto"/>
        </w:rPr>
      </w:pPr>
    </w:p>
    <w:p>
      <w:pPr>
        <w:ind w:right="20" w:firstLine="436"/>
        <w:spacing w:after="0" w:line="277" w:lineRule="auto"/>
        <w:tabs>
          <w:tab w:leader="none" w:pos="7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jc w:val="both"/>
        <w:ind w:firstLine="436"/>
        <w:spacing w:after="0" w:line="263" w:lineRule="auto"/>
        <w:tabs>
          <w:tab w:leader="none" w:pos="7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3" w:lineRule="exact"/>
        <w:rPr>
          <w:rFonts w:ascii="Arial" w:cs="Arial" w:eastAsia="Arial" w:hAnsi="Arial"/>
          <w:sz w:val="18"/>
          <w:szCs w:val="18"/>
          <w:color w:val="auto"/>
        </w:rPr>
      </w:pPr>
    </w:p>
    <w:p>
      <w:pPr>
        <w:ind w:right="20" w:firstLine="436"/>
        <w:spacing w:after="0" w:line="277" w:lineRule="auto"/>
        <w:tabs>
          <w:tab w:leader="none" w:pos="86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ind w:right="60" w:firstLine="436"/>
        <w:spacing w:after="0" w:line="259"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77" w:name="page78"/>
    <w:bookmarkEnd w:id="77"/>
    <w:p>
      <w:pPr>
        <w:ind w:left="4" w:right="260" w:firstLine="436"/>
        <w:spacing w:after="0" w:line="287" w:lineRule="auto"/>
        <w:tabs>
          <w:tab w:leader="none" w:pos="65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w:t>
      </w:r>
    </w:p>
    <w:p>
      <w:pPr>
        <w:spacing w:after="0" w:line="2" w:lineRule="exact"/>
        <w:rPr>
          <w:rFonts w:ascii="Arial" w:cs="Arial" w:eastAsia="Arial" w:hAnsi="Arial"/>
          <w:sz w:val="16"/>
          <w:szCs w:val="16"/>
          <w:color w:val="auto"/>
        </w:rPr>
      </w:pPr>
    </w:p>
    <w:p>
      <w:pPr>
        <w:ind w:left="4" w:right="120" w:hanging="4"/>
        <w:spacing w:after="0" w:line="252" w:lineRule="auto"/>
        <w:tabs>
          <w:tab w:leader="none" w:pos="2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93" w:lineRule="exact"/>
        <w:rPr>
          <w:rFonts w:ascii="Arial" w:cs="Arial" w:eastAsia="Arial" w:hAnsi="Arial"/>
          <w:sz w:val="18"/>
          <w:szCs w:val="18"/>
          <w:color w:val="auto"/>
        </w:rPr>
      </w:pPr>
    </w:p>
    <w:p>
      <w:pPr>
        <w:ind w:left="4" w:firstLine="436"/>
        <w:spacing w:after="0" w:line="296" w:lineRule="auto"/>
        <w:tabs>
          <w:tab w:leader="none" w:pos="70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61" w:lineRule="exact"/>
        <w:rPr>
          <w:rFonts w:ascii="Arial" w:cs="Arial" w:eastAsia="Arial" w:hAnsi="Arial"/>
          <w:sz w:val="16"/>
          <w:szCs w:val="16"/>
          <w:color w:val="auto"/>
        </w:rPr>
      </w:pPr>
    </w:p>
    <w:p>
      <w:pPr>
        <w:ind w:left="4" w:right="100" w:firstLine="436"/>
        <w:spacing w:after="0" w:line="275" w:lineRule="auto"/>
        <w:tabs>
          <w:tab w:leader="none" w:pos="759"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(A) in negotiated transactions with the consent of the Company or (B) by any other method permitted by law deemed to be an “</w:t>
      </w:r>
      <w:r>
        <w:rPr>
          <w:rFonts w:ascii="Arial" w:cs="Arial" w:eastAsia="Arial" w:hAnsi="Arial"/>
          <w:sz w:val="17"/>
          <w:szCs w:val="17"/>
          <w:b w:val="1"/>
          <w:bCs w:val="1"/>
          <w:color w:val="auto"/>
        </w:rPr>
        <w:t>at the market offering</w:t>
      </w:r>
      <w:r>
        <w:rPr>
          <w:rFonts w:ascii="Arial" w:cs="Arial" w:eastAsia="Arial" w:hAnsi="Arial"/>
          <w:sz w:val="17"/>
          <w:szCs w:val="17"/>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76" w:lineRule="exact"/>
        <w:rPr>
          <w:rFonts w:ascii="Arial" w:cs="Arial" w:eastAsia="Arial" w:hAnsi="Arial"/>
          <w:sz w:val="17"/>
          <w:szCs w:val="17"/>
          <w:color w:val="auto"/>
        </w:rPr>
      </w:pPr>
    </w:p>
    <w:p>
      <w:pPr>
        <w:ind w:left="4" w:right="60" w:firstLine="436"/>
        <w:spacing w:after="0" w:line="286" w:lineRule="auto"/>
        <w:tabs>
          <w:tab w:leader="none" w:pos="749"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65"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78" w:name="page79"/>
    <w:bookmarkEnd w:id="78"/>
    <w:p>
      <w:pPr>
        <w:ind w:left="-20" w:firstLine="436"/>
        <w:spacing w:after="0" w:line="287" w:lineRule="auto"/>
        <w:tabs>
          <w:tab w:leader="none" w:pos="72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20" w:firstLine="436"/>
        <w:spacing w:after="0" w:line="259" w:lineRule="auto"/>
        <w:tabs>
          <w:tab w:leader="none" w:pos="77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ind w:left="-20" w:right="220" w:firstLine="436"/>
        <w:spacing w:after="0" w:line="263" w:lineRule="auto"/>
        <w:tabs>
          <w:tab w:leader="none" w:pos="82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left="-20" w:right="20" w:firstLine="436"/>
        <w:spacing w:after="0" w:line="263" w:lineRule="auto"/>
        <w:tabs>
          <w:tab w:leader="none" w:pos="66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by the Agent deducting the Selling Commission from the applicable Issuance Amount.</w:t>
      </w:r>
    </w:p>
    <w:p>
      <w:pPr>
        <w:spacing w:after="0" w:line="183" w:lineRule="exact"/>
        <w:rPr>
          <w:rFonts w:ascii="Arial" w:cs="Arial" w:eastAsia="Arial" w:hAnsi="Arial"/>
          <w:sz w:val="18"/>
          <w:szCs w:val="18"/>
          <w:color w:val="auto"/>
        </w:rPr>
      </w:pPr>
    </w:p>
    <w:p>
      <w:pPr>
        <w:ind w:left="-20" w:firstLine="436"/>
        <w:spacing w:after="0" w:line="273" w:lineRule="auto"/>
        <w:tabs>
          <w:tab w:leader="none" w:pos="67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79" w:name="page80"/>
    <w:bookmarkEnd w:id="7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7"/>
          <w:szCs w:val="17"/>
          <w:b w:val="1"/>
          <w:bCs w:val="1"/>
          <w:color w:val="auto"/>
        </w:rPr>
        <w:t>Blue Sky Survey</w:t>
      </w:r>
      <w:r>
        <w:rPr>
          <w:rFonts w:ascii="Arial" w:cs="Arial" w:eastAsia="Arial" w:hAnsi="Arial"/>
          <w:sz w:val="17"/>
          <w:szCs w:val="17"/>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execution of this Agreement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firstLine="436"/>
        <w:spacing w:after="0" w:line="291"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such summary information and, at least once a quarter and subject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Rule 424(b) under the Securities Act (and within the time periods required by Rule 424(b) and Rule 430B under the Securities Act)).</w:t>
      </w:r>
    </w:p>
    <w:p>
      <w:pPr>
        <w:spacing w:after="0" w:line="166" w:lineRule="exact"/>
        <w:rPr>
          <w:rFonts w:ascii="Arial" w:cs="Arial" w:eastAsia="Arial" w:hAnsi="Arial"/>
          <w:sz w:val="16"/>
          <w:szCs w:val="16"/>
          <w:color w:val="auto"/>
        </w:rPr>
      </w:pPr>
    </w:p>
    <w:p>
      <w:pPr>
        <w:ind w:right="40" w:firstLine="436"/>
        <w:spacing w:after="0" w:line="259"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Securities Act Compliance</w:t>
      </w:r>
      <w:r>
        <w:rPr>
          <w:rFonts w:ascii="Arial" w:cs="Arial" w:eastAsia="Arial" w:hAnsi="Arial"/>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0" w:name="page81"/>
    <w:bookmarkEnd w:id="8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time and date that any post-effective amendment to the Registration Statement or any Rule 462(b) Registration Statement becomes effective; and</w:t>
      </w:r>
    </w:p>
    <w:p>
      <w:pPr>
        <w:spacing w:after="0" w:line="46" w:lineRule="exact"/>
        <w:rPr>
          <w:sz w:val="20"/>
          <w:szCs w:val="20"/>
          <w:color w:val="auto"/>
        </w:rPr>
      </w:pPr>
    </w:p>
    <w:p>
      <w:pPr>
        <w:ind w:left="4" w:right="60" w:hanging="4"/>
        <w:spacing w:after="0" w:line="268" w:lineRule="auto"/>
        <w:tabs>
          <w:tab w:leader="none" w:pos="309" w:val="left"/>
        </w:tabs>
        <w:numPr>
          <w:ilvl w:val="0"/>
          <w:numId w:val="64"/>
        </w:numPr>
        <w:rPr>
          <w:rFonts w:ascii="Arial" w:cs="Arial" w:eastAsia="Arial" w:hAnsi="Arial"/>
          <w:sz w:val="17"/>
          <w:szCs w:val="17"/>
          <w:color w:val="auto"/>
        </w:rPr>
      </w:pPr>
      <w:r>
        <w:rPr>
          <w:rFonts w:ascii="Arial" w:cs="Arial" w:eastAsia="Arial" w:hAnsi="Arial"/>
          <w:sz w:val="17"/>
          <w:szCs w:val="17"/>
          <w:color w:val="auto"/>
        </w:rPr>
        <w:t>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3" w:lineRule="exact"/>
        <w:rPr>
          <w:rFonts w:ascii="Arial" w:cs="Arial" w:eastAsia="Arial" w:hAnsi="Arial"/>
          <w:sz w:val="17"/>
          <w:szCs w:val="17"/>
          <w:color w:val="auto"/>
        </w:rPr>
      </w:pPr>
    </w:p>
    <w:p>
      <w:pPr>
        <w:ind w:left="4" w:firstLine="436"/>
        <w:spacing w:after="0" w:line="288" w:lineRule="auto"/>
        <w:tabs>
          <w:tab w:leader="none" w:pos="689"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 w:right="140" w:firstLine="436"/>
        <w:spacing w:after="0" w:line="273" w:lineRule="auto"/>
        <w:tabs>
          <w:tab w:leader="none" w:pos="69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77" w:lineRule="exact"/>
        <w:rPr>
          <w:rFonts w:ascii="Arial" w:cs="Arial" w:eastAsia="Arial" w:hAnsi="Arial"/>
          <w:sz w:val="17"/>
          <w:szCs w:val="17"/>
          <w:color w:val="auto"/>
        </w:rPr>
      </w:pPr>
    </w:p>
    <w:p>
      <w:pPr>
        <w:jc w:val="both"/>
        <w:ind w:left="4" w:right="40" w:firstLine="436"/>
        <w:spacing w:after="0" w:line="259" w:lineRule="auto"/>
        <w:tabs>
          <w:tab w:leader="none" w:pos="68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81" w:name="page82"/>
    <w:bookmarkEnd w:id="81"/>
    <w:p>
      <w:pPr>
        <w:ind w:left="-20" w:firstLine="436"/>
        <w:spacing w:after="0" w:line="285" w:lineRule="auto"/>
        <w:tabs>
          <w:tab w:leader="none" w:pos="64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6" w:lineRule="exact"/>
        <w:rPr>
          <w:rFonts w:ascii="Arial" w:cs="Arial" w:eastAsia="Arial" w:hAnsi="Arial"/>
          <w:sz w:val="16"/>
          <w:szCs w:val="16"/>
          <w:color w:val="auto"/>
        </w:rPr>
      </w:pPr>
    </w:p>
    <w:p>
      <w:pPr>
        <w:ind w:left="-20" w:right="220" w:firstLine="436"/>
        <w:spacing w:after="0" w:line="263" w:lineRule="auto"/>
        <w:tabs>
          <w:tab w:leader="none" w:pos="67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ind w:left="-20" w:right="60" w:firstLine="436"/>
        <w:spacing w:after="0" w:line="270" w:lineRule="auto"/>
        <w:tabs>
          <w:tab w:leader="none" w:pos="67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Copies of Registration Statement and Prospectus</w:t>
      </w:r>
      <w:r>
        <w:rPr>
          <w:rFonts w:ascii="Arial" w:cs="Arial" w:eastAsia="Arial" w:hAnsi="Arial"/>
          <w:sz w:val="17"/>
          <w:szCs w:val="17"/>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82" w:name="page83"/>
    <w:bookmarkEnd w:id="8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81" w:lineRule="exact"/>
        <w:rPr>
          <w:sz w:val="20"/>
          <w:szCs w:val="20"/>
          <w:color w:val="auto"/>
        </w:rPr>
      </w:pPr>
    </w:p>
    <w:p>
      <w:pPr>
        <w:ind w:right="120" w:firstLine="436"/>
        <w:spacing w:after="0" w:line="270"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80" w:lineRule="exact"/>
        <w:rPr>
          <w:rFonts w:ascii="Arial" w:cs="Arial" w:eastAsia="Arial" w:hAnsi="Arial"/>
          <w:sz w:val="17"/>
          <w:szCs w:val="17"/>
          <w:color w:val="auto"/>
        </w:rPr>
      </w:pPr>
    </w:p>
    <w:p>
      <w:pPr>
        <w:ind w:right="80" w:firstLine="436"/>
        <w:spacing w:after="0" w:line="311"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right="300" w:firstLine="436"/>
        <w:spacing w:after="0" w:line="263"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right="220" w:firstLine="436"/>
        <w:spacing w:after="0" w:line="259" w:lineRule="auto"/>
        <w:tabs>
          <w:tab w:leader="none" w:pos="74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83" w:name="page84"/>
    <w:bookmarkEnd w:id="83"/>
    <w:p>
      <w:pPr>
        <w:ind w:left="4" w:firstLine="436"/>
        <w:spacing w:after="0" w:line="291" w:lineRule="auto"/>
        <w:tabs>
          <w:tab w:leader="none" w:pos="699"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4" w:right="140" w:firstLine="436"/>
        <w:spacing w:after="0" w:line="277" w:lineRule="auto"/>
        <w:tabs>
          <w:tab w:leader="none" w:pos="699"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62" w:lineRule="exact"/>
        <w:rPr>
          <w:sz w:val="20"/>
          <w:szCs w:val="20"/>
          <w:color w:val="auto"/>
        </w:rPr>
      </w:pPr>
    </w:p>
    <w:p>
      <w:pPr>
        <w:ind w:left="4" w:right="20" w:firstLine="436"/>
        <w:spacing w:after="0" w:line="311" w:lineRule="auto"/>
        <w:tabs>
          <w:tab w:leader="none" w:pos="73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4" w:right="200" w:firstLine="436"/>
        <w:spacing w:after="0" w:line="263" w:lineRule="auto"/>
        <w:tabs>
          <w:tab w:leader="none" w:pos="7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ind w:left="4" w:right="540" w:firstLine="436"/>
        <w:spacing w:after="0" w:line="259" w:lineRule="auto"/>
        <w:tabs>
          <w:tab w:leader="none" w:pos="7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6"/>
          <w:szCs w:val="16"/>
          <w:u w:val="single" w:color="auto"/>
          <w:color w:val="auto"/>
        </w:rPr>
        <w:t>Section 5(a)(iii)</w:t>
      </w:r>
      <w:r>
        <w:rPr>
          <w:rFonts w:ascii="Arial" w:cs="Arial" w:eastAsia="Arial" w:hAnsi="Arial"/>
          <w:sz w:val="16"/>
          <w:szCs w:val="16"/>
          <w:color w:val="auto"/>
        </w:rPr>
        <w:t xml:space="preserve"> hereof, and</w:t>
      </w:r>
    </w:p>
    <w:p>
      <w:pPr>
        <w:spacing w:after="0" w:line="3" w:lineRule="exact"/>
        <w:rPr>
          <w:sz w:val="20"/>
          <w:szCs w:val="20"/>
          <w:color w:val="auto"/>
        </w:rPr>
      </w:pPr>
    </w:p>
    <w:p>
      <w:pPr>
        <w:ind w:left="4" w:right="120" w:hanging="4"/>
        <w:spacing w:after="0" w:line="255" w:lineRule="auto"/>
        <w:tabs>
          <w:tab w:leader="none" w:pos="2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containing any other certification that the Agent shall reasonably request. The requirement to provide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shall be waived for any Triggering Event Date occurring at a time when no Issuance Notice is pending or a suspension is in effect, which waiver shall continue until the earlier to occur of the date the</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84" w:name="page85"/>
    <w:bookmarkEnd w:id="84"/>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176" w:lineRule="exact"/>
        <w:rPr>
          <w:sz w:val="20"/>
          <w:szCs w:val="20"/>
          <w:color w:val="auto"/>
        </w:rPr>
      </w:pPr>
    </w:p>
    <w:p>
      <w:pPr>
        <w:ind w:firstLine="436"/>
        <w:spacing w:after="0" w:line="289"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a negative assurances letter and the written legal opinion of Gunderson Dettmer Stough Villeneuve Franklin &amp; Hachigian, LLP, counsel to the Company, and Knobbe Martens Olson &amp; Bear LLP,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66" w:lineRule="exact"/>
        <w:rPr>
          <w:rFonts w:ascii="Arial" w:cs="Arial" w:eastAsia="Arial" w:hAnsi="Arial"/>
          <w:sz w:val="16"/>
          <w:szCs w:val="16"/>
          <w:color w:val="auto"/>
        </w:rPr>
      </w:pPr>
    </w:p>
    <w:p>
      <w:pPr>
        <w:ind w:right="40" w:firstLine="436"/>
        <w:spacing w:after="0" w:line="269"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1" w:lineRule="exact"/>
        <w:rPr>
          <w:rFonts w:ascii="Arial" w:cs="Arial" w:eastAsia="Arial" w:hAnsi="Arial"/>
          <w:sz w:val="17"/>
          <w:szCs w:val="17"/>
          <w:color w:val="auto"/>
        </w:rPr>
      </w:pPr>
    </w:p>
    <w:p>
      <w:pPr>
        <w:ind w:right="40" w:firstLine="436"/>
        <w:spacing w:after="0" w:line="259"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85" w:name="page86"/>
    <w:bookmarkEnd w:id="85"/>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87" w:lineRule="exact"/>
        <w:rPr>
          <w:sz w:val="20"/>
          <w:szCs w:val="20"/>
          <w:color w:val="auto"/>
        </w:rPr>
      </w:pPr>
    </w:p>
    <w:p>
      <w:pPr>
        <w:ind w:left="4" w:right="360" w:firstLine="436"/>
        <w:spacing w:after="0" w:line="342" w:lineRule="auto"/>
        <w:tabs>
          <w:tab w:leader="none" w:pos="67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4" w:right="260" w:firstLine="436"/>
        <w:spacing w:after="0" w:line="342" w:lineRule="auto"/>
        <w:tabs>
          <w:tab w:leader="none" w:pos="65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ind w:left="4" w:right="120" w:firstLine="436"/>
        <w:spacing w:after="0" w:line="291" w:lineRule="auto"/>
        <w:tabs>
          <w:tab w:leader="none" w:pos="69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6" w:lineRule="exact"/>
        <w:rPr>
          <w:rFonts w:ascii="Arial" w:cs="Arial" w:eastAsia="Arial" w:hAnsi="Arial"/>
          <w:sz w:val="16"/>
          <w:szCs w:val="16"/>
          <w:color w:val="auto"/>
        </w:rPr>
      </w:pPr>
    </w:p>
    <w:p>
      <w:pPr>
        <w:ind w:left="4" w:firstLine="436"/>
        <w:spacing w:after="0" w:line="283" w:lineRule="auto"/>
        <w:tabs>
          <w:tab w:leader="none" w:pos="69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w:t>
      </w:r>
    </w:p>
    <w:p>
      <w:pPr>
        <w:spacing w:after="0" w:line="5" w:lineRule="exact"/>
        <w:rPr>
          <w:rFonts w:ascii="Arial" w:cs="Arial" w:eastAsia="Arial" w:hAnsi="Arial"/>
          <w:sz w:val="16"/>
          <w:szCs w:val="16"/>
          <w:color w:val="auto"/>
        </w:rPr>
      </w:pPr>
    </w:p>
    <w:p>
      <w:pPr>
        <w:ind w:left="4" w:right="240" w:hanging="4"/>
        <w:spacing w:after="0" w:line="253" w:lineRule="auto"/>
        <w:tabs>
          <w:tab w:leader="none" w:pos="2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86" w:name="page87"/>
    <w:bookmarkEnd w:id="86"/>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ind w:right="20" w:firstLine="436"/>
        <w:spacing w:after="0" w:line="301" w:lineRule="auto"/>
        <w:tabs>
          <w:tab w:leader="none" w:pos="6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Conditions </w:t>
      </w:r>
      <w:r>
        <w:rPr>
          <w:rFonts w:ascii="Arial" w:cs="Arial" w:eastAsia="Arial" w:hAnsi="Arial"/>
          <w:sz w:val="16"/>
          <w:szCs w:val="16"/>
          <w:u w:val="single" w:color="auto"/>
          <w:color w:val="auto"/>
        </w:rPr>
        <w:t>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49" w:lineRule="exact"/>
        <w:rPr>
          <w:sz w:val="20"/>
          <w:szCs w:val="20"/>
          <w:color w:val="auto"/>
        </w:rPr>
      </w:pPr>
    </w:p>
    <w:p>
      <w:pPr>
        <w:ind w:right="100" w:firstLine="436"/>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firstLine="436"/>
        <w:spacing w:after="0" w:line="257"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ind w:firstLine="436"/>
        <w:spacing w:after="0" w:line="257" w:lineRule="auto"/>
        <w:tabs>
          <w:tab w:leader="none" w:pos="75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Material Adverse Effects</w:t>
      </w:r>
      <w:r>
        <w:rPr>
          <w:rFonts w:ascii="Arial" w:cs="Arial" w:eastAsia="Arial" w:hAnsi="Arial"/>
          <w:sz w:val="18"/>
          <w:szCs w:val="18"/>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7" w:lineRule="exact"/>
        <w:rPr>
          <w:rFonts w:ascii="Arial" w:cs="Arial" w:eastAsia="Arial" w:hAnsi="Arial"/>
          <w:sz w:val="18"/>
          <w:szCs w:val="18"/>
          <w:color w:val="auto"/>
        </w:rPr>
      </w:pPr>
    </w:p>
    <w:p>
      <w:pPr>
        <w:ind w:right="20" w:firstLine="436"/>
        <w:spacing w:after="0" w:line="257" w:lineRule="auto"/>
        <w:tabs>
          <w:tab w:leader="none" w:pos="7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Suspension of Trading in or Delisting of Common Shares; Other Events</w:t>
      </w:r>
      <w:r>
        <w:rPr>
          <w:rFonts w:ascii="Arial" w:cs="Arial" w:eastAsia="Arial" w:hAnsi="Arial"/>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87" w:name="page88"/>
    <w:bookmarkEnd w:id="87"/>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w:t>
      </w:r>
    </w:p>
    <w:p>
      <w:pPr>
        <w:spacing w:after="0" w:line="2" w:lineRule="exact"/>
        <w:rPr>
          <w:sz w:val="20"/>
          <w:szCs w:val="20"/>
          <w:color w:val="auto"/>
        </w:rPr>
      </w:pPr>
    </w:p>
    <w:p>
      <w:pPr>
        <w:ind w:left="4" w:right="200" w:hanging="4"/>
        <w:spacing w:after="0" w:line="295" w:lineRule="auto"/>
        <w:tabs>
          <w:tab w:leader="none" w:pos="319"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61" w:lineRule="exact"/>
        <w:rPr>
          <w:rFonts w:ascii="Arial" w:cs="Arial" w:eastAsia="Arial" w:hAnsi="Arial"/>
          <w:sz w:val="16"/>
          <w:szCs w:val="16"/>
          <w:color w:val="auto"/>
        </w:rPr>
      </w:pPr>
    </w:p>
    <w:p>
      <w:pPr>
        <w:ind w:left="4" w:right="20" w:firstLine="436"/>
        <w:spacing w:after="0" w:line="275" w:lineRule="auto"/>
        <w:tabs>
          <w:tab w:leader="none" w:pos="699"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6" w:lineRule="exact"/>
        <w:rPr>
          <w:rFonts w:ascii="Arial" w:cs="Arial" w:eastAsia="Arial" w:hAnsi="Arial"/>
          <w:sz w:val="17"/>
          <w:szCs w:val="17"/>
          <w:color w:val="auto"/>
        </w:rPr>
      </w:pPr>
    </w:p>
    <w:p>
      <w:pPr>
        <w:jc w:val="both"/>
        <w:ind w:left="4" w:firstLine="436"/>
        <w:spacing w:after="0" w:line="259" w:lineRule="auto"/>
        <w:tabs>
          <w:tab w:leader="none" w:pos="68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left="4" w:right="20" w:firstLine="436"/>
        <w:spacing w:after="0" w:line="311" w:lineRule="auto"/>
        <w:tabs>
          <w:tab w:leader="none" w:pos="699"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ind w:left="4" w:right="80" w:firstLine="436"/>
        <w:spacing w:after="0" w:line="290" w:lineRule="auto"/>
        <w:tabs>
          <w:tab w:leader="none" w:pos="68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4" w:right="49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68" w:lineRule="exact"/>
        <w:rPr>
          <w:sz w:val="20"/>
          <w:szCs w:val="20"/>
          <w:color w:val="auto"/>
        </w:rPr>
      </w:pPr>
    </w:p>
    <w:p>
      <w:pPr>
        <w:ind w:firstLine="436"/>
        <w:spacing w:after="0" w:line="285"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89" w:name="page90"/>
    <w:bookmarkEnd w:id="89"/>
    <w:p>
      <w:pPr>
        <w:ind w:right="40" w:firstLine="436"/>
        <w:spacing w:after="0" w:line="284"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6" w:lineRule="exact"/>
        <w:rPr>
          <w:rFonts w:ascii="Arial" w:cs="Arial" w:eastAsia="Arial" w:hAnsi="Arial"/>
          <w:sz w:val="16"/>
          <w:szCs w:val="16"/>
          <w:color w:val="auto"/>
        </w:rPr>
      </w:pPr>
    </w:p>
    <w:p>
      <w:pPr>
        <w:ind w:firstLine="436"/>
        <w:spacing w:after="0" w:line="301"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90" w:name="page91"/>
    <w:bookmarkEnd w:id="90"/>
    <w:p>
      <w:pPr>
        <w:ind w:left="4"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w:t>
      </w:r>
    </w:p>
    <w:p>
      <w:pPr>
        <w:ind w:left="4" w:hanging="4"/>
        <w:spacing w:after="0" w:line="271" w:lineRule="auto"/>
        <w:tabs>
          <w:tab w:leader="none" w:pos="2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Arial" w:cs="Arial" w:eastAsia="Arial" w:hAnsi="Arial"/>
          <w:sz w:val="17"/>
          <w:szCs w:val="17"/>
          <w:color w:val="auto"/>
        </w:rPr>
      </w:pPr>
    </w:p>
    <w:p>
      <w:pPr>
        <w:ind w:left="4" w:firstLine="436"/>
        <w:spacing w:after="0" w:line="286" w:lineRule="auto"/>
        <w:tabs>
          <w:tab w:leader="none" w:pos="68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7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91" w:name="page92"/>
    <w:bookmarkEnd w:id="91"/>
    <w:p>
      <w:pPr>
        <w:ind w:right="6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right="20" w:firstLine="436"/>
        <w:spacing w:after="0" w:line="277"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75"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76" w:lineRule="exact"/>
        <w:rPr>
          <w:rFonts w:ascii="Arial" w:cs="Arial" w:eastAsia="Arial" w:hAnsi="Arial"/>
          <w:sz w:val="17"/>
          <w:szCs w:val="17"/>
          <w:color w:val="auto"/>
        </w:rPr>
      </w:pPr>
    </w:p>
    <w:p>
      <w:pPr>
        <w:ind w:firstLine="436"/>
        <w:spacing w:after="0" w:line="257"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ind w:firstLine="436"/>
        <w:spacing w:after="0" w:line="257" w:lineRule="auto"/>
        <w:tabs>
          <w:tab w:leader="none" w:pos="68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Press Releases and Disclosure</w:t>
      </w:r>
      <w:r>
        <w:rPr>
          <w:rFonts w:ascii="Arial" w:cs="Arial" w:eastAsia="Arial" w:hAnsi="Arial"/>
          <w:sz w:val="18"/>
          <w:szCs w:val="18"/>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92" w:name="page93"/>
    <w:bookmarkEnd w:id="92"/>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78" w:lineRule="exact"/>
        <w:rPr>
          <w:sz w:val="20"/>
          <w:szCs w:val="20"/>
          <w:color w:val="auto"/>
        </w:rPr>
      </w:pPr>
    </w:p>
    <w:p>
      <w:pPr>
        <w:ind w:firstLine="436"/>
        <w:spacing w:after="0" w:line="289"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ind w:right="80" w:firstLine="436"/>
        <w:spacing w:after="0" w:line="254"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telecopied or delivered via electronic mail and confirmed to the parties hereto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93" w:name="page94"/>
    <w:bookmarkEnd w:id="93"/>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Facsimile: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15440 Laguna Canyon Road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Irvine, California 92618,</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Bobak Azamian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Gunderson Dettmer Stough Villeneuve Franklin &amp; Hachigian,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3570 Carmel Mountain Road, Suite 200,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Ilan Lovinsky</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right="240" w:firstLine="436"/>
        <w:spacing w:after="0" w:line="311"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436"/>
        <w:spacing w:after="0" w:line="279"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94" w:name="page95"/>
    <w:bookmarkEnd w:id="94"/>
    <w:p>
      <w:pP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7" w:lineRule="exact"/>
        <w:rPr>
          <w:sz w:val="20"/>
          <w:szCs w:val="20"/>
          <w:color w:val="auto"/>
        </w:rPr>
      </w:pPr>
    </w:p>
    <w:p>
      <w:pPr>
        <w:ind w:right="80" w:firstLine="436"/>
        <w:spacing w:after="0" w:line="290"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95" w:name="page96"/>
    <w:bookmarkEnd w:id="95"/>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Leo Greenstein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14605</wp:posOffset>
            </wp:positionV>
            <wp:extent cx="2606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Donald Lynaugh</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700"/>
          </w:cols>
          <w:pgMar w:left="440" w:top="274" w:right="759" w:bottom="1440" w:gutter="0" w:footer="0" w:header="0"/>
        </w:sectPr>
      </w:pPr>
    </w:p>
    <w:bookmarkStart w:id="96" w:name="page97"/>
    <w:bookmarkEnd w:id="9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jc w:val="both"/>
        <w:ind w:right="80"/>
        <w:spacing w:after="0" w:line="347" w:lineRule="auto"/>
        <w:rPr>
          <w:sz w:val="20"/>
          <w:szCs w:val="20"/>
          <w:color w:val="auto"/>
        </w:rPr>
      </w:pPr>
      <w:r>
        <w:rPr>
          <w:rFonts w:ascii="Arial" w:cs="Arial" w:eastAsia="Arial" w:hAnsi="Arial"/>
          <w:sz w:val="16"/>
          <w:szCs w:val="16"/>
          <w:color w:val="auto"/>
        </w:rPr>
        <w:t>Reference is made to the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between Tarsus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November [1], 2021.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-10160</wp:posOffset>
            </wp:positionV>
            <wp:extent cx="10852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126365</wp:posOffset>
            </wp:positionV>
            <wp:extent cx="1456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1456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14605</wp:posOffset>
            </wp:positionV>
            <wp:extent cx="23056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14605</wp:posOffset>
            </wp:positionV>
            <wp:extent cx="23056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14605</wp:posOffset>
            </wp:positionV>
            <wp:extent cx="23056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14605</wp:posOffset>
            </wp:positionV>
            <wp:extent cx="23056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14605</wp:posOffset>
            </wp:positionV>
            <wp:extent cx="63607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297815</wp:posOffset>
            </wp:positionV>
            <wp:extent cx="25971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40"/>
          </w:cols>
          <w:pgMar w:left="440" w:top="270" w:right="719" w:bottom="1440" w:gutter="0" w:footer="0" w:header="0"/>
        </w:sectPr>
      </w:pPr>
    </w:p>
    <w:bookmarkStart w:id="97" w:name="page98"/>
    <w:bookmarkEnd w:id="97"/>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Notice Parties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Bobak Azamian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Leo Greenstein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Bryan Wahl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Lynaugh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w:t>
      </w:r>
    </w:p>
    <w:p>
      <w:pPr>
        <w:sectPr>
          <w:pgSz w:w="11900" w:h="16838" w:orient="portrait"/>
          <w:cols w:equalWidth="0" w:num="1">
            <w:col w:w="10019"/>
          </w:cols>
          <w:pgMar w:left="440" w:top="27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Dated as of</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222885</wp:posOffset>
            </wp:positionV>
            <wp:extent cx="1474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Providing for the Issuance of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20" w:type="dxa"/>
            <w:vAlign w:val="bottom"/>
            <w:gridSpan w:val="3"/>
          </w:tcPr>
          <w:p>
            <w:pPr>
              <w:jc w:val="center"/>
              <w:ind w:left="571"/>
              <w:spacing w:after="0"/>
              <w:rPr>
                <w:sz w:val="20"/>
                <w:szCs w:val="20"/>
                <w:color w:val="auto"/>
              </w:rPr>
            </w:pPr>
            <w:r>
              <w:rPr>
                <w:rFonts w:ascii="Arial" w:cs="Arial" w:eastAsia="Arial" w:hAnsi="Arial"/>
                <w:sz w:val="18"/>
                <w:szCs w:val="18"/>
                <w:color w:val="auto"/>
                <w:w w:val="96"/>
              </w:rPr>
              <w:t>TARSUS PHARMACEUTICALS, INC.</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20" w:type="dxa"/>
            <w:vAlign w:val="bottom"/>
            <w:gridSpan w:val="3"/>
          </w:tcPr>
          <w:p>
            <w:pPr>
              <w:jc w:val="center"/>
              <w:ind w:left="591"/>
              <w:spacing w:after="0"/>
              <w:rPr>
                <w:sz w:val="20"/>
                <w:szCs w:val="20"/>
                <w:color w:val="auto"/>
              </w:rPr>
            </w:pPr>
            <w:r>
              <w:rPr>
                <w:rFonts w:ascii="Arial" w:cs="Arial" w:eastAsia="Arial" w:hAnsi="Arial"/>
                <w:sz w:val="18"/>
                <w:szCs w:val="18"/>
                <w:color w:val="auto"/>
                <w:w w:val="91"/>
              </w:rPr>
              <w:t>Reconciliation and tie between the Trust Indenture Act of 1939</w:t>
            </w:r>
          </w:p>
        </w:tc>
      </w:tr>
      <w:tr>
        <w:trPr>
          <w:trHeight w:val="230"/>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20" w:type="dxa"/>
            <w:vAlign w:val="bottom"/>
            <w:gridSpan w:val="3"/>
          </w:tcPr>
          <w:p>
            <w:pPr>
              <w:jc w:val="center"/>
              <w:ind w:left="591"/>
              <w:spacing w:after="0"/>
              <w:rPr>
                <w:sz w:val="20"/>
                <w:szCs w:val="20"/>
                <w:color w:val="auto"/>
              </w:rPr>
            </w:pPr>
            <w:r>
              <w:rPr>
                <w:rFonts w:ascii="Arial" w:cs="Arial" w:eastAsia="Arial" w:hAnsi="Arial"/>
                <w:sz w:val="18"/>
                <w:szCs w:val="18"/>
                <w:color w:val="auto"/>
                <w:w w:val="89"/>
              </w:rPr>
              <w:t>and the Indenture</w:t>
            </w:r>
          </w:p>
        </w:tc>
      </w:tr>
      <w:tr>
        <w:trPr>
          <w:trHeight w:val="392"/>
        </w:trPr>
        <w:tc>
          <w:tcPr>
            <w:tcW w:w="1720" w:type="dxa"/>
            <w:vAlign w:val="bottom"/>
          </w:tcPr>
          <w:p>
            <w:pPr>
              <w:spacing w:after="0"/>
              <w:rPr>
                <w:sz w:val="20"/>
                <w:szCs w:val="20"/>
                <w:color w:val="auto"/>
              </w:rPr>
            </w:pPr>
            <w:r>
              <w:rPr>
                <w:rFonts w:ascii="Arial" w:cs="Arial" w:eastAsia="Arial" w:hAnsi="Arial"/>
                <w:sz w:val="14"/>
                <w:szCs w:val="14"/>
                <w:b w:val="1"/>
                <w:bCs w:val="1"/>
                <w:color w:val="auto"/>
                <w:w w:val="92"/>
              </w:rPr>
              <w:t>Trust Indenture Act Section</w:t>
            </w:r>
          </w:p>
        </w:tc>
        <w:tc>
          <w:tcPr>
            <w:tcW w:w="840" w:type="dxa"/>
            <w:vAlign w:val="bottom"/>
          </w:tcPr>
          <w:p>
            <w:pPr>
              <w:spacing w:after="0"/>
              <w:rPr>
                <w:sz w:val="24"/>
                <w:szCs w:val="24"/>
                <w:color w:val="auto"/>
              </w:rPr>
            </w:pPr>
          </w:p>
        </w:tc>
        <w:tc>
          <w:tcPr>
            <w:tcW w:w="5220" w:type="dxa"/>
            <w:vAlign w:val="bottom"/>
            <w:gridSpan w:val="3"/>
          </w:tcPr>
          <w:p>
            <w:pPr>
              <w:ind w:left="3180"/>
              <w:spacing w:after="0"/>
              <w:rPr>
                <w:sz w:val="20"/>
                <w:szCs w:val="20"/>
                <w:color w:val="auto"/>
              </w:rPr>
            </w:pPr>
            <w:r>
              <w:rPr>
                <w:rFonts w:ascii="Arial" w:cs="Arial" w:eastAsia="Arial" w:hAnsi="Arial"/>
                <w:sz w:val="14"/>
                <w:szCs w:val="14"/>
                <w:b w:val="1"/>
                <w:bCs w:val="1"/>
                <w:color w:val="auto"/>
              </w:rPr>
              <w:t>Indenture Section</w:t>
            </w:r>
          </w:p>
        </w:tc>
      </w:tr>
      <w:tr>
        <w:trPr>
          <w:trHeight w:val="20"/>
        </w:trPr>
        <w:tc>
          <w:tcPr>
            <w:tcW w:w="1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3"/>
        </w:trPr>
        <w:tc>
          <w:tcPr>
            <w:tcW w:w="1720" w:type="dxa"/>
            <w:vAlign w:val="bottom"/>
          </w:tcPr>
          <w:p>
            <w:pPr>
              <w:spacing w:after="0"/>
              <w:rPr>
                <w:sz w:val="20"/>
                <w:szCs w:val="20"/>
                <w:color w:val="auto"/>
              </w:rPr>
            </w:pPr>
            <w:r>
              <w:rPr>
                <w:rFonts w:ascii="Arial" w:cs="Arial" w:eastAsia="Arial" w:hAnsi="Arial"/>
                <w:sz w:val="18"/>
                <w:szCs w:val="18"/>
                <w:color w:val="auto"/>
              </w:rPr>
              <w:t>Sec. 310(a)(1)</w:t>
            </w:r>
          </w:p>
        </w:tc>
        <w:tc>
          <w:tcPr>
            <w:tcW w:w="840" w:type="dxa"/>
            <w:vAlign w:val="bottom"/>
          </w:tcPr>
          <w:p>
            <w:pPr>
              <w:spacing w:after="0"/>
              <w:rPr>
                <w:sz w:val="24"/>
                <w:szCs w:val="24"/>
                <w:color w:val="auto"/>
              </w:rPr>
            </w:pP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607</w:t>
            </w:r>
          </w:p>
        </w:tc>
        <w:tc>
          <w:tcPr>
            <w:tcW w:w="940" w:type="dxa"/>
            <w:vAlign w:val="bottom"/>
          </w:tcPr>
          <w:p>
            <w:pPr>
              <w:spacing w:after="0"/>
              <w:rPr>
                <w:sz w:val="24"/>
                <w:szCs w:val="24"/>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(a)(2)</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607</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(b)</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608</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Sec. 312(c)</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701</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Sec. 314(a)</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703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(c)(1)</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(c)(2)</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(e)</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Sec. 315(b)</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601</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Sec. 316(a) (last sentence)</w:t>
            </w:r>
          </w:p>
        </w:tc>
        <w:tc>
          <w:tcPr>
            <w:tcW w:w="5220" w:type="dxa"/>
            <w:vAlign w:val="bottom"/>
            <w:gridSpan w:val="3"/>
          </w:tcPr>
          <w:p>
            <w:pPr>
              <w:ind w:left="3180"/>
              <w:spacing w:after="0"/>
              <w:rPr>
                <w:sz w:val="20"/>
                <w:szCs w:val="20"/>
                <w:color w:val="auto"/>
              </w:rPr>
            </w:pPr>
            <w:r>
              <w:rPr>
                <w:rFonts w:ascii="Arial" w:cs="Arial" w:eastAsia="Arial" w:hAnsi="Arial"/>
                <w:sz w:val="18"/>
                <w:szCs w:val="18"/>
                <w:color w:val="auto"/>
              </w:rPr>
              <w:t>101 (“Outstanding”)</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(a)(1)(A)</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502, 512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(a)(1)(B)</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513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(b)</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508</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w:t>
            </w:r>
          </w:p>
        </w:tc>
        <w:tc>
          <w:tcPr>
            <w:tcW w:w="5220" w:type="dxa"/>
            <w:vAlign w:val="bottom"/>
            <w:gridSpan w:val="3"/>
          </w:tcPr>
          <w:p>
            <w:pPr>
              <w:ind w:left="3180"/>
              <w:spacing w:after="0"/>
              <w:rPr>
                <w:sz w:val="20"/>
                <w:szCs w:val="20"/>
                <w:color w:val="auto"/>
              </w:rPr>
            </w:pPr>
            <w:r>
              <w:rPr>
                <w:rFonts w:ascii="Arial" w:cs="Arial" w:eastAsia="Arial" w:hAnsi="Arial"/>
                <w:sz w:val="18"/>
                <w:szCs w:val="18"/>
                <w:color w:val="auto"/>
              </w:rPr>
              <w:t>104(c)</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Sec. 317(a)(1)</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503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(a)(2)</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504</w:t>
            </w:r>
          </w:p>
        </w:tc>
        <w:tc>
          <w:tcPr>
            <w:tcW w:w="940" w:type="dxa"/>
            <w:vAlign w:val="bottom"/>
          </w:tcPr>
          <w:p>
            <w:pPr>
              <w:spacing w:after="0"/>
              <w:rPr>
                <w:sz w:val="18"/>
                <w:szCs w:val="18"/>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Sec. 318(a)</w:t>
            </w:r>
          </w:p>
        </w:tc>
        <w:tc>
          <w:tcPr>
            <w:tcW w:w="4280" w:type="dxa"/>
            <w:vAlign w:val="bottom"/>
            <w:gridSpan w:val="2"/>
          </w:tcPr>
          <w:p>
            <w:pPr>
              <w:ind w:left="3180"/>
              <w:spacing w:after="0"/>
              <w:rPr>
                <w:sz w:val="20"/>
                <w:szCs w:val="20"/>
                <w:color w:val="auto"/>
              </w:rPr>
            </w:pPr>
            <w:r>
              <w:rPr>
                <w:rFonts w:ascii="Arial" w:cs="Arial" w:eastAsia="Arial" w:hAnsi="Arial"/>
                <w:sz w:val="18"/>
                <w:szCs w:val="18"/>
                <w:color w:val="auto"/>
              </w:rPr>
              <w:t>111</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Note: This reconciliation and tie shall not, for any purpose, be deemed to be a part of the Indenture.</w:t>
      </w:r>
    </w:p>
    <w:p>
      <w:pPr>
        <w:sectPr>
          <w:pgSz w:w="11900" w:h="16838" w:orient="portrait"/>
          <w:cols w:equalWidth="0" w:num="1">
            <w:col w:w="10019"/>
          </w:cols>
          <w:pgMar w:left="440" w:top="274" w:right="1440"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w w:val="97"/>
              </w:rPr>
              <w:t>ARTICLE 1 Definitions and Other Provisions of General Application</w:t>
            </w:r>
          </w:p>
        </w:tc>
        <w:tc>
          <w:tcPr>
            <w:tcW w:w="5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40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5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4000" w:type="dxa"/>
            <w:vAlign w:val="bottom"/>
          </w:tcPr>
          <w:p>
            <w:pPr>
              <w:ind w:left="140"/>
              <w:spacing w:after="0"/>
              <w:rPr>
                <w:sz w:val="20"/>
                <w:szCs w:val="20"/>
                <w:color w:val="auto"/>
              </w:rPr>
            </w:pPr>
            <w:r>
              <w:rPr>
                <w:rFonts w:ascii="Arial" w:cs="Arial" w:eastAsia="Arial" w:hAnsi="Arial"/>
                <w:sz w:val="18"/>
                <w:szCs w:val="18"/>
                <w:color w:val="auto"/>
              </w:rPr>
              <w:t>Compliance Certificates and Opinions</w:t>
            </w:r>
          </w:p>
        </w:tc>
        <w:tc>
          <w:tcPr>
            <w:tcW w:w="5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4000" w:type="dxa"/>
            <w:vAlign w:val="bottom"/>
          </w:tcPr>
          <w:p>
            <w:pPr>
              <w:ind w:left="140"/>
              <w:spacing w:after="0"/>
              <w:rPr>
                <w:sz w:val="20"/>
                <w:szCs w:val="20"/>
                <w:color w:val="auto"/>
              </w:rPr>
            </w:pPr>
            <w:r>
              <w:rPr>
                <w:rFonts w:ascii="Arial" w:cs="Arial" w:eastAsia="Arial" w:hAnsi="Arial"/>
                <w:sz w:val="18"/>
                <w:szCs w:val="18"/>
                <w:color w:val="auto"/>
              </w:rPr>
              <w:t>Form of Documents Delivered to Trustee</w:t>
            </w:r>
          </w:p>
        </w:tc>
        <w:tc>
          <w:tcPr>
            <w:tcW w:w="5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104.</w:t>
            </w:r>
          </w:p>
        </w:tc>
        <w:tc>
          <w:tcPr>
            <w:tcW w:w="4000" w:type="dxa"/>
            <w:vAlign w:val="bottom"/>
          </w:tcPr>
          <w:p>
            <w:pPr>
              <w:ind w:left="140"/>
              <w:spacing w:after="0"/>
              <w:rPr>
                <w:sz w:val="20"/>
                <w:szCs w:val="20"/>
                <w:color w:val="auto"/>
              </w:rPr>
            </w:pPr>
            <w:r>
              <w:rPr>
                <w:rFonts w:ascii="Arial" w:cs="Arial" w:eastAsia="Arial" w:hAnsi="Arial"/>
                <w:sz w:val="18"/>
                <w:szCs w:val="18"/>
                <w:color w:val="auto"/>
              </w:rPr>
              <w:t>Acts of Holders</w:t>
            </w:r>
          </w:p>
        </w:tc>
        <w:tc>
          <w:tcPr>
            <w:tcW w:w="5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105.</w:t>
            </w:r>
          </w:p>
        </w:tc>
        <w:tc>
          <w:tcPr>
            <w:tcW w:w="4000" w:type="dxa"/>
            <w:vAlign w:val="bottom"/>
          </w:tcPr>
          <w:p>
            <w:pPr>
              <w:ind w:left="140"/>
              <w:spacing w:after="0"/>
              <w:rPr>
                <w:sz w:val="20"/>
                <w:szCs w:val="20"/>
                <w:color w:val="auto"/>
              </w:rPr>
            </w:pPr>
            <w:r>
              <w:rPr>
                <w:rFonts w:ascii="Arial" w:cs="Arial" w:eastAsia="Arial" w:hAnsi="Arial"/>
                <w:sz w:val="18"/>
                <w:szCs w:val="18"/>
                <w:color w:val="auto"/>
              </w:rPr>
              <w:t>Notices, etc. to Trustee or the Company</w:t>
            </w:r>
          </w:p>
        </w:tc>
        <w:tc>
          <w:tcPr>
            <w:tcW w:w="5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106.</w:t>
            </w:r>
          </w:p>
        </w:tc>
        <w:tc>
          <w:tcPr>
            <w:tcW w:w="4000" w:type="dxa"/>
            <w:vAlign w:val="bottom"/>
          </w:tcPr>
          <w:p>
            <w:pPr>
              <w:ind w:left="140"/>
              <w:spacing w:after="0"/>
              <w:rPr>
                <w:sz w:val="20"/>
                <w:szCs w:val="20"/>
                <w:color w:val="auto"/>
              </w:rPr>
            </w:pPr>
            <w:r>
              <w:rPr>
                <w:rFonts w:ascii="Arial" w:cs="Arial" w:eastAsia="Arial" w:hAnsi="Arial"/>
                <w:sz w:val="18"/>
                <w:szCs w:val="18"/>
                <w:color w:val="auto"/>
              </w:rPr>
              <w:t>Notice to Holders; Waiver</w:t>
            </w:r>
          </w:p>
        </w:tc>
        <w:tc>
          <w:tcPr>
            <w:tcW w:w="5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107.</w:t>
            </w:r>
          </w:p>
        </w:tc>
        <w:tc>
          <w:tcPr>
            <w:tcW w:w="4000" w:type="dxa"/>
            <w:vAlign w:val="bottom"/>
          </w:tcPr>
          <w:p>
            <w:pPr>
              <w:ind w:left="140"/>
              <w:spacing w:after="0"/>
              <w:rPr>
                <w:sz w:val="20"/>
                <w:szCs w:val="20"/>
                <w:color w:val="auto"/>
              </w:rPr>
            </w:pPr>
            <w:r>
              <w:rPr>
                <w:rFonts w:ascii="Arial" w:cs="Arial" w:eastAsia="Arial" w:hAnsi="Arial"/>
                <w:sz w:val="18"/>
                <w:szCs w:val="18"/>
                <w:color w:val="auto"/>
              </w:rPr>
              <w:t>Effect of Headings and Table of Contents</w:t>
            </w:r>
          </w:p>
        </w:tc>
        <w:tc>
          <w:tcPr>
            <w:tcW w:w="5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108.</w:t>
            </w:r>
          </w:p>
        </w:tc>
        <w:tc>
          <w:tcPr>
            <w:tcW w:w="400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5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109.</w:t>
            </w:r>
          </w:p>
        </w:tc>
        <w:tc>
          <w:tcPr>
            <w:tcW w:w="4000" w:type="dxa"/>
            <w:vAlign w:val="bottom"/>
          </w:tcPr>
          <w:p>
            <w:pPr>
              <w:ind w:left="140"/>
              <w:spacing w:after="0"/>
              <w:rPr>
                <w:sz w:val="20"/>
                <w:szCs w:val="20"/>
                <w:color w:val="auto"/>
              </w:rPr>
            </w:pPr>
            <w:r>
              <w:rPr>
                <w:rFonts w:ascii="Arial" w:cs="Arial" w:eastAsia="Arial" w:hAnsi="Arial"/>
                <w:sz w:val="18"/>
                <w:szCs w:val="18"/>
                <w:color w:val="auto"/>
              </w:rPr>
              <w:t>Separability Clause</w:t>
            </w:r>
          </w:p>
        </w:tc>
        <w:tc>
          <w:tcPr>
            <w:tcW w:w="5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SECTION 110.   Benefits of Indenture</w:t>
            </w:r>
          </w:p>
        </w:tc>
        <w:tc>
          <w:tcPr>
            <w:tcW w:w="5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111.</w:t>
            </w:r>
          </w:p>
        </w:tc>
        <w:tc>
          <w:tcPr>
            <w:tcW w:w="40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5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112.</w:t>
            </w:r>
          </w:p>
        </w:tc>
        <w:tc>
          <w:tcPr>
            <w:tcW w:w="400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5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113.</w:t>
            </w:r>
          </w:p>
        </w:tc>
        <w:tc>
          <w:tcPr>
            <w:tcW w:w="4000" w:type="dxa"/>
            <w:vAlign w:val="bottom"/>
          </w:tcPr>
          <w:p>
            <w:pPr>
              <w:ind w:left="140"/>
              <w:spacing w:after="0"/>
              <w:rPr>
                <w:sz w:val="20"/>
                <w:szCs w:val="20"/>
                <w:color w:val="auto"/>
              </w:rPr>
            </w:pPr>
            <w:r>
              <w:rPr>
                <w:rFonts w:ascii="Arial" w:cs="Arial" w:eastAsia="Arial" w:hAnsi="Arial"/>
                <w:sz w:val="18"/>
                <w:szCs w:val="18"/>
                <w:color w:val="auto"/>
              </w:rPr>
              <w:t>No Recourse</w:t>
            </w:r>
          </w:p>
        </w:tc>
        <w:tc>
          <w:tcPr>
            <w:tcW w:w="5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w w:val="98"/>
              </w:rPr>
              <w:t>SECTION 114.   Incorporation by Reference of Trust Indenture Act</w:t>
            </w:r>
          </w:p>
        </w:tc>
        <w:tc>
          <w:tcPr>
            <w:tcW w:w="5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SECTION 115.   Rules of Construction</w:t>
            </w:r>
          </w:p>
        </w:tc>
        <w:tc>
          <w:tcPr>
            <w:tcW w:w="5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116.</w:t>
            </w:r>
          </w:p>
        </w:tc>
        <w:tc>
          <w:tcPr>
            <w:tcW w:w="400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5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117.</w:t>
            </w:r>
          </w:p>
        </w:tc>
        <w:tc>
          <w:tcPr>
            <w:tcW w:w="400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5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ARTICLE 2 Security Forms</w:t>
            </w:r>
          </w:p>
        </w:tc>
        <w:tc>
          <w:tcPr>
            <w:tcW w:w="5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4000" w:type="dxa"/>
            <w:vAlign w:val="bottom"/>
          </w:tcPr>
          <w:p>
            <w:pPr>
              <w:ind w:left="140"/>
              <w:spacing w:after="0"/>
              <w:rPr>
                <w:sz w:val="20"/>
                <w:szCs w:val="20"/>
                <w:color w:val="auto"/>
              </w:rPr>
            </w:pPr>
            <w:r>
              <w:rPr>
                <w:rFonts w:ascii="Arial" w:cs="Arial" w:eastAsia="Arial" w:hAnsi="Arial"/>
                <w:sz w:val="18"/>
                <w:szCs w:val="18"/>
                <w:color w:val="auto"/>
              </w:rPr>
              <w:t>Forms Generally</w:t>
            </w:r>
          </w:p>
        </w:tc>
        <w:tc>
          <w:tcPr>
            <w:tcW w:w="5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4000" w:type="dxa"/>
            <w:vAlign w:val="bottom"/>
          </w:tcPr>
          <w:p>
            <w:pPr>
              <w:ind w:left="140"/>
              <w:spacing w:after="0"/>
              <w:rPr>
                <w:sz w:val="20"/>
                <w:szCs w:val="20"/>
                <w:color w:val="auto"/>
              </w:rPr>
            </w:pPr>
            <w:r>
              <w:rPr>
                <w:rFonts w:ascii="Arial" w:cs="Arial" w:eastAsia="Arial" w:hAnsi="Arial"/>
                <w:sz w:val="18"/>
                <w:szCs w:val="18"/>
                <w:color w:val="auto"/>
              </w:rPr>
              <w:t>Form of Trustee’s Certificate of Authentication</w:t>
            </w:r>
          </w:p>
        </w:tc>
        <w:tc>
          <w:tcPr>
            <w:tcW w:w="5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4000" w:type="dxa"/>
            <w:vAlign w:val="bottom"/>
          </w:tcPr>
          <w:p>
            <w:pPr>
              <w:ind w:left="140"/>
              <w:spacing w:after="0"/>
              <w:rPr>
                <w:sz w:val="20"/>
                <w:szCs w:val="20"/>
                <w:color w:val="auto"/>
              </w:rPr>
            </w:pPr>
            <w:r>
              <w:rPr>
                <w:rFonts w:ascii="Arial" w:cs="Arial" w:eastAsia="Arial" w:hAnsi="Arial"/>
                <w:sz w:val="18"/>
                <w:szCs w:val="18"/>
                <w:color w:val="auto"/>
              </w:rPr>
              <w:t>Securities Issuable in Global Form</w:t>
            </w:r>
          </w:p>
        </w:tc>
        <w:tc>
          <w:tcPr>
            <w:tcW w:w="5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1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700" w:type="dxa"/>
            <w:vAlign w:val="bottom"/>
          </w:tcPr>
          <w:p>
            <w:pPr>
              <w:jc w:val="right"/>
              <w:ind w:right="535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960"/>
          </w:cols>
          <w:pgMar w:left="440" w:top="270" w:right="499" w:bottom="1440" w:gutter="0" w:footer="0" w:header="0"/>
        </w:sectPr>
      </w:pPr>
    </w:p>
    <w:bookmarkStart w:id="101" w:name="page102"/>
    <w:bookmarkEnd w:id="1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ARTICLE 3 The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301.   Amount Unlimited; Issuable in Series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7360" w:type="dxa"/>
            <w:vAlign w:val="bottom"/>
          </w:tcPr>
          <w:p>
            <w:pPr>
              <w:ind w:left="140"/>
              <w:spacing w:after="0"/>
              <w:rPr>
                <w:sz w:val="20"/>
                <w:szCs w:val="20"/>
                <w:color w:val="auto"/>
              </w:rPr>
            </w:pPr>
            <w:r>
              <w:rPr>
                <w:rFonts w:ascii="Arial" w:cs="Arial" w:eastAsia="Arial" w:hAnsi="Arial"/>
                <w:sz w:val="18"/>
                <w:szCs w:val="18"/>
                <w:color w:val="auto"/>
              </w:rPr>
              <w:t>Denominations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303.   Execution, Authentication, Delivery and Dating</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304.</w:t>
            </w:r>
          </w:p>
        </w:tc>
        <w:tc>
          <w:tcPr>
            <w:tcW w:w="736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305.   Registration, Registration of Transfer and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306.   Mutilated, Destroyed, Lost and Stolen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307.   Payment of Interest; Interest Rights Preserved; Optional Interest Reset</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308.   Optional Extension of Maturity</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309.   Persons Deemed Owners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310.</w:t>
            </w:r>
          </w:p>
        </w:tc>
        <w:tc>
          <w:tcPr>
            <w:tcW w:w="736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311.   Computation 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312.   Currency and Manner of Payments in Respect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313.   Appointment and Resignation of Successor Exchange Rate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4 Satisfaction and Discharge</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401.   Satisfaction and Discharge of Indenture</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402.   Application of Trust Money</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5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501.</w:t>
            </w:r>
          </w:p>
        </w:tc>
        <w:tc>
          <w:tcPr>
            <w:tcW w:w="73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502.</w:t>
            </w:r>
          </w:p>
        </w:tc>
        <w:tc>
          <w:tcPr>
            <w:tcW w:w="73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6 The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601.</w:t>
            </w:r>
          </w:p>
        </w:tc>
        <w:tc>
          <w:tcPr>
            <w:tcW w:w="736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602.   Certain Duties, Responsibilities and 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603.   Trustee Not Responsible for Recitals or Issuance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604.   May Hold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SECTION 605.   Money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1260" w:type="dxa"/>
            <w:vAlign w:val="bottom"/>
          </w:tcPr>
          <w:p>
            <w:pPr>
              <w:spacing w:after="0"/>
              <w:rPr>
                <w:sz w:val="24"/>
                <w:szCs w:val="24"/>
                <w:color w:val="auto"/>
              </w:rPr>
            </w:pPr>
          </w:p>
        </w:tc>
        <w:tc>
          <w:tcPr>
            <w:tcW w:w="7360" w:type="dxa"/>
            <w:vAlign w:val="bottom"/>
          </w:tcPr>
          <w:p>
            <w:pPr>
              <w:ind w:left="4200"/>
              <w:spacing w:after="0"/>
              <w:rPr>
                <w:sz w:val="20"/>
                <w:szCs w:val="20"/>
                <w:color w:val="auto"/>
              </w:rPr>
            </w:pPr>
            <w:r>
              <w:rPr>
                <w:rFonts w:ascii="Arial" w:cs="Arial" w:eastAsia="Arial" w:hAnsi="Arial"/>
                <w:sz w:val="18"/>
                <w:szCs w:val="18"/>
                <w:color w:val="auto"/>
              </w:rPr>
              <w:t>ii</w:t>
            </w:r>
          </w:p>
        </w:tc>
        <w:tc>
          <w:tcPr>
            <w:tcW w:w="23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7620" w:type="dxa"/>
            <w:vAlign w:val="bottom"/>
          </w:tcPr>
          <w:p>
            <w:pPr>
              <w:ind w:left="100"/>
              <w:spacing w:after="0"/>
              <w:rPr>
                <w:sz w:val="20"/>
                <w:szCs w:val="20"/>
                <w:color w:val="auto"/>
              </w:rPr>
            </w:pPr>
            <w:r>
              <w:rPr>
                <w:rFonts w:ascii="Arial" w:cs="Arial" w:eastAsia="Arial" w:hAnsi="Arial"/>
                <w:sz w:val="18"/>
                <w:szCs w:val="18"/>
                <w:color w:val="auto"/>
              </w:rPr>
              <w:t>Compensation and Reimbursement</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7620" w:type="dxa"/>
            <w:vAlign w:val="bottom"/>
          </w:tcPr>
          <w:p>
            <w:pPr>
              <w:ind w:left="100"/>
              <w:spacing w:after="0"/>
              <w:rPr>
                <w:sz w:val="20"/>
                <w:szCs w:val="20"/>
                <w:color w:val="auto"/>
              </w:rPr>
            </w:pPr>
            <w:r>
              <w:rPr>
                <w:rFonts w:ascii="Arial" w:cs="Arial" w:eastAsia="Arial" w:hAnsi="Arial"/>
                <w:sz w:val="18"/>
                <w:szCs w:val="18"/>
                <w:color w:val="auto"/>
              </w:rPr>
              <w:t>Corporate Trustee Required; Eligibility; Conflicting Interests; Disqualification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7620" w:type="dxa"/>
            <w:vAlign w:val="bottom"/>
          </w:tcPr>
          <w:p>
            <w:pPr>
              <w:ind w:left="100"/>
              <w:spacing w:after="0"/>
              <w:rPr>
                <w:sz w:val="20"/>
                <w:szCs w:val="20"/>
                <w:color w:val="auto"/>
              </w:rPr>
            </w:pPr>
            <w:r>
              <w:rPr>
                <w:rFonts w:ascii="Arial" w:cs="Arial" w:eastAsia="Arial" w:hAnsi="Arial"/>
                <w:sz w:val="18"/>
                <w:szCs w:val="18"/>
                <w:color w:val="auto"/>
              </w:rPr>
              <w:t>Resignation and Removal; Appointment of Successor</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7620" w:type="dxa"/>
            <w:vAlign w:val="bottom"/>
          </w:tcPr>
          <w:p>
            <w:pPr>
              <w:ind w:left="100"/>
              <w:spacing w:after="0"/>
              <w:rPr>
                <w:sz w:val="20"/>
                <w:szCs w:val="20"/>
                <w:color w:val="auto"/>
              </w:rPr>
            </w:pPr>
            <w:r>
              <w:rPr>
                <w:rFonts w:ascii="Arial" w:cs="Arial" w:eastAsia="Arial" w:hAnsi="Arial"/>
                <w:sz w:val="18"/>
                <w:szCs w:val="18"/>
                <w:color w:val="auto"/>
              </w:rPr>
              <w:t>Acceptance of Appointment by Successor</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7620" w:type="dxa"/>
            <w:vAlign w:val="bottom"/>
          </w:tcPr>
          <w:p>
            <w:pPr>
              <w:ind w:left="100"/>
              <w:spacing w:after="0"/>
              <w:rPr>
                <w:sz w:val="20"/>
                <w:szCs w:val="20"/>
                <w:color w:val="auto"/>
              </w:rPr>
            </w:pPr>
            <w:r>
              <w:rPr>
                <w:rFonts w:ascii="Arial" w:cs="Arial" w:eastAsia="Arial" w:hAnsi="Arial"/>
                <w:sz w:val="18"/>
                <w:szCs w:val="18"/>
                <w:color w:val="auto"/>
              </w:rPr>
              <w:t>Conversion, Consolidation or Succession to Business</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611.</w:t>
            </w:r>
          </w:p>
        </w:tc>
        <w:tc>
          <w:tcPr>
            <w:tcW w:w="7620" w:type="dxa"/>
            <w:vAlign w:val="bottom"/>
          </w:tcPr>
          <w:p>
            <w:pPr>
              <w:ind w:left="100"/>
              <w:spacing w:after="0"/>
              <w:rPr>
                <w:sz w:val="20"/>
                <w:szCs w:val="20"/>
                <w:color w:val="auto"/>
              </w:rPr>
            </w:pPr>
            <w:r>
              <w:rPr>
                <w:rFonts w:ascii="Arial" w:cs="Arial" w:eastAsia="Arial" w:hAnsi="Arial"/>
                <w:sz w:val="18"/>
                <w:szCs w:val="18"/>
                <w:color w:val="auto"/>
              </w:rPr>
              <w:t>Appointment of Authenticating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7620" w:type="dxa"/>
            <w:vAlign w:val="bottom"/>
          </w:tcPr>
          <w:p>
            <w:pPr>
              <w:ind w:left="100"/>
              <w:spacing w:after="0"/>
              <w:rPr>
                <w:sz w:val="20"/>
                <w:szCs w:val="20"/>
                <w:color w:val="auto"/>
              </w:rPr>
            </w:pPr>
            <w:r>
              <w:rPr>
                <w:rFonts w:ascii="Arial" w:cs="Arial" w:eastAsia="Arial" w:hAnsi="Arial"/>
                <w:sz w:val="18"/>
                <w:szCs w:val="18"/>
                <w:color w:val="auto"/>
              </w:rPr>
              <w:t>Disclosure of Names and Addresses of 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7620" w:type="dxa"/>
            <w:vAlign w:val="bottom"/>
          </w:tcPr>
          <w:p>
            <w:pPr>
              <w:ind w:left="100"/>
              <w:spacing w:after="0"/>
              <w:rPr>
                <w:sz w:val="20"/>
                <w:szCs w:val="20"/>
                <w:color w:val="auto"/>
              </w:rPr>
            </w:pPr>
            <w:r>
              <w:rPr>
                <w:rFonts w:ascii="Arial" w:cs="Arial" w:eastAsia="Arial" w:hAnsi="Arial"/>
                <w:sz w:val="18"/>
                <w:szCs w:val="18"/>
                <w:color w:val="auto"/>
              </w:rPr>
              <w:t>Reports by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7620" w:type="dxa"/>
            <w:vAlign w:val="bottom"/>
          </w:tcPr>
          <w:p>
            <w:pPr>
              <w:ind w:left="100"/>
              <w:spacing w:after="0"/>
              <w:rPr>
                <w:sz w:val="20"/>
                <w:szCs w:val="20"/>
                <w:color w:val="auto"/>
              </w:rPr>
            </w:pPr>
            <w:r>
              <w:rPr>
                <w:rFonts w:ascii="Arial" w:cs="Arial" w:eastAsia="Arial" w:hAnsi="Arial"/>
                <w:sz w:val="18"/>
                <w:szCs w:val="18"/>
                <w:color w:val="auto"/>
              </w:rPr>
              <w:t>Reports by Company</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8 Consolidation, Merger, Conveyance, Transfer or Lease</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901.</w:t>
            </w:r>
          </w:p>
        </w:tc>
        <w:tc>
          <w:tcPr>
            <w:tcW w:w="762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762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903.</w:t>
            </w:r>
          </w:p>
        </w:tc>
        <w:tc>
          <w:tcPr>
            <w:tcW w:w="7620" w:type="dxa"/>
            <w:vAlign w:val="bottom"/>
          </w:tcPr>
          <w:p>
            <w:pPr>
              <w:ind w:left="100"/>
              <w:spacing w:after="0"/>
              <w:rPr>
                <w:sz w:val="20"/>
                <w:szCs w:val="20"/>
                <w:color w:val="auto"/>
              </w:rPr>
            </w:pPr>
            <w:r>
              <w:rPr>
                <w:rFonts w:ascii="Arial" w:cs="Arial" w:eastAsia="Arial" w:hAnsi="Arial"/>
                <w:sz w:val="18"/>
                <w:szCs w:val="18"/>
                <w:color w:val="auto"/>
              </w:rPr>
              <w:t>Execution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7620" w:type="dxa"/>
            <w:vAlign w:val="bottom"/>
          </w:tcPr>
          <w:p>
            <w:pPr>
              <w:ind w:left="100"/>
              <w:spacing w:after="0"/>
              <w:rPr>
                <w:sz w:val="20"/>
                <w:szCs w:val="20"/>
                <w:color w:val="auto"/>
              </w:rPr>
            </w:pPr>
            <w:r>
              <w:rPr>
                <w:rFonts w:ascii="Arial" w:cs="Arial" w:eastAsia="Arial" w:hAnsi="Arial"/>
                <w:sz w:val="18"/>
                <w:szCs w:val="18"/>
                <w:color w:val="auto"/>
              </w:rPr>
              <w:t>Effect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905.</w:t>
            </w:r>
          </w:p>
        </w:tc>
        <w:tc>
          <w:tcPr>
            <w:tcW w:w="7620" w:type="dxa"/>
            <w:vAlign w:val="bottom"/>
          </w:tcPr>
          <w:p>
            <w:pPr>
              <w:ind w:left="100"/>
              <w:spacing w:after="0"/>
              <w:rPr>
                <w:sz w:val="20"/>
                <w:szCs w:val="20"/>
                <w:color w:val="auto"/>
              </w:rPr>
            </w:pPr>
            <w:r>
              <w:rPr>
                <w:rFonts w:ascii="Arial" w:cs="Arial" w:eastAsia="Arial" w:hAnsi="Arial"/>
                <w:sz w:val="18"/>
                <w:szCs w:val="18"/>
                <w:color w:val="auto"/>
              </w:rPr>
              <w:t>Conformity with Trust Indenture Act</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7620" w:type="dxa"/>
            <w:vAlign w:val="bottom"/>
          </w:tcPr>
          <w:p>
            <w:pPr>
              <w:ind w:left="100"/>
              <w:spacing w:after="0"/>
              <w:rPr>
                <w:sz w:val="20"/>
                <w:szCs w:val="20"/>
                <w:color w:val="auto"/>
              </w:rPr>
            </w:pPr>
            <w:r>
              <w:rPr>
                <w:rFonts w:ascii="Arial" w:cs="Arial" w:eastAsia="Arial" w:hAnsi="Arial"/>
                <w:sz w:val="18"/>
                <w:szCs w:val="18"/>
                <w:color w:val="auto"/>
              </w:rPr>
              <w:t>Reference in Securities to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907.</w:t>
            </w:r>
          </w:p>
        </w:tc>
        <w:tc>
          <w:tcPr>
            <w:tcW w:w="7620" w:type="dxa"/>
            <w:vAlign w:val="bottom"/>
          </w:tcPr>
          <w:p>
            <w:pPr>
              <w:ind w:left="100"/>
              <w:spacing w:after="0"/>
              <w:rPr>
                <w:sz w:val="20"/>
                <w:szCs w:val="20"/>
                <w:color w:val="auto"/>
              </w:rPr>
            </w:pPr>
            <w:r>
              <w:rPr>
                <w:rFonts w:ascii="Arial" w:cs="Arial" w:eastAsia="Arial" w:hAnsi="Arial"/>
                <w:sz w:val="18"/>
                <w:szCs w:val="18"/>
                <w:color w:val="auto"/>
              </w:rPr>
              <w:t>Notice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10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11 Redemption of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762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7620" w:type="dxa"/>
            <w:vAlign w:val="bottom"/>
          </w:tcPr>
          <w:p>
            <w:pPr>
              <w:ind w:left="100"/>
              <w:spacing w:after="0"/>
              <w:rPr>
                <w:sz w:val="20"/>
                <w:szCs w:val="20"/>
                <w:color w:val="auto"/>
              </w:rPr>
            </w:pPr>
            <w:r>
              <w:rPr>
                <w:rFonts w:ascii="Arial" w:cs="Arial" w:eastAsia="Arial" w:hAnsi="Arial"/>
                <w:sz w:val="18"/>
                <w:szCs w:val="18"/>
                <w:color w:val="auto"/>
              </w:rPr>
              <w:t>Election to Redeem; Notice to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7620" w:type="dxa"/>
            <w:vAlign w:val="bottom"/>
          </w:tcPr>
          <w:p>
            <w:pPr>
              <w:ind w:left="100"/>
              <w:spacing w:after="0"/>
              <w:rPr>
                <w:sz w:val="20"/>
                <w:szCs w:val="20"/>
                <w:color w:val="auto"/>
              </w:rPr>
            </w:pPr>
            <w:r>
              <w:rPr>
                <w:rFonts w:ascii="Arial" w:cs="Arial" w:eastAsia="Arial" w:hAnsi="Arial"/>
                <w:sz w:val="18"/>
                <w:szCs w:val="18"/>
                <w:color w:val="auto"/>
              </w:rPr>
              <w:t>Selection by Trustee of Securities to Be Redeemed</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7620" w:type="dxa"/>
            <w:vAlign w:val="bottom"/>
          </w:tcPr>
          <w:p>
            <w:pPr>
              <w:ind w:left="100"/>
              <w:spacing w:after="0"/>
              <w:rPr>
                <w:sz w:val="20"/>
                <w:szCs w:val="20"/>
                <w:color w:val="auto"/>
              </w:rPr>
            </w:pPr>
            <w:r>
              <w:rPr>
                <w:rFonts w:ascii="Arial" w:cs="Arial" w:eastAsia="Arial" w:hAnsi="Arial"/>
                <w:sz w:val="18"/>
                <w:szCs w:val="18"/>
                <w:color w:val="auto"/>
              </w:rPr>
              <w:t>Notice of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4"/>
        </w:trPr>
        <w:tc>
          <w:tcPr>
            <w:tcW w:w="1300" w:type="dxa"/>
            <w:vAlign w:val="bottom"/>
          </w:tcPr>
          <w:p>
            <w:pPr>
              <w:spacing w:after="0"/>
              <w:rPr>
                <w:sz w:val="24"/>
                <w:szCs w:val="24"/>
                <w:color w:val="auto"/>
              </w:rPr>
            </w:pPr>
          </w:p>
        </w:tc>
        <w:tc>
          <w:tcPr>
            <w:tcW w:w="7620" w:type="dxa"/>
            <w:vAlign w:val="bottom"/>
          </w:tcPr>
          <w:p>
            <w:pPr>
              <w:ind w:left="4120"/>
              <w:spacing w:after="0"/>
              <w:rPr>
                <w:sz w:val="20"/>
                <w:szCs w:val="20"/>
                <w:color w:val="auto"/>
              </w:rPr>
            </w:pPr>
            <w:r>
              <w:rPr>
                <w:rFonts w:ascii="Arial" w:cs="Arial" w:eastAsia="Arial" w:hAnsi="Arial"/>
                <w:sz w:val="18"/>
                <w:szCs w:val="18"/>
                <w:color w:val="auto"/>
              </w:rPr>
              <w:t>iii</w:t>
            </w:r>
          </w:p>
        </w:tc>
        <w:tc>
          <w:tcPr>
            <w:tcW w:w="20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1105.  Deposit of Redemption Price</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1106.  Securities Payable on Redemption Date</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1107.  Securities Redeemed in Part</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1108.  Optional Redemption Due to Changes in Tax Treatment</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12 Sinking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1201.  Applicability of Article</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1202.  Satisfaction of Sinking Fund Payments with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1203.  Redemption of Securities for Sinking Fund</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13 Repayment at Option of 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1301.  Applicability of Article</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1302.  Repayment of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1303.</w:t>
            </w:r>
          </w:p>
        </w:tc>
        <w:tc>
          <w:tcPr>
            <w:tcW w:w="8400" w:type="dxa"/>
            <w:vAlign w:val="bottom"/>
          </w:tcPr>
          <w:p>
            <w:pPr>
              <w:ind w:left="100"/>
              <w:spacing w:after="0"/>
              <w:rPr>
                <w:sz w:val="20"/>
                <w:szCs w:val="20"/>
                <w:color w:val="auto"/>
              </w:rPr>
            </w:pPr>
            <w:r>
              <w:rPr>
                <w:rFonts w:ascii="Arial" w:cs="Arial" w:eastAsia="Arial" w:hAnsi="Arial"/>
                <w:sz w:val="18"/>
                <w:szCs w:val="18"/>
                <w:color w:val="auto"/>
              </w:rPr>
              <w:t>Exercise of Option</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1304.  When Securities Presented for Repayment Become Due and Payable</w:t>
            </w: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1305.  Securities Repaid in Part</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14 Defeasance and Covenant Defeasance</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1401.  Company’s Option to Effect Defeasance or Covenant Defeasance</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1402.  Defeasance and Discharge</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1403.</w:t>
            </w:r>
          </w:p>
        </w:tc>
        <w:tc>
          <w:tcPr>
            <w:tcW w:w="840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1404.  Conditions to Defeasance or Covenant Defeasance</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1405.  Deposited Money and Government Obligations to Be Held in Trust; Other Miscellaneous Provisions</w:t>
            </w: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1406.</w:t>
            </w:r>
          </w:p>
        </w:tc>
        <w:tc>
          <w:tcPr>
            <w:tcW w:w="840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15 Meetings of Holders of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1501.  Purposes for Which Meetings May Be Called</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1502.  Call, Notice and Place of Meetings</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SECTION 1503.  Persons Entitled to Vote at Meetings</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4"/>
        </w:trPr>
        <w:tc>
          <w:tcPr>
            <w:tcW w:w="1300" w:type="dxa"/>
            <w:vAlign w:val="bottom"/>
          </w:tcPr>
          <w:p>
            <w:pPr>
              <w:spacing w:after="0"/>
              <w:rPr>
                <w:sz w:val="24"/>
                <w:szCs w:val="24"/>
                <w:color w:val="auto"/>
              </w:rPr>
            </w:pPr>
          </w:p>
        </w:tc>
        <w:tc>
          <w:tcPr>
            <w:tcW w:w="8400" w:type="dxa"/>
            <w:vAlign w:val="bottom"/>
          </w:tcPr>
          <w:p>
            <w:pPr>
              <w:ind w:left="4140"/>
              <w:spacing w:after="0"/>
              <w:rPr>
                <w:sz w:val="20"/>
                <w:szCs w:val="20"/>
                <w:color w:val="auto"/>
              </w:rPr>
            </w:pPr>
            <w:r>
              <w:rPr>
                <w:rFonts w:ascii="Arial" w:cs="Arial" w:eastAsia="Arial" w:hAnsi="Arial"/>
                <w:sz w:val="18"/>
                <w:szCs w:val="18"/>
                <w:color w:val="auto"/>
              </w:rPr>
              <w:t>iv</w:t>
            </w:r>
          </w:p>
        </w:tc>
        <w:tc>
          <w:tcPr>
            <w:tcW w:w="126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8"/>
              </w:rPr>
              <w:t>SECTION 1504.</w:t>
            </w:r>
          </w:p>
        </w:tc>
        <w:tc>
          <w:tcPr>
            <w:tcW w:w="7380" w:type="dxa"/>
            <w:vAlign w:val="bottom"/>
          </w:tcPr>
          <w:p>
            <w:pPr>
              <w:ind w:left="100"/>
              <w:spacing w:after="0"/>
              <w:rPr>
                <w:sz w:val="20"/>
                <w:szCs w:val="20"/>
                <w:color w:val="auto"/>
              </w:rPr>
            </w:pPr>
            <w:r>
              <w:rPr>
                <w:rFonts w:ascii="Arial" w:cs="Arial" w:eastAsia="Arial" w:hAnsi="Arial"/>
                <w:sz w:val="18"/>
                <w:szCs w:val="18"/>
                <w:color w:val="auto"/>
              </w:rPr>
              <w:t>Quorum; Action</w:t>
            </w:r>
          </w:p>
        </w:tc>
        <w:tc>
          <w:tcPr>
            <w:tcW w:w="2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1505.</w:t>
            </w:r>
          </w:p>
        </w:tc>
        <w:tc>
          <w:tcPr>
            <w:tcW w:w="7380" w:type="dxa"/>
            <w:vAlign w:val="bottom"/>
          </w:tcPr>
          <w:p>
            <w:pPr>
              <w:ind w:left="10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1506.</w:t>
            </w:r>
          </w:p>
        </w:tc>
        <w:tc>
          <w:tcPr>
            <w:tcW w:w="7380" w:type="dxa"/>
            <w:vAlign w:val="bottom"/>
          </w:tcPr>
          <w:p>
            <w:pPr>
              <w:ind w:left="100"/>
              <w:spacing w:after="0"/>
              <w:rPr>
                <w:sz w:val="20"/>
                <w:szCs w:val="20"/>
                <w:color w:val="auto"/>
              </w:rPr>
            </w:pPr>
            <w:r>
              <w:rPr>
                <w:rFonts w:ascii="Arial" w:cs="Arial" w:eastAsia="Arial" w:hAnsi="Arial"/>
                <w:sz w:val="18"/>
                <w:szCs w:val="18"/>
                <w:color w:val="auto"/>
              </w:rPr>
              <w:t>Counting Votes and Recording Action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105" w:name="page106"/>
    <w:bookmarkEnd w:id="105"/>
    <w:p>
      <w:pPr>
        <w:jc w:val="both"/>
        <w:ind w:right="3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20 , between TARSUS PHARMACEUTICALS, INC., a Delaware corporation, as Issuer (the “Company”), having its principal office at 15440 Laguna Canyon Road, Suite 160, Irvine, California 92618, and [TRUSTEE], a New York banking corporation, as Trustee (the “Trustee”).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WHEREAS, the Company has duly authorized the execution and delivery of this Indenture to provide for the issuance from time to time of its unsecured senior or subordinated debentures, notes or other evidences of indebtedness (the “Securities”), which may be convertible into or exchangeable for any securities of any person (including the Company), to be issued in one or more series as in this Indenture provided; and</w:t>
      </w:r>
    </w:p>
    <w:p>
      <w:pPr>
        <w:spacing w:after="0" w:line="149"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WHEREAS, this Indenture is subject to the provisions of the Trust Indenture Act of 1939, as amended, that are required to be part of this Indenture, and shall be governed by such provisions; provided that if any provision of this Indenture modifies any TIA (as defined herein) provision that may be so modified, such TIA provision shall be deemed to apply to this Indenture as so modified; provided further that if any provision of this Indenture excludes any TIA provision that may be so excluded, such TIA provision shall be excluded from this Indenture; and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all things necessary to make this Indenture a valid agreement of the Company, in accordance with its terms, have been done.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For and in consideration of the premises and the purchase of the Securities by the Holders (as defined herein) thereof, it is mutually covenanted and agreed, for the equal and proportionate benefit of all Holders of the Securities or of series thereof and any coupons (as defined herein),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“Act”, when used with respect to any Holder, has the meaning specified in Section 104.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“Additional Amounts” has the meaning specified in Article 10.</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ectPr>
          <w:pgSz w:w="11900" w:h="16838" w:orient="portrait"/>
          <w:cols w:equalWidth="0" w:num="1">
            <w:col w:w="11000"/>
          </w:cols>
          <w:pgMar w:left="440" w:top="274" w:right="459" w:bottom="1440" w:gutter="0" w:footer="0" w:header="0"/>
        </w:sectPr>
      </w:pPr>
    </w:p>
    <w:bookmarkStart w:id="106" w:name="page107"/>
    <w:bookmarkEnd w:id="10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“Authenticating Agent” means any Person appointed by the Trustee to act on behalf of the Trustee pursuant to Section 611 to authenticate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“Bankruptcy Law” means Title 11, U.S. Code or any similar U.S. federal or state law for the relief of debtors.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“Bearer Security” means any Security except a Registered Security.</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“Board of Directors” means (i) with respect to a corporation, the board of directors of the corporation; (ii) with respect to a partnership, the board of directors of a corporate general partner of the partnership; (iii) with respect to a limited liability company, the managing members thereof; and (iv) with respect to any other Person, the board of directors or committee of such Person serving a similar function.</w:t>
      </w:r>
    </w:p>
    <w:p>
      <w:pPr>
        <w:spacing w:after="0" w:line="165"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“Board Resolution” means a copy of a resolution certified by the Secretary or an Assistant Secretary of the Company as the case may be, to have been duly adopted by the Board of Directors and to be in full force and effect on the date of such certification, and delivered to the Trustee.</w:t>
      </w:r>
    </w:p>
    <w:p>
      <w:pPr>
        <w:spacing w:after="0" w:line="12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“Business Day” means, when used with respect to any Place of Payment or any other particular location referred to in this Indenture or in the Securities, unless otherwise specified with respect to any Securities pursuant to Section 301, each Monday, Tuesday, Wednesday, Thursday and Friday which (i) is not a day on which banking institutions in that Place of Payment or other location are authorized or obligated by law or executive order to close and (ii) if a payment is to be made in (or a rate is to be ascertained for) Euros, is also a day in which TARGET2 is open for settlement of payments in Euros.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“Clearstream” means Clearstream Banking, société anonyme, or its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“Code” means the United States Internal Revenue Code of 1986, as amended, and the regulations thereunder.</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“Commission” or “SEC”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“Commodity Agreement” means any forward contract, commodity swap, commodity option or other financial agreement or arrangement relating to, or the value of which is dependent upon, fluctuations in commodity prices.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7" w:name="page108"/>
    <w:bookmarkEnd w:id="10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Depositary” has the meaning specified in Section 304.</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Indenture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an Officer of the Company and delivered to the Trustee.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“Conversion Date” has the meaning specified in Section 312(d).</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“Conversion Event” means the cessation of use of a Foreign Currency both by the government of one or more countries or by any recognized union, association or confederation of governments that issued such Foreign Currency and by a central bank or other public institution of or within the international banking community for the settlement of transactions in such Foreign Currency.</w:t>
      </w:r>
    </w:p>
    <w:p>
      <w:pPr>
        <w:spacing w:after="0" w:line="184" w:lineRule="exact"/>
        <w:rPr>
          <w:sz w:val="20"/>
          <w:szCs w:val="20"/>
          <w:color w:val="auto"/>
        </w:rPr>
      </w:pPr>
    </w:p>
    <w:p>
      <w:pPr>
        <w:ind w:right="320" w:firstLine="991"/>
        <w:spacing w:after="0" w:line="279" w:lineRule="auto"/>
        <w:rPr>
          <w:sz w:val="20"/>
          <w:szCs w:val="20"/>
          <w:color w:val="auto"/>
        </w:rPr>
      </w:pPr>
      <w:r>
        <w:rPr>
          <w:rFonts w:ascii="Arial" w:cs="Arial" w:eastAsia="Arial" w:hAnsi="Arial"/>
          <w:sz w:val="17"/>
          <w:szCs w:val="17"/>
          <w:color w:val="auto"/>
        </w:rPr>
        <w:t>“Corporate Trust Office of the Trustee” means the principal corporate trust office of the Trustee, at which at any particular time its corporate trust business shall be administered, which office on the date of execution of this Indenture is located at [Trustee], [Address], Attention: [Department], except that with respect to presentation of Securities for payment or for registration of transfer or exchange, such term shall mean the office or agency of the Trustee at which, at any particular time, its corporate agency business shall be conducted.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“corporation” includes corporations, associations, companies and business or statutory trusts.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“coupon” means any interest coupon appertaining to a Bearer Security.</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“Currency” means any currency, composite currency or currency unit and Foreign Currency issued by the government of one or more countries or by any recognized union, confederation or association of such governments.</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“Currency Agreement” means any foreign exchange contract, currency swap agreement or other similar agreement with respect to currency values.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“Depositary” means, with respect to Registered Securities of any series for which the Company shall determine that such Registered Securities will be issued in permanent global form, The Depository Trust Company, New York, New York, another clearing agency, or any successor registered as a clearing agency under the Exchange Act, or other applicable statute or regulations, which in each case, shall be designated by the Company pursuant to Section 301.</w:t>
      </w:r>
    </w:p>
    <w:p>
      <w:pPr>
        <w:spacing w:after="0" w:line="18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of America as at the time shall be legal tender for the payment of public and private debts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08" w:name="page109"/>
    <w:bookmarkEnd w:id="10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“Dollar Equivalent of the Currency Unit” has the meaning specified in Section 312(g).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“Dollar Equivalent of the Foreign Currency” has the meaning specified in Section 312(f).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“EDGAR” means the SEC’s Electronic Data Gathering and Retrieval System.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“Election Date” has the meaning specified in Section 312(h).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“Euroclear” means Euroclear Bank S.A./N.V. as operator of Euroclear System, and any successor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“Exchange Act” means the U.S. Securities Exchange Act of 1934, as amended, and the rules and regulations promulgated thereunder.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“Exchange Date” has the meaning specified in Section 304.</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“Exchange Rate Agent” means, with respect to Securities of or within any series, unless otherwise specified with respect to any Securities pursuant to Section 301, a New York Clearing House bank, designated pursuant to Section 301 or Section 313.</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“Exchange Rate Officer’s Certificate” means a certificate setting forth (i) the applicable Market Exchange Rate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signed by any Officer of the Company.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“Extension Notice” has the meaning specified in Section 308.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“Extension Period” has the meaning specified in Section 308.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Bankruptcy Code” means the U.S. Bankruptcy Act of Title 11 of the United States Code, as amended from time to time.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“Foreign Currency” means any Currency other than Currency of the United States.</w:t>
      </w:r>
    </w:p>
    <w:p>
      <w:pPr>
        <w:spacing w:after="0" w:line="225" w:lineRule="exact"/>
        <w:rPr>
          <w:sz w:val="20"/>
          <w:szCs w:val="20"/>
          <w:color w:val="auto"/>
        </w:rPr>
      </w:pPr>
    </w:p>
    <w:p>
      <w:pPr>
        <w:jc w:val="both"/>
        <w:ind w:right="20" w:firstLine="991"/>
        <w:spacing w:after="0" w:line="301" w:lineRule="auto"/>
        <w:rPr>
          <w:sz w:val="20"/>
          <w:szCs w:val="20"/>
          <w:color w:val="auto"/>
        </w:rPr>
      </w:pPr>
      <w:r>
        <w:rPr>
          <w:rFonts w:ascii="Arial" w:cs="Arial" w:eastAsia="Arial" w:hAnsi="Arial"/>
          <w:sz w:val="16"/>
          <w:szCs w:val="16"/>
          <w:color w:val="auto"/>
        </w:rPr>
        <w:t>“GAAP” means U.S.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successor entities as have been sanctioned and approved by the Securities and Exchange Commission, approved by a significant segment of the accounting profession, that are applicable at the date of any relevant calculation or determination.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09" w:name="page110"/>
    <w:bookmarkEnd w:id="109"/>
    <w:p>
      <w:pPr>
        <w:ind w:right="1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Obligations”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“guarantee”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w:t>
      </w:r>
    </w:p>
    <w:p>
      <w:pPr>
        <w:spacing w:after="0" w:line="18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“Hedging Obligations” of any Person means the obligations of such Person pursuant to any Interest Rate Agreement, Currency Agreement, Commodity Agreement or derivative contract entered into to hedge interest rate risk, currency exchange risk, and commodity price risk.</w:t>
      </w:r>
    </w:p>
    <w:p>
      <w:pPr>
        <w:spacing w:after="0" w:line="124"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46"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“Indebtedness” means any and all obligations of a Person for money borrowed which, in accordance with GAAP, would be reflected on the balance sheet of such Person as a liability on the date as of which Indebtedness is to be determined.</w:t>
      </w:r>
    </w:p>
    <w:p>
      <w:pPr>
        <w:spacing w:after="0" w:line="170"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“Indenture”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10" w:name="page111"/>
    <w:bookmarkEnd w:id="110"/>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“Indexed Security” means a Security the terms of which provide that the principal amount thereof payable at the Stated Maturity may be more or less than the principal amount thereof at original issuance.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“interest” means, when used with respect to an Original Issue Discount Security the rate prescribed in such Original Issue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“Interest Payment Date” means, when used with respect to any Security, the Maturity of an installment of interest on such Security.</w:t>
      </w:r>
    </w:p>
    <w:p>
      <w:pPr>
        <w:spacing w:after="0" w:line="237" w:lineRule="exact"/>
        <w:rPr>
          <w:sz w:val="20"/>
          <w:szCs w:val="20"/>
          <w:color w:val="auto"/>
        </w:rPr>
      </w:pPr>
    </w:p>
    <w:p>
      <w:pPr>
        <w:ind w:right="880" w:firstLine="991"/>
        <w:spacing w:after="0" w:line="277" w:lineRule="auto"/>
        <w:rPr>
          <w:sz w:val="20"/>
          <w:szCs w:val="20"/>
          <w:color w:val="auto"/>
        </w:rPr>
      </w:pPr>
      <w:r>
        <w:rPr>
          <w:rFonts w:ascii="Arial" w:cs="Arial" w:eastAsia="Arial" w:hAnsi="Arial"/>
          <w:sz w:val="18"/>
          <w:szCs w:val="18"/>
          <w:color w:val="auto"/>
        </w:rPr>
        <w:t>“Interest Rate Agreement” means any interest rate swap agreement, interest rate cap agreement or other financial agreement or arrangement with respect to exposure to interest rates.</w:t>
      </w:r>
    </w:p>
    <w:p>
      <w:pPr>
        <w:spacing w:after="0" w:line="170"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“Lien” or “lien”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7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“Market Exchange Rate”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67"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“Maturity” means, when used with respect to any Security, the date on which the principal of such Security or any installment of principal becomes due and payable as therein or herein provided, whether at the Stated Maturity or by acceleration, notice of redemption, notice of option to elect repayment, notice of exchange or conversion, or otherwise.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11" w:name="page112"/>
    <w:bookmarkEnd w:id="111"/>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Tangible Assets” means the total assets of the Company as reflected in the most recent balance sheet preceding the date of determination prepared in accordance with GAAP consistently applied, less after deducting therefrom (a) all current liabilities excluding current maturities of long-term debt and Capital Lease Obligations and (b) goodwill, tradenames, trademarks, patents, unamortized debt discount and expense and other similar intangible assets prepared in accordance with GAAP, but excluding any investments in permits or licenses issued, granted or approved by the Federal Communications Commission.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“Officer” means the President, any Vice President, the Chief Financial Officer, the Treasurer or the Secretary.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“Officers’ Certificate” means a certificate signed on behalf of the Company by one Officer of the Company who must be the President, the Treasurer, or a Vice President of the Company, that meets the requirements of Section 102.</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“Operating Property” means each plant or facility of the Company or a Restricted Subsidiary located within the United States, except any such plant or facility which the Board of Directors of the Company by resolution reasonably determines not to be of material importance to the total business conducted by the Company and its Restricted Subsidiaries.</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the Company, including an employee of the Company, and who shall be acceptable to the Trustee.</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“Original Issue Discount Security” means any Security which provides for an amount less than the principal amount thereof to be due and payable upon an acceleration of the Maturity thereof.</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“Outstanding” means, when used with respect to Securities, as of the date of determination, all Securities theretofore authenticated and delivered under this Indenture, except:</w:t>
      </w:r>
    </w:p>
    <w:p>
      <w:pPr>
        <w:spacing w:after="0" w:line="62" w:lineRule="exact"/>
        <w:rPr>
          <w:sz w:val="20"/>
          <w:szCs w:val="20"/>
          <w:color w:val="auto"/>
        </w:rPr>
      </w:pPr>
    </w:p>
    <w:p>
      <w:pPr>
        <w:ind w:left="1200" w:hanging="213"/>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firstLine="987"/>
        <w:spacing w:after="0" w:line="257" w:lineRule="auto"/>
        <w:tabs>
          <w:tab w:leader="none" w:pos="12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187" w:lineRule="exact"/>
        <w:rPr>
          <w:rFonts w:ascii="Arial" w:cs="Arial" w:eastAsia="Arial" w:hAnsi="Arial"/>
          <w:sz w:val="18"/>
          <w:szCs w:val="18"/>
          <w:color w:val="auto"/>
        </w:rPr>
      </w:pPr>
    </w:p>
    <w:p>
      <w:pPr>
        <w:ind w:right="460" w:firstLine="987"/>
        <w:spacing w:after="0" w:line="277" w:lineRule="auto"/>
        <w:tabs>
          <w:tab w:leader="none" w:pos="13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2" w:name="page113"/>
    <w:bookmarkEnd w:id="112"/>
    <w:p>
      <w:pPr>
        <w:ind w:right="140" w:firstLine="987"/>
        <w:spacing w:after="0" w:line="311" w:lineRule="auto"/>
        <w:tabs>
          <w:tab w:leader="none" w:pos="1296"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Securities that have been converted or exchanged for other securities pursuant to Section 301;</w:t>
      </w:r>
    </w:p>
    <w:p>
      <w:pPr>
        <w:spacing w:after="0" w:line="225" w:lineRule="exact"/>
        <w:rPr>
          <w:sz w:val="20"/>
          <w:szCs w:val="20"/>
          <w:color w:val="auto"/>
        </w:rPr>
      </w:pPr>
    </w:p>
    <w:p>
      <w:pPr>
        <w:ind w:left="980"/>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determined to be) due and payable, at the time of such determination, upon an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amount of such Indexed Security at original issuance, unless otherwise provided with respect to such Security pursuant to Section 301, and (iv) Securities owned by the Company or any other obligor upon the Securities or any Affiliate of the Company or such other obligor shall be disregarded and deemed not to be Outstanding, except that, in determining whether the Trustee shall be protected in making such determination or calculation or in conclusively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182"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“Paying Agent” means any Person (including the Company acting as Paying Agent) authorized by the Company to pay the principal of (or premium, if any) or interest, if any, on any Securities on behalf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3" w:name="page114"/>
    <w:bookmarkEnd w:id="113"/>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“Place of Payment” means, when used with respect to the Securities of or within any series, the place or places (which, in the case of Bearer Securities, shall be outside the United States) where the principal of (and premium, if any) and interest, if any, on such Securities are payable as specified as contemplated by Sections 301.</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“Redemption Date”, when used with respect to any Security to be redeemed, in whole or in part, means the date fixed for such redemption pursuant to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“Redemption Price” means, when used with respect to any Security to be redeemed,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“Registered Security” means any Security registered in the Security Register.</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Registered Securities of or within any series means the date specified for that purpose as contemplated by Section 301.</w:t>
      </w:r>
    </w:p>
    <w:p>
      <w:pPr>
        <w:spacing w:after="0" w:line="170"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“Repayment Date” means, when used with respect to any Security to be repaid at the option of the Holder, the date fixed for such repayment pursuant to this Indenture.</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“Repayment Price” means, when used with respect to any Security to be repaid at the option of the Holder, the price at which it is to be repaid pursuant to this Indenture.</w:t>
      </w:r>
    </w:p>
    <w:p>
      <w:pPr>
        <w:spacing w:after="0" w:line="170" w:lineRule="exact"/>
        <w:rPr>
          <w:sz w:val="20"/>
          <w:szCs w:val="20"/>
          <w:color w:val="auto"/>
        </w:rPr>
      </w:pPr>
    </w:p>
    <w:p>
      <w:pPr>
        <w:jc w:val="both"/>
        <w:ind w:right="180" w:firstLine="991"/>
        <w:spacing w:after="0" w:line="279" w:lineRule="auto"/>
        <w:rPr>
          <w:sz w:val="20"/>
          <w:szCs w:val="20"/>
          <w:color w:val="auto"/>
        </w:rPr>
      </w:pPr>
      <w:r>
        <w:rPr>
          <w:rFonts w:ascii="Arial" w:cs="Arial" w:eastAsia="Arial" w:hAnsi="Arial"/>
          <w:sz w:val="17"/>
          <w:szCs w:val="17"/>
          <w:color w:val="auto"/>
        </w:rPr>
        <w:t>“Responsible Officer” means, when used with respect to the Trustee, any officer of the Trustee within the Corporate Trust Office of the Trustee (or any successor group of the Trustee) who has direct responsibility for administration of this Indenture and, for purposes of Section 601 (or subparagraph (3)(b) of the first paragraph of Section 602 to the extent such expanded definition is used), also includes any other officer to whom such matter is referred because of such officer’s knowledge of and familiarity with the particular subject.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“Restricted Subsidiary” means any Subsidiary: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 substantially all of the property of which is located, or substantially all of the business of which is carried on, within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 which owns or is the lessee of any Operating Property.</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Notwithstanding the foregoing, a Subsidiary designated as an “unrestricted subsidiary” in accordance with the procedures agreed to by the Company and the Trustee in a supplemental indenture shall not be a Restricted Subsidiary.</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“Security” or “Securities”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14" w:name="page115"/>
    <w:bookmarkEnd w:id="1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Register” and “Security Registrar” have the respective meanings specified in Section 305.</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“Special Record Date” for the payment of any Defaulted Interest on the Registered Securities of or within any series means a date fixed by the Trustee pursuant to Section 307.</w:t>
      </w:r>
    </w:p>
    <w:p>
      <w:pPr>
        <w:spacing w:after="0" w:line="170" w:lineRule="exact"/>
        <w:rPr>
          <w:sz w:val="20"/>
          <w:szCs w:val="20"/>
          <w:color w:val="auto"/>
        </w:rPr>
      </w:pPr>
    </w:p>
    <w:p>
      <w:pPr>
        <w:ind w:right="520" w:firstLine="991"/>
        <w:spacing w:after="0" w:line="311" w:lineRule="auto"/>
        <w:rPr>
          <w:sz w:val="20"/>
          <w:szCs w:val="20"/>
          <w:color w:val="auto"/>
        </w:rPr>
      </w:pPr>
      <w:r>
        <w:rPr>
          <w:rFonts w:ascii="Arial" w:cs="Arial" w:eastAsia="Arial" w:hAnsi="Arial"/>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49"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“Subsidiary” means (1) any corporation of which at least a majority of the outstanding stock having by the terms thereof ordinary voting power for the election of directors of such corporation (irrespective of whether or not at the time stock of any other class or classes of such corporation shall have or might have voting power by reason of the happening of any contingency) is at the time directly or indirectly owned by the Company or one or more other Subsidiaries, or by the Company and one or more other Subsidiaries, and (2) any other Person in which the Company or one or more other Subsidiaries, directly or indirectly, at the date of determination, (x) own at least a majority of the outstanding ownership interests or (y) have the power to elect or direct the election of, or to appoint or approve the appointment of, at least the majority of the directors, trustees or managing members of, or other persons holding similar positions with, such Person.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“TARGET2” means the Trans-European Automated Real-Time Gross Settlement Express Transfer System, or any successor to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“Trade Payables” means accounts payable or any other Indebtedness or monetary obligations to trade creditors created or assumed in the ordinary course of business in connection with the obtaining of materials or services.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“Trust Indenture Act” or “TIA” means the U.S. Trust Indenture Act of 1939 as in force at the date as of which this Indenture was executed, except as provided in Section 905.</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“United States”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5" w:name="page116"/>
    <w:bookmarkEnd w:id="115"/>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person” means, unless otherwise specified with respect to any Securities pursuant to Section 301, an individual who is a citizen or resident of the United States, a corporation, partnership or other entity created or organized in or under the laws of the United States, an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“Valuation Date” has the meaning specified in Section 312(c).</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right="580" w:firstLine="991"/>
        <w:spacing w:after="0" w:line="263" w:lineRule="auto"/>
        <w:rPr>
          <w:sz w:val="20"/>
          <w:szCs w:val="20"/>
          <w:color w:val="auto"/>
        </w:rPr>
      </w:pPr>
      <w:r>
        <w:rPr>
          <w:rFonts w:ascii="Arial" w:cs="Arial" w:eastAsia="Arial" w:hAnsi="Arial"/>
          <w:sz w:val="18"/>
          <w:szCs w:val="18"/>
          <w:color w:val="auto"/>
        </w:rPr>
        <w:t>“Yield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4"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(including any covenant or condition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6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Every certificate or opinion with respect to compliance with a covenant or condition provided for in this Indenture (other than pursuant to [Article 10]) shall include:</w:t>
      </w:r>
    </w:p>
    <w:p>
      <w:pPr>
        <w:spacing w:after="0" w:line="62" w:lineRule="exact"/>
        <w:rPr>
          <w:sz w:val="20"/>
          <w:szCs w:val="20"/>
          <w:color w:val="auto"/>
        </w:rPr>
      </w:pPr>
    </w:p>
    <w:p>
      <w:pPr>
        <w:ind w:left="1240" w:hanging="253"/>
        <w:spacing w:after="0"/>
        <w:tabs>
          <w:tab w:leader="none" w:pos="12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statement that each individual signing such certificate or opinion has read such covenant or condition and the definitions herein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right="340" w:firstLine="987"/>
        <w:spacing w:after="0" w:line="277" w:lineRule="auto"/>
        <w:tabs>
          <w:tab w:leader="none" w:pos="1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covenant or condition has been complied 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6" w:name="page117"/>
    <w:bookmarkEnd w:id="116"/>
    <w:p>
      <w:pPr>
        <w:ind w:right="8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Officers’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officer or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or to all of them.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(subject to section 315 of the TIA) and conclusive in favor of the Trustee, the Company and any agent of the Trustee or the Company, if made in the manner provided in this Section. The record of any meeting of Holders of Securities shall be proved in the manner provided in Section 1506.</w:t>
      </w:r>
    </w:p>
    <w:p>
      <w:pPr>
        <w:spacing w:after="0" w:line="174"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Without limiting the generality of this Section 104, unless otherwise provided in or pursuant to this Indenture, a Holder, including a Depositary that is a Holder of a global Security (including through its nominee), may make, give or take, by a proxy or proxies, duly appointed in writing, any request, demand, authorization, direction, notice, consent, waiver or other Act provided in or pursuant to this Indenture or Securities to be made, given or taken by the Holders, and a Depositary that is a Holder of a global Security may provide its proxy or proxies to the beneficial owners of interests in such global Security through such Depositary’s standing instructions and customary practices.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7" w:name="page118"/>
    <w:bookmarkEnd w:id="117"/>
    <w:p>
      <w:pPr>
        <w:ind w:firstLine="419"/>
        <w:spacing w:after="0" w:line="255" w:lineRule="auto"/>
        <w:tabs>
          <w:tab w:leader="none" w:pos="668"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reasonable manner that the Trustee deems sufficient.</w:t>
      </w:r>
    </w:p>
    <w:p>
      <w:pPr>
        <w:spacing w:after="0" w:line="84"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principal amount and serial numbers of Registered Securities held by any Person, and the date of holding the same, shall be proved by the Security Register.</w:t>
      </w:r>
    </w:p>
    <w:p>
      <w:pPr>
        <w:spacing w:after="0" w:line="62" w:lineRule="exact"/>
        <w:rPr>
          <w:rFonts w:ascii="Arial" w:cs="Arial" w:eastAsia="Arial" w:hAnsi="Arial"/>
          <w:sz w:val="18"/>
          <w:szCs w:val="18"/>
          <w:color w:val="auto"/>
        </w:rPr>
      </w:pPr>
    </w:p>
    <w:p>
      <w:pPr>
        <w:ind w:right="100" w:firstLine="419"/>
        <w:spacing w:after="0" w:line="288" w:lineRule="auto"/>
        <w:tabs>
          <w:tab w:leader="none" w:pos="6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reasonably acceptable to the Company,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reasonable manner that the Trustee deems sufficient.</w:t>
      </w:r>
    </w:p>
    <w:p>
      <w:pPr>
        <w:spacing w:after="0" w:line="60" w:lineRule="exact"/>
        <w:rPr>
          <w:rFonts w:ascii="Arial" w:cs="Arial" w:eastAsia="Arial" w:hAnsi="Arial"/>
          <w:sz w:val="16"/>
          <w:szCs w:val="16"/>
          <w:color w:val="auto"/>
        </w:rPr>
      </w:pPr>
    </w:p>
    <w:p>
      <w:pPr>
        <w:ind w:right="40" w:firstLine="419"/>
        <w:spacing w:after="0" w:line="270" w:lineRule="auto"/>
        <w:tabs>
          <w:tab w:leader="none" w:pos="67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18" w:name="page119"/>
    <w:bookmarkEnd w:id="118"/>
    <w:p>
      <w:pPr>
        <w:ind w:left="44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76" w:lineRule="exact"/>
        <w:rPr>
          <w:sz w:val="20"/>
          <w:szCs w:val="20"/>
          <w:color w:val="auto"/>
        </w:rPr>
      </w:pPr>
    </w:p>
    <w:p>
      <w:pPr>
        <w:ind w:left="440" w:right="120" w:firstLine="419"/>
        <w:spacing w:after="0" w:line="279" w:lineRule="auto"/>
        <w:tabs>
          <w:tab w:leader="none" w:pos="1108"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the Company in reliance thereon, whether or not notation of such Act is made upon such Security.</w:t>
      </w:r>
    </w:p>
    <w:p>
      <w:pPr>
        <w:spacing w:after="0" w:line="17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or the Company</w:t>
      </w:r>
      <w:r>
        <w:rPr>
          <w:rFonts w:ascii="Arial" w:cs="Arial" w:eastAsia="Arial" w:hAnsi="Arial"/>
          <w:sz w:val="18"/>
          <w:szCs w:val="18"/>
          <w:color w:val="auto"/>
        </w:rPr>
        <w:t>. Any request, demand, authorization, direction, notice, consent, waiver or Act of Holders or other documents provided or permitted by this Indenture to be made upon, given or furnished to, or filed with,</w:t>
      </w:r>
    </w:p>
    <w:p>
      <w:pPr>
        <w:spacing w:after="0" w:line="62" w:lineRule="exact"/>
        <w:rPr>
          <w:sz w:val="20"/>
          <w:szCs w:val="20"/>
          <w:color w:val="auto"/>
        </w:rPr>
      </w:pPr>
    </w:p>
    <w:p>
      <w:pPr>
        <w:ind w:left="440" w:right="60" w:firstLine="948"/>
        <w:spacing w:after="0" w:line="263" w:lineRule="auto"/>
        <w:tabs>
          <w:tab w:leader="none" w:pos="16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(including telecopy to [insert Trustee fax number]) to or with the Trustee at its Corporate Trust Office, Attention: Trust &amp; Securities Services, or</w:t>
      </w:r>
    </w:p>
    <w:p>
      <w:pPr>
        <w:spacing w:after="0" w:line="75" w:lineRule="exact"/>
        <w:rPr>
          <w:rFonts w:ascii="Arial" w:cs="Arial" w:eastAsia="Arial" w:hAnsi="Arial"/>
          <w:sz w:val="18"/>
          <w:szCs w:val="18"/>
          <w:color w:val="auto"/>
        </w:rPr>
      </w:pPr>
    </w:p>
    <w:p>
      <w:pPr>
        <w:ind w:left="440" w:firstLine="948"/>
        <w:spacing w:after="0" w:line="259" w:lineRule="auto"/>
        <w:tabs>
          <w:tab w:leader="none" w:pos="16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or by overnight delivery service, to the Company addressed to it at the address of the Company’s principal office specified in the first paragraph of this Indenture, to the attention of its General Counsel, or at any other address previously furnished in writing to the Trustee by the Company.</w:t>
      </w:r>
    </w:p>
    <w:p>
      <w:pPr>
        <w:spacing w:after="0" w:line="18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Except as otherwise expressly provided herein or otherwise specified with respect to any series of Securities pursuant to Section 301, where this Indenture provides for notice of any event to Holders of Registered Securities by the Company or the Trustee, such notice shall be sufficiently given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Any notice mailed to a Holder in the manner herein prescribed shall be conclusively deemed to have been received by such Holder, whether or not such Holder actually receives such notice.</w:t>
      </w:r>
    </w:p>
    <w:p>
      <w:pPr>
        <w:spacing w:after="0" w:line="16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or by reason of any other cause, it shall be impractical to mail notice of any event to Holders of Registered Securities when such notice is required to be given pursuant to any provision of this Indenture, then any manner of giving written notice as shall be satisfactory to the Trustee shall be deemed to be sufficient giving of such notice for every purpose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9" w:name="page120"/>
    <w:bookmarkEnd w:id="119"/>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expressly provided herein or otherwise specified with respect to any series of Securities pursuant to Section 301, where this Indenture provides for notice to Holders of Bearer Securities of any event, such notice shall be sufficiently given to Holders of Bearer Securities if published in an Authorized Newspaper in The City of New York and in such other city or cities as may be specified in respect of such Securities on a Business Day at least twice, the first such publication to be not earlier than the earliest date, and not later than the latest date, prescribed for the giving of such notice. Any such notice shall be deemed to have been given on the date of such publication or, if published more than once, on the date of the first such publication.</w:t>
      </w:r>
    </w:p>
    <w:p>
      <w:pPr>
        <w:spacing w:after="0" w:line="192"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written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92"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jc w:val="both"/>
        <w:ind w:right="480" w:firstLine="991"/>
        <w:spacing w:after="0" w:line="286"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jc w:val="both"/>
        <w:ind w:right="460" w:firstLine="991"/>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Separability Clause</w:t>
      </w:r>
      <w:r>
        <w:rPr>
          <w:rFonts w:ascii="Arial" w:cs="Arial" w:eastAsia="Arial" w:hAnsi="Arial"/>
          <w:sz w:val="16"/>
          <w:szCs w:val="16"/>
          <w:color w:val="auto"/>
        </w:rPr>
        <w:t>. In case any provision in this Indenture or in any Security or any coupon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jc w:val="both"/>
        <w:ind w:right="440" w:firstLine="991"/>
        <w:spacing w:after="0" w:line="286"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Nothing in this Indenture or in the Securities or coupons, express or implied, shall give to any Person, other than the parties hereto, any Authenticating Agent, any Paying Agent, any Securities Registrar and their successors hereunder and the Holders of Securities or coupons, any benefit or any legal or equitable right, remedy or claim under this Indenture.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20" w:name="page121"/>
    <w:bookmarkEnd w:id="120"/>
    <w:p>
      <w:pPr>
        <w:ind w:right="2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INDENTURE AND THE SECURITIES AND COUPONS SHALL BE GOVERNED BY AND CONSTRUED IN ACCORDANCE WITH THE LAWS OF THE STATE OF NEW YORK WITHOUT REGARD TO CONFLICTS OF LAW PRINCIPLES OF SUCH STATE OTHER THAN NEW YORK GENERAL OBLIGATIONS LAW SECTION 5-1401. THIS INDENTURE IS SUBJECT TO THE PROVISIONS OF THE TRUST INDENTURE ACT THAT ARE REQUIRED TO BE PART OF THIS INDENTURE AND SHALL, TO THE EXTENT APPLICABLE, BE GOVERNED BY SUCH PROVISIONS.</w:t>
      </w:r>
    </w:p>
    <w:p>
      <w:pPr>
        <w:spacing w:after="0" w:line="18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Legal Holidays</w:t>
      </w:r>
      <w:r>
        <w:rPr>
          <w:rFonts w:ascii="Arial" w:cs="Arial" w:eastAsia="Arial" w:hAnsi="Arial"/>
          <w:sz w:val="17"/>
          <w:szCs w:val="17"/>
          <w:color w:val="auto"/>
        </w:rPr>
        <w:t>. Unless otherwise specified in or pursuant to this Indenture or any Securities, in any case where any Interest Payment Date, Redemption Date, Repayment Date, sinking fund payment date or Stated Maturity or Maturity of any Security shall not be a Business Day at any Place of Payment, then payment of principal (or premium, if any) or interest, if any, need not be made at such Place of Payment on such date, but may be made on the next succeeding Business Day at such Place of Payment with the same force and effect as if made on such Interest Payment Date, Redemption Date, Repayment Date, sinking fund payment date, Stated Maturity or Maturity, as the case may be, provided that no interest shall accrue on the amount so payable for the period from and after such Interest Payment Date, Redemption Date, Repayment Date, sinking fund payment date, Stated Maturity or Maturity, as the case may be, to such next succeeding Business Day.</w:t>
      </w:r>
    </w:p>
    <w:p>
      <w:pPr>
        <w:spacing w:after="0" w:line="177"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No Recourse</w:t>
      </w:r>
      <w:r>
        <w:rPr>
          <w:rFonts w:ascii="Arial" w:cs="Arial" w:eastAsia="Arial" w:hAnsi="Arial"/>
          <w:sz w:val="17"/>
          <w:szCs w:val="17"/>
          <w:color w:val="auto"/>
        </w:rPr>
        <w:t>. No recourse for the payment of the principal of or premium, if any, or interest on any Security or any coupons appertaining thereto, or for any claim based thereon or otherwise in respect thereof, and no recourse under or upon any obligation, covenant or agreement of the Company in this Indenture or in any supplemental indenture, or in any Security or any coupons appertaining thereto, or because of the creation of any indebtedness represented thereby, shall be had against any director, officer, employee, or stockholder as such, past, present or future, of the Company or any of its Affiliates or any successor Person of the Company, either directly or through the Company or any of its Affiliates or any successor Person of the Company,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7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 Whenever this Indenture refers to a provision of the TIA, the provision is incorporated by reference in and made a part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17" w:lineRule="exact"/>
        <w:rPr>
          <w:sz w:val="20"/>
          <w:szCs w:val="20"/>
          <w:color w:val="auto"/>
        </w:rPr>
      </w:pPr>
    </w:p>
    <w:p>
      <w:pPr>
        <w:ind w:left="1080" w:hanging="221"/>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“indenture securities” means the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“indenture security Holder” means a Holder of a Security;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“indenture to be qualified” means this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21" w:name="page122"/>
    <w:bookmarkEnd w:id="121"/>
    <w:p>
      <w:pPr>
        <w:ind w:left="1160" w:hanging="301"/>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trustee” or “institutional trustee” means the Trustee;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“obligor” on the Securities means the Company and any successor obligor upon the Securities.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left="1080" w:hanging="221"/>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440" w:top="274" w:right="879" w:bottom="1440" w:gutter="0" w:footer="0" w:header="0"/>
        </w:sectPr>
      </w:pPr>
    </w:p>
    <w:bookmarkStart w:id="122" w:name="page123"/>
    <w:bookmarkEnd w:id="122"/>
    <w:p>
      <w:pPr>
        <w:ind w:left="1420" w:hanging="43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words in the singular include the plural, and in the plural include the singular;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acts of war or terrorism, civil or military disturbances, nuclear or natural catastrophes and acts of God; it being understood that the Trustee shall use reasonable efforts which are consistent with accepted practices in the banking industry to resume performance as soon as practicable under the circumstances.</w:t>
      </w:r>
    </w:p>
    <w:p>
      <w:pPr>
        <w:spacing w:after="0" w:line="15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U.S.A. Patriot Act</w:t>
      </w:r>
      <w:r>
        <w:rPr>
          <w:rFonts w:ascii="Arial" w:cs="Arial" w:eastAsia="Arial" w:hAnsi="Arial"/>
          <w:sz w:val="16"/>
          <w:szCs w:val="16"/>
          <w:color w:val="auto"/>
        </w:rPr>
        <w:t>. The parties hereto acknowledge that in accordance with Section 326 of the U.S.A. Patriot Act, [Trustee], like all 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will provide [Trustee] with such information as it may request in order for [Trustee] to satisfy the requirements of the U.S.A. Patriot Act.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Generally</w:t>
      </w:r>
      <w:r>
        <w:rPr>
          <w:rFonts w:ascii="Arial" w:cs="Arial" w:eastAsia="Arial" w:hAnsi="Arial"/>
          <w:sz w:val="16"/>
          <w:szCs w:val="16"/>
          <w:color w:val="auto"/>
        </w:rPr>
        <w:t>. The Registered Securities, if any, of each series, the Bearer Securities, if any, of each series and related coupons, the temporary global Securities of each series, if any, and the permanent global Securities of each series, if any, shall be in substantially the forms as shall be established by, or pursuant to a Board Resolution or, subject to Section 303, set forth in, or determined in the manner provided in, an Officers’ Certificate pursuant to a Board Resolution of the Company,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of the Company executing such Securities or coupons as evidenced by their execution of such Securities or coupons. If the forms of Securities or coupons of any series are established by action taken pursuant to a Board Resolution, a copy of an appropriate record of such action shall be certified by the Secretary or Assistant Secretary of the Company, and delivered to the Trustee at or prior to the delivery of the Company Order contemplated by Section 303 for the authentication and delivery of such Securities or coupons. Any portion of the text of any Security may be set forth on the reverse thereof, with an appropriate reference thereto on the face of the Security.</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Trustee’s certificate of authentication on all Securities shall be in substantially the form set forth in this Article.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23" w:name="page124"/>
    <w:bookmarkEnd w:id="123"/>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definitive Securities and coupons, if any, shall be printed, lithographed or engraved on steel-engraved borders or may be produced in any other manner, all as determined by the officers of the Company executing such Securities or coupons, as evidenced by their execution of such Securities or coupons.</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global form, as specified as contemplated by Section 301, then, notwithstanding clause (8) of Section 301,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7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124" w:name="page125"/>
    <w:bookmarkEnd w:id="124"/>
    <w:p>
      <w:pPr>
        <w:ind w:right="3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provisions of Section 307 to the contrary, unless otherwise specified as contemplated by Section 301, payment of principal of (and premium, if any) and interest, if any, on any Security in global form shall be made to the Person or Persons specified therein.</w:t>
      </w:r>
    </w:p>
    <w:p>
      <w:pPr>
        <w:spacing w:after="0" w:line="12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Notwithstanding the provisions of Section 309 and except as provided in the preceding paragraph, the Company, the Trustee and any agent of the Company or the Trustee shall treat as the Holder of such principal amount of Outstanding Securities represented by a permanent global Security (i), in the case of a global Registered Security, the Holder thereof, or (ii) in the case of a global Bearer Security, Euroclear or Clearstream.</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The Securities may be issued in one or more series. There shall be established in one or more Board Resolutions of the Company or pursuant to authority granted by one or more Board Resolutions of the Company and, subject to Section 303, set forth in,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(17) below), if so provided, may be determined from time to time by the Company with respect to unissued Securities of the series and set forth in such Securities of the series when issued from time to time):</w:t>
      </w:r>
    </w:p>
    <w:p>
      <w:pPr>
        <w:spacing w:after="0" w:line="84" w:lineRule="exact"/>
        <w:rPr>
          <w:sz w:val="20"/>
          <w:szCs w:val="20"/>
          <w:color w:val="auto"/>
        </w:rPr>
      </w:pPr>
    </w:p>
    <w:p>
      <w:pPr>
        <w:ind w:left="440" w:right="34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title of the Securities of the series (which shall distinguish the Securities of the series from all other series of Securities) and whether such Securities are senior or subordinated;</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Sections 304, 305, 306, 906, 1107 or 1305);</w:t>
      </w:r>
    </w:p>
    <w:p>
      <w:pPr>
        <w:spacing w:after="0" w:line="75"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principal of the Securities of the series is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25" w:name="page126"/>
    <w:bookmarkEnd w:id="125"/>
    <w:p>
      <w:pPr>
        <w:ind w:right="20" w:firstLine="419"/>
        <w:spacing w:after="0" w:line="255" w:lineRule="auto"/>
        <w:tabs>
          <w:tab w:leader="none" w:pos="678"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rate or rates at which the Securities of the series shall bear interest, if any, or the method by which such rate or rates shall be determined, the date or dates from which any such interest shall accrue, or the method by which such date or dates shall be determined, the Interest Payment Dates on which such interest shall be payable, the right, if any, of the Company to defer or extend an Interest Payment Date, and the Regular Record Date, if any, for the interest payable on any Registered Security on any Interest Payment Date, or the method by which such date or dates shall be determined, and the basis upon which interest shall be calculated if other than on the basis of a 360-day year of twelve 30-day months;</w:t>
      </w:r>
    </w:p>
    <w:p>
      <w:pPr>
        <w:spacing w:after="0" w:line="84" w:lineRule="exact"/>
        <w:rPr>
          <w:rFonts w:ascii="Arial" w:cs="Arial" w:eastAsia="Arial" w:hAnsi="Arial"/>
          <w:sz w:val="18"/>
          <w:szCs w:val="18"/>
          <w:color w:val="auto"/>
        </w:rPr>
      </w:pPr>
    </w:p>
    <w:p>
      <w:pPr>
        <w:ind w:firstLine="419"/>
        <w:spacing w:after="0" w:line="273" w:lineRule="auto"/>
        <w:tabs>
          <w:tab w:leader="none" w:pos="6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place or places, if any, other than or in addition to the Borough of Manhattan, The City of New York, where the principal of (and premium, if any) and interest, if any, on Securities of the series shall be payable (which in the case of Bearer Securities shall be outside the United States),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105, the place or places where notices or demands to or upon the Company in respect of the Securities of the series and this Indenture may be served;</w:t>
      </w:r>
    </w:p>
    <w:p>
      <w:pPr>
        <w:spacing w:after="0" w:line="69" w:lineRule="exact"/>
        <w:rPr>
          <w:rFonts w:ascii="Arial" w:cs="Arial" w:eastAsia="Arial" w:hAnsi="Arial"/>
          <w:sz w:val="17"/>
          <w:szCs w:val="17"/>
          <w:color w:val="auto"/>
        </w:rPr>
      </w:pPr>
    </w:p>
    <w:p>
      <w:pPr>
        <w:ind w:right="380" w:firstLine="419"/>
        <w:spacing w:after="0" w:line="342" w:lineRule="auto"/>
        <w:tabs>
          <w:tab w:leader="none" w:pos="6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the Currency in which, and other terms and conditions upon which, Securities of the series may be redeemed, in whole or in part, at the option of the Company, if the Company is to have that option;</w:t>
      </w:r>
    </w:p>
    <w:p>
      <w:pPr>
        <w:spacing w:after="0" w:line="15" w:lineRule="exact"/>
        <w:rPr>
          <w:rFonts w:ascii="Arial" w:cs="Arial" w:eastAsia="Arial" w:hAnsi="Arial"/>
          <w:sz w:val="16"/>
          <w:szCs w:val="16"/>
          <w:color w:val="auto"/>
        </w:rPr>
      </w:pPr>
    </w:p>
    <w:p>
      <w:pPr>
        <w:jc w:val="both"/>
        <w:ind w:right="60" w:firstLine="419"/>
        <w:spacing w:after="0" w:line="259" w:lineRule="auto"/>
        <w:tabs>
          <w:tab w:leader="none" w:pos="6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in which, and other terms and conditions upon which, Securities of the series shall be redeemed, repaid or purchased, in whole or in part, pursuant to such obligation;</w:t>
      </w:r>
    </w:p>
    <w:p>
      <w:pPr>
        <w:spacing w:after="0" w:line="78" w:lineRule="exact"/>
        <w:rPr>
          <w:rFonts w:ascii="Arial" w:cs="Arial" w:eastAsia="Arial" w:hAnsi="Arial"/>
          <w:sz w:val="18"/>
          <w:szCs w:val="18"/>
          <w:color w:val="auto"/>
        </w:rPr>
      </w:pPr>
    </w:p>
    <w:p>
      <w:pPr>
        <w:ind w:right="60" w:firstLine="419"/>
        <w:spacing w:after="0" w:line="263" w:lineRule="auto"/>
        <w:tabs>
          <w:tab w:leader="none" w:pos="6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other than minimum denominations of $2,000 and integral multiples of $1,000 above such minimum denomination, the denomination or denominations in which any Registered Securities of the series shall be issuable and, if other than denominations of $5,000, the denomination or denominations in which any Bearer Securities of the series shall be issuable;</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117" w:lineRule="exact"/>
        <w:rPr>
          <w:rFonts w:ascii="Arial" w:cs="Arial" w:eastAsia="Arial" w:hAnsi="Arial"/>
          <w:sz w:val="18"/>
          <w:szCs w:val="18"/>
          <w:color w:val="auto"/>
        </w:rPr>
      </w:pPr>
    </w:p>
    <w:p>
      <w:pPr>
        <w:ind w:right="100" w:firstLine="419"/>
        <w:spacing w:after="0" w:line="259" w:lineRule="auto"/>
        <w:tabs>
          <w:tab w:leader="none" w:pos="7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an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502 or the method by which such portion shall be determined;</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20"/>
          </w:cols>
          <w:pgMar w:left="880" w:top="274" w:right="499" w:bottom="1440" w:gutter="0" w:footer="0" w:header="0"/>
        </w:sectPr>
      </w:pPr>
    </w:p>
    <w:bookmarkStart w:id="126" w:name="page127"/>
    <w:bookmarkEnd w:id="126"/>
    <w:p>
      <w:pPr>
        <w:ind w:right="100" w:firstLine="419"/>
        <w:spacing w:after="0" w:line="263" w:lineRule="auto"/>
        <w:tabs>
          <w:tab w:leader="none" w:pos="761"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other than Dollar,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75" w:lineRule="exact"/>
        <w:rPr>
          <w:rFonts w:ascii="Arial" w:cs="Arial" w:eastAsia="Arial" w:hAnsi="Arial"/>
          <w:sz w:val="18"/>
          <w:szCs w:val="18"/>
          <w:color w:val="auto"/>
        </w:rPr>
      </w:pPr>
    </w:p>
    <w:p>
      <w:pPr>
        <w:ind w:right="380" w:firstLine="419"/>
        <w:spacing w:after="0" w:line="286" w:lineRule="auto"/>
        <w:tabs>
          <w:tab w:leader="none" w:pos="768" w:val="left"/>
        </w:tabs>
        <w:numPr>
          <w:ilvl w:val="0"/>
          <w:numId w:val="98"/>
        </w:numPr>
        <w:rPr>
          <w:rFonts w:ascii="Arial" w:cs="Arial" w:eastAsia="Arial" w:hAnsi="Arial"/>
          <w:sz w:val="17"/>
          <w:szCs w:val="17"/>
          <w:color w:val="auto"/>
        </w:rPr>
      </w:pPr>
      <w:r>
        <w:rPr>
          <w:rFonts w:ascii="Arial" w:cs="Arial" w:eastAsia="Arial" w:hAnsi="Arial"/>
          <w:sz w:val="17"/>
          <w:szCs w:val="17"/>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57" w:lineRule="exact"/>
        <w:rPr>
          <w:rFonts w:ascii="Arial" w:cs="Arial" w:eastAsia="Arial" w:hAnsi="Arial"/>
          <w:sz w:val="17"/>
          <w:szCs w:val="17"/>
          <w:color w:val="auto"/>
        </w:rPr>
      </w:pPr>
    </w:p>
    <w:p>
      <w:pPr>
        <w:ind w:firstLine="419"/>
        <w:spacing w:after="0" w:line="296" w:lineRule="auto"/>
        <w:tabs>
          <w:tab w:leader="none" w:pos="768"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paid, in each case in accordance with, in addition to or in lieu of any of the provisions of Section 312;</w:t>
      </w:r>
    </w:p>
    <w:p>
      <w:pPr>
        <w:spacing w:after="0" w:line="53" w:lineRule="exact"/>
        <w:rPr>
          <w:rFonts w:ascii="Arial" w:cs="Arial" w:eastAsia="Arial" w:hAnsi="Arial"/>
          <w:sz w:val="16"/>
          <w:szCs w:val="16"/>
          <w:color w:val="auto"/>
        </w:rPr>
      </w:pPr>
    </w:p>
    <w:p>
      <w:pPr>
        <w:ind w:left="760" w:hanging="341"/>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 or any depositaries;</w:t>
      </w:r>
    </w:p>
    <w:p>
      <w:pPr>
        <w:spacing w:after="0" w:line="117" w:lineRule="exact"/>
        <w:rPr>
          <w:rFonts w:ascii="Arial" w:cs="Arial" w:eastAsia="Arial" w:hAnsi="Arial"/>
          <w:sz w:val="18"/>
          <w:szCs w:val="18"/>
          <w:color w:val="auto"/>
        </w:rPr>
      </w:pPr>
    </w:p>
    <w:p>
      <w:pPr>
        <w:ind w:right="100" w:firstLine="419"/>
        <w:spacing w:after="0" w:line="277" w:lineRule="auto"/>
        <w:tabs>
          <w:tab w:leader="none" w:pos="7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Sections 1402 and/or 1403 are not applicable to the Securities of the series and any provisions in modification of, in addition to or in lieu of any of the provisions of Article Fourteen that shall be applicable to the Securities of the series;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provisions, if any, granting special rights to the Holders of Securities of the series upon the occurrence of such events as may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specified;</w:t>
      </w:r>
    </w:p>
    <w:p>
      <w:pPr>
        <w:spacing w:after="0" w:line="102" w:lineRule="exact"/>
        <w:rPr>
          <w:rFonts w:ascii="Arial" w:cs="Arial" w:eastAsia="Arial" w:hAnsi="Arial"/>
          <w:sz w:val="17"/>
          <w:szCs w:val="17"/>
          <w:color w:val="auto"/>
        </w:rPr>
      </w:pPr>
    </w:p>
    <w:p>
      <w:pPr>
        <w:ind w:right="100" w:firstLine="419"/>
        <w:spacing w:after="0" w:line="342" w:lineRule="auto"/>
        <w:tabs>
          <w:tab w:leader="none" w:pos="76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the Events of Default or covenants of the Company or with respect to Securities of the series, whether or not such Events of Default or covenants are consistent with the Events of Default or covenants set forth herein;</w:t>
      </w:r>
    </w:p>
    <w:p>
      <w:pPr>
        <w:spacing w:after="0" w:line="15" w:lineRule="exact"/>
        <w:rPr>
          <w:rFonts w:ascii="Arial" w:cs="Arial" w:eastAsia="Arial" w:hAnsi="Arial"/>
          <w:sz w:val="16"/>
          <w:szCs w:val="16"/>
          <w:color w:val="auto"/>
        </w:rPr>
      </w:pPr>
    </w:p>
    <w:p>
      <w:pPr>
        <w:ind w:right="320" w:firstLine="419"/>
        <w:spacing w:after="0" w:line="275" w:lineRule="auto"/>
        <w:tabs>
          <w:tab w:leader="none" w:pos="768" w:val="left"/>
        </w:tabs>
        <w:numPr>
          <w:ilvl w:val="0"/>
          <w:numId w:val="98"/>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whether such Securities are to be issuable initially in temporary global form, whether such Securities are to be issuable in permanent global form with or without coupons and, if so, whether beneficial owners of interests in any such permanent global Security may exchange such interests for definitive Securities of the series and of like tenor of any authorized form and denomination and the circumstances under which any such exchanges may occur, if other</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127" w:name="page128"/>
    <w:bookmarkEnd w:id="127"/>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in the manner provided in Section 305, whether Registered Securities of the series may be exchanged for Bearer Securities of the series (if permitted by applicable laws and regulations), and the circumstances under which and the place or places where any such exchanges may be made and if Securities of the series are to be issuable in global form, the identity of any Depositary therefor;</w:t>
      </w:r>
    </w:p>
    <w:p>
      <w:pPr>
        <w:spacing w:after="0" w:line="57" w:lineRule="exact"/>
        <w:rPr>
          <w:sz w:val="20"/>
          <w:szCs w:val="20"/>
          <w:color w:val="auto"/>
        </w:rPr>
      </w:pPr>
    </w:p>
    <w:p>
      <w:pPr>
        <w:ind w:firstLine="419"/>
        <w:spacing w:after="0" w:line="277"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Bearer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firstLine="419"/>
        <w:spacing w:after="0" w:line="254"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86" w:lineRule="exact"/>
        <w:rPr>
          <w:rFonts w:ascii="Arial" w:cs="Arial" w:eastAsia="Arial" w:hAnsi="Arial"/>
          <w:sz w:val="18"/>
          <w:szCs w:val="18"/>
          <w:color w:val="auto"/>
        </w:rPr>
      </w:pPr>
    </w:p>
    <w:p>
      <w:pPr>
        <w:ind w:right="40" w:firstLine="419"/>
        <w:spacing w:after="0" w:line="263"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right="620" w:firstLine="419"/>
        <w:spacing w:after="0" w:line="277"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the time, manner and place for such Securities to be authenticated and delivered;</w:t>
      </w:r>
    </w:p>
    <w:p>
      <w:pPr>
        <w:spacing w:after="0" w:line="62" w:lineRule="exact"/>
        <w:rPr>
          <w:rFonts w:ascii="Arial" w:cs="Arial" w:eastAsia="Arial" w:hAnsi="Arial"/>
          <w:sz w:val="18"/>
          <w:szCs w:val="18"/>
          <w:color w:val="auto"/>
        </w:rPr>
      </w:pPr>
    </w:p>
    <w:p>
      <w:pPr>
        <w:ind w:right="120" w:firstLine="419"/>
        <w:spacing w:after="0" w:line="259"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Additional Amounts as contemplated by [Article 10 on the Securities of the series to any Holder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78" w:lineRule="exact"/>
        <w:rPr>
          <w:rFonts w:ascii="Arial" w:cs="Arial" w:eastAsia="Arial" w:hAnsi="Arial"/>
          <w:sz w:val="18"/>
          <w:szCs w:val="18"/>
          <w:color w:val="auto"/>
        </w:rPr>
      </w:pPr>
    </w:p>
    <w:p>
      <w:pPr>
        <w:ind w:right="200" w:firstLine="419"/>
        <w:spacing w:after="0" w:line="277"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Securities of the series are subject to subordination and, if so, the terms of such subordination; and</w:t>
      </w:r>
    </w:p>
    <w:p>
      <w:pPr>
        <w:spacing w:after="0" w:line="117" w:lineRule="exact"/>
        <w:rPr>
          <w:rFonts w:ascii="Arial" w:cs="Arial" w:eastAsia="Arial" w:hAnsi="Arial"/>
          <w:sz w:val="18"/>
          <w:szCs w:val="18"/>
          <w:color w:val="auto"/>
        </w:rPr>
      </w:pPr>
    </w:p>
    <w:p>
      <w:pPr>
        <w:ind w:right="300" w:firstLine="419"/>
        <w:spacing w:after="0" w:line="277"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terms, conditions, rights and preferences (or limitations on such rights and preferences) relating to the series (which terms shall not be inconsistent with the requirements of the Trust Indenture Act or the provisions of this Indenture).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128" w:name="page129"/>
    <w:bookmarkEnd w:id="128"/>
    <w:p>
      <w:pPr>
        <w:ind w:right="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or pursuant to authority granted by one or more Board Resolutions (subject to Section 303) and set forth in such Officers’ Certificate or in any such indenture supplemental hereto. Not all Securities of any one series need be issued at the same time, and, unless otherwise provided, a series may be reopened, without the consent of the Holders, for issuances of additional Securities of such series.</w:t>
      </w:r>
    </w:p>
    <w:p>
      <w:pPr>
        <w:spacing w:after="0" w:line="176"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or pursuant to authority granted by one or more Board Resolutions, such Board Resolutions shall be delivered to the Trustee at or prior to the issuance of the first Security of such series.</w:t>
      </w:r>
    </w:p>
    <w:p>
      <w:pPr>
        <w:spacing w:after="0" w:line="184"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Denominations</w:t>
      </w:r>
      <w:r>
        <w:rPr>
          <w:rFonts w:ascii="Arial" w:cs="Arial" w:eastAsia="Arial" w:hAnsi="Arial"/>
          <w:sz w:val="16"/>
          <w:szCs w:val="16"/>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such series, the Registered Securities of such series, other than Registered Securities issued in global form (which may be of any denomination), shall be issuable in a minimum denomination of $2,000 and integral multiples of $1,000 above such minimum denomination and the Bearer Securities of such series, other than the Bearer Securities issued in global form (which may be of any denomination), shall be issuable in the denomination of $5,000.</w:t>
      </w:r>
    </w:p>
    <w:p>
      <w:pPr>
        <w:spacing w:after="0" w:line="16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 The Securities and any coupons appertaining thereto shall be executed on behalf of the Company by an individual or individuals duly authorized by the Board of Directors of the Company to execute the Securities and the coupons. The signature of any of these authorized persons on the Securities or coupons may be the manual or facsimile signatures of the present or any future such authorized person and may be imprinted or otherwise reproduced on the Securities.</w:t>
      </w:r>
    </w:p>
    <w:p>
      <w:pPr>
        <w:spacing w:after="0" w:line="187"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Securities or coupons bearing the manual or facsimile signatures of individuals who were at the time of such execution of the Securities or coupons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together with any coupons appertaining thereto, duly executed by the Company, to the Trustee for authentication, together with a Company Order for the authentication and delivery of such Securities, and the Trustee in accordance with such Company Order shall authenticate and deliver such Securities; provided, however,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this Indenture (or such other certificate as may be specified with respect to any series of Security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 If not all the Securities of any series are to be issued at one time and if the Board Resolution, Officers’ Certificate pursuant to a Board Resolution, or supplemental indenture establishing such series shall so permit, such Company Order may set forth procedures acceptable to the Trustee for the issuance of such Securities and determining terms of particular Securities of such series such as interest rate or formula, maturity, any redemption or repayment provisions, date of issuance and date from which interest shall accrue.</w:t>
      </w:r>
    </w:p>
    <w:p>
      <w:pPr>
        <w:spacing w:after="0" w:line="182"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receive, and shall be fully protected in conclusively relying upon, an Opinion of Counsel stating in effect (subject to customary exceptions):</w:t>
      </w:r>
    </w:p>
    <w:p>
      <w:pPr>
        <w:spacing w:after="0" w:line="89" w:lineRule="exact"/>
        <w:rPr>
          <w:sz w:val="20"/>
          <w:szCs w:val="20"/>
          <w:color w:val="auto"/>
        </w:rPr>
      </w:pPr>
    </w:p>
    <w:p>
      <w:pPr>
        <w:ind w:left="1420" w:hanging="439"/>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that the form or forms of such Securities and any coupons have been established in conformity with the provisions of this Indenture;</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the terms of such Securities and any coupons have been established in conformity with the provisions of this Indenture;</w:t>
      </w:r>
    </w:p>
    <w:p>
      <w:pPr>
        <w:spacing w:after="0" w:line="142" w:lineRule="exact"/>
        <w:rPr>
          <w:rFonts w:ascii="Arial" w:cs="Arial" w:eastAsia="Arial" w:hAnsi="Arial"/>
          <w:sz w:val="17"/>
          <w:szCs w:val="17"/>
          <w:color w:val="auto"/>
        </w:rPr>
      </w:pPr>
    </w:p>
    <w:p>
      <w:pPr>
        <w:ind w:left="1420" w:right="200" w:hanging="439"/>
        <w:spacing w:after="0" w:line="273" w:lineRule="auto"/>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such Securities and coupons, when completed by appropriate insertions and executed and delivered by the Company to the Trustee for authentication in accordance with this Indenture, authenticated and delivered by the Trustee in accordance with this Indenture and issued in the manner and subject to any conditions specified in such Opinion of Counsel, will be the legal, valid and binding obligations of the Company enforceable in accordance with their terms, subject to the effect of any applicable bankruptcy, insolvency, reorganization, moratorium and other similar laws affecting creditors’ rights generally (including without limitation on all laws relating to fraudulent transfers) and to general principles of equity;</w:t>
      </w:r>
    </w:p>
    <w:p>
      <w:pPr>
        <w:spacing w:after="0" w:line="83" w:lineRule="exact"/>
        <w:rPr>
          <w:rFonts w:ascii="Arial" w:cs="Arial" w:eastAsia="Arial" w:hAnsi="Arial"/>
          <w:sz w:val="17"/>
          <w:szCs w:val="17"/>
          <w:color w:val="auto"/>
        </w:rPr>
      </w:pPr>
    </w:p>
    <w:p>
      <w:pPr>
        <w:jc w:val="both"/>
        <w:ind w:left="1420" w:hanging="439"/>
        <w:spacing w:after="0" w:line="311"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that all laws and requirements in respect of the execution and delivery by the Company of such Securities, coupons, if any, and of the supplemental indentures, if any, have been complied with and that authentication and delivery of such Securities and coupons, if any, and the execution and delivery of the supplemental indenture, if any, by the Trustee will not violate the terms of the Indenture;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30" w:name="page131"/>
    <w:bookmarkEnd w:id="130"/>
    <w:p>
      <w:pPr>
        <w:ind w:left="1420" w:hanging="439"/>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Company has the corporate power to issue such Securities and any coupons and has duly taken all necessary corporate action with respect to such issuance; and</w:t>
      </w:r>
    </w:p>
    <w:p>
      <w:pPr>
        <w:spacing w:after="0" w:line="75" w:lineRule="exact"/>
        <w:rPr>
          <w:rFonts w:ascii="Arial" w:cs="Arial" w:eastAsia="Arial" w:hAnsi="Arial"/>
          <w:sz w:val="18"/>
          <w:szCs w:val="18"/>
          <w:color w:val="auto"/>
        </w:rPr>
      </w:pPr>
    </w:p>
    <w:p>
      <w:pPr>
        <w:jc w:val="both"/>
        <w:ind w:left="1420" w:right="60" w:hanging="439"/>
        <w:spacing w:after="0" w:line="263"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the issuance of such Securities and coupons, if any, will not contravene the articles of incorporation or by-laws of the Company or result in any violation of any of the terms or provisions of any law or regulation or of any indenture, mortgage or other agreement known to such Counsel by which the Company is bound.</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Trustee shall not be required to authenticate and deliver any such Securities if the issue of such Securities pursuant to this Indenture is unlawful or will affect the Trustee’s own rights, duties or immunities under the Securities and this Indenture or otherwise in a manner which is not reasonably acceptable to the Trustee.</w:t>
      </w:r>
    </w:p>
    <w:p>
      <w:pPr>
        <w:spacing w:after="0" w:line="184"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No Security or coupon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87"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8"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Temporary Securities</w:t>
      </w:r>
      <w:r>
        <w:rPr>
          <w:rFonts w:ascii="Arial" w:cs="Arial" w:eastAsia="Arial" w:hAnsi="Arial"/>
          <w:sz w:val="17"/>
          <w:szCs w:val="17"/>
          <w:color w:val="auto"/>
        </w:rPr>
        <w:t>.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or coupons may determine, as conclusively evidenced by their execution of such Securities or coupons, as the case may be. Such temporary Securities may be in global form.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31" w:name="page132"/>
    <w:bookmarkEnd w:id="131"/>
    <w:p>
      <w:pPr>
        <w:ind w:right="10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unmatured coupons appertaining thereto), the Company shall execute and the Trustee, upon receipt of a written instruction, shall authenticate and deliver in exchange therefor a like principal amount of definitive Securities of the same series and of like tenor of authorized denominations; provided, however,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82" w:lineRule="exact"/>
        <w:rPr>
          <w:sz w:val="20"/>
          <w:szCs w:val="20"/>
          <w:color w:val="auto"/>
        </w:rPr>
      </w:pPr>
    </w:p>
    <w:p>
      <w:pPr>
        <w:ind w:right="540" w:firstLine="991"/>
        <w:spacing w:after="0" w:line="311" w:lineRule="auto"/>
        <w:rPr>
          <w:sz w:val="20"/>
          <w:szCs w:val="20"/>
          <w:color w:val="auto"/>
        </w:rPr>
      </w:pPr>
      <w:r>
        <w:rPr>
          <w:rFonts w:ascii="Arial" w:cs="Arial" w:eastAsia="Arial" w:hAnsi="Arial"/>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4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Company shall deliver to the Trustee definitive Securities of the same series executed by the Company, in aggregate principal amount equal to the principal amount of such temporary global Security. On or after the Exchange Date such temporary global Security shall be surrendered by the Common Depositary to the Trustee, as the Company’s agent for such purpose, to be exchanged, in whole or from time to time in part, for definitive Securities of the same series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32" w:name="page133"/>
    <w:bookmarkEnd w:id="13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exchanged, each in the form set forth in Exhibit A-2 to this Indenture (or in such other form as may be established pursuant to Section 301); and provided, however, that definitive Bearer Securities shall be delivered in exchange for a portion of a temporary global Security only in compliance with the requirements of Section 303.</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Unless otherwise specified in such temporary global Security, the interest of a beneficial owner of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8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 in accordance with (but otherwise subject to) [Article 10].</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133" w:name="page134"/>
    <w:bookmarkEnd w:id="133"/>
    <w:p>
      <w:pPr>
        <w:ind w:right="14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Arial" w:cs="Arial" w:eastAsia="Arial" w:hAnsi="Arial"/>
          <w:sz w:val="16"/>
          <w:szCs w:val="16"/>
          <w:u w:val="single" w:color="auto"/>
          <w:color w:val="auto"/>
        </w:rPr>
        <w:t>Registration, Registration of Transfer and Exchange</w:t>
      </w:r>
      <w:r>
        <w:rPr>
          <w:rFonts w:ascii="Arial" w:cs="Arial" w:eastAsia="Arial" w:hAnsi="Arial"/>
          <w:sz w:val="16"/>
          <w:szCs w:val="16"/>
          <w:color w:val="auto"/>
        </w:rPr>
        <w:t>. The Company or the Trustee shall cause to be kept at the Corporate Trust Office of the Trustee a register for each series of Securities (the registers maintained in the Corporate Trust Office of the Trustee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of Registered Securities; provided, however, that there shall be only one Security Register per series of Securities. The Security Register shall be in written form or any other form capable of being converted into written form within a reasonable time. At all reasonable times, the Security Register shall be open to inspection by the Trustee. The Trustee is hereby initially appointed as security registrar (the “Security Registrar”) for the purpose of registering Registered Securities and transfers of Registered Securities as herein provided and for facilitating exchanges of temporary global Securities for permanent global Securities or definitive Securities, or both, or of permanent global Securities for definitive Securities, as herein provided.</w:t>
      </w:r>
    </w:p>
    <w:p>
      <w:pPr>
        <w:spacing w:after="0" w:line="166" w:lineRule="exact"/>
        <w:rPr>
          <w:sz w:val="20"/>
          <w:szCs w:val="20"/>
          <w:color w:val="auto"/>
        </w:rPr>
      </w:pPr>
    </w:p>
    <w:p>
      <w:pPr>
        <w:jc w:val="both"/>
        <w:ind w:right="160" w:firstLine="991"/>
        <w:spacing w:after="0" w:line="286" w:lineRule="auto"/>
        <w:rPr>
          <w:sz w:val="20"/>
          <w:szCs w:val="20"/>
          <w:color w:val="auto"/>
        </w:rPr>
      </w:pPr>
      <w:r>
        <w:rPr>
          <w:rFonts w:ascii="Arial" w:cs="Arial" w:eastAsia="Arial" w:hAnsi="Arial"/>
          <w:sz w:val="17"/>
          <w:szCs w:val="17"/>
          <w:color w:val="auto"/>
        </w:rPr>
        <w:t>Upon surrender for registration of transfer of any Registered Security of any series at the office or agency in a Place of Payment for that series, the Company shall execute, and the Trustee shall authenticate and deliver, in the name of the designated transferee, one or more new Registered Securities of the same series, of any authorized denominations and of a like aggregate principal amount and tenor.</w:t>
      </w:r>
    </w:p>
    <w:p>
      <w:pPr>
        <w:spacing w:after="0" w:line="16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At the option of the Holder, Registered Securities of any series may be exchanged for other Registered Securities of the same series, of any authorized denomination and of a like aggregate principal amount,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76"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reasonably require to save each of them and any Paying Agent harmless. If thereafter the Holder of such Security shall surrender to any Paying Agent any such missing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34" w:name="page135"/>
    <w:bookmarkEnd w:id="13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coupon in respect of which such a payment shall have been made, such Holder shall be entitled to receive the amount of such payment; provided, however, that, except as otherwise provided in [Article 10],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that the Holder making the exchange is entitled to receive.</w:t>
      </w:r>
    </w:p>
    <w:p>
      <w:pPr>
        <w:spacing w:after="0" w:line="170"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Unless otherwise specified pursuant to Section 301, all Bearer Securities issued in permanent global form, upon request of the beneficial owner and in accordance with the following provisions, will be exchangeable for definitive Bearer Securities.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of that series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to be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35" w:name="page136"/>
    <w:bookmarkEnd w:id="13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definitive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definitive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1"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Every Registered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1107 or 1305 not involving any transfer.</w:t>
      </w:r>
    </w:p>
    <w:p>
      <w:pPr>
        <w:spacing w:after="0" w:line="184"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If at any time the Depositary for any permanent global Registered Securities of any series notifies the Company that it is unwilling or unable to continue as Depositary for such permanent global Registered Securities or if at any time the Depositary for such permanent global Registered Securities shall no longer be eligible to so continue under applicable law, the Company shall appoint a successor Depositary eligible under applicable law with respect to such permanent global Registered Securities. If a successor Depositary eligible under applicable law for such Registered Global Securities is not appointed by the Company within 90 days after the Company receives such notice or becomes aware of such ineligibility or if there has occurred and is continuing an Event of Default with respect to the Securities of any series, the Company will execute, and the Trustee, upon receipt of the Company Order for the authentication and delivery of definitive Registered Securities of such series and tenor, will authenticate and deliver such definitive Registered Securities of such series and tenor, in any authorized denominations, in an aggregate principal amount equal to the principal amount of such permanent global Registered Securities, in exchange for such permanent global Registered Securities.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36" w:name="page137"/>
    <w:bookmarkEnd w:id="136"/>
    <w:p>
      <w:pPr>
        <w:ind w:left="4" w:right="1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at any time and in its sole discretion determine that any permanent global Registered Securities of any series shall no longer be maintained in global form. In such event the Company will execute, and the Trustee, upon receipt of the Company’s order for the authentication and delivery of definitive Registered Securities of such series and tenor, will authenticate and deliver, definitive Registered Securities of such series and tenor in any authorized denominations, in an aggregate principal amount equal to the principal amount of such permanent global Registered Securities, in exchange for such permanent global Registered Securities.</w:t>
      </w:r>
    </w:p>
    <w:p>
      <w:pPr>
        <w:spacing w:after="0" w:line="176" w:lineRule="exact"/>
        <w:rPr>
          <w:sz w:val="20"/>
          <w:szCs w:val="20"/>
          <w:color w:val="auto"/>
        </w:rPr>
      </w:pPr>
    </w:p>
    <w:p>
      <w:pPr>
        <w:jc w:val="both"/>
        <w:ind w:left="4" w:firstLine="991"/>
        <w:spacing w:after="0" w:line="287" w:lineRule="auto"/>
        <w:rPr>
          <w:sz w:val="20"/>
          <w:szCs w:val="20"/>
          <w:color w:val="auto"/>
        </w:rPr>
      </w:pPr>
      <w:r>
        <w:rPr>
          <w:rFonts w:ascii="Arial" w:cs="Arial" w:eastAsia="Arial" w:hAnsi="Arial"/>
          <w:sz w:val="16"/>
          <w:szCs w:val="16"/>
          <w:color w:val="auto"/>
        </w:rPr>
        <w:t>The Company shall not be required (i) to issue, register the transfer of or exchange Securities of any series during a period beginning at the opening of business 15 days before the day of the selection for redemption of Securities of that series under Section 1103 or 1203 and ending at the close of business on (A) if Securities of the series are issuable only as Registered Securities, the day of the mailing of the relevant notice of redemption and</w:t>
      </w:r>
    </w:p>
    <w:p>
      <w:pPr>
        <w:spacing w:after="0" w:line="2" w:lineRule="exact"/>
        <w:rPr>
          <w:sz w:val="20"/>
          <w:szCs w:val="20"/>
          <w:color w:val="auto"/>
        </w:rPr>
      </w:pPr>
    </w:p>
    <w:p>
      <w:pPr>
        <w:ind w:left="4" w:right="80" w:hanging="4"/>
        <w:spacing w:after="0" w:line="252" w:lineRule="auto"/>
        <w:tabs>
          <w:tab w:leader="none" w:pos="2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92"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The Trustee shall have no obligation or duty to monitor, determine or inquire as to compliance with any restrictions on transfer that may be imposed under this Indenture with respect to the Securities of any series pursuant to the terms thereof established as contemplated by Section 301 or under applicable law with respect to any transfer of any interest in any such Security (including any transfers between or among any depositary (including any Depositary or Common Depositary), or its nominee, as a Holder of a Security issued in global form, any participants in such depositary or owners or holders of beneficial interests in any such global Security) other than to require delivery of such certificates and other documentation or evidence as are expressly required by, and to do so if and when expressly required by, the terms of such Securities if and as may be so established in respect of such Securities, and to examine the same to determine substantial compliance as to form with the express requirements thereof.</w:t>
      </w:r>
    </w:p>
    <w:p>
      <w:pPr>
        <w:spacing w:after="0" w:line="166" w:lineRule="exact"/>
        <w:rPr>
          <w:sz w:val="20"/>
          <w:szCs w:val="20"/>
          <w:color w:val="auto"/>
        </w:rPr>
      </w:pPr>
    </w:p>
    <w:p>
      <w:pPr>
        <w:ind w:left="4" w:right="360" w:firstLine="991"/>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any mutilated Security or a Security with a mutilated coupon appertaining to it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137" w:name="page138"/>
    <w:bookmarkEnd w:id="137"/>
    <w:p>
      <w:pPr>
        <w:ind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66"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provided, however, that payment of principal of (and premium, if any) and interest, if any, on Bearer Securities shall, except as otherwise provided in [Article 10],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95"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Every new Security of any series,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6"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 Optional Interest Reset</w:t>
      </w:r>
      <w:r>
        <w:rPr>
          <w:rFonts w:ascii="Arial" w:cs="Arial" w:eastAsia="Arial" w:hAnsi="Arial"/>
          <w:sz w:val="16"/>
          <w:szCs w:val="16"/>
          <w:color w:val="auto"/>
        </w:rPr>
        <w:t>. (i) Unless otherwise provided as contemplated by Section 301 with respect to any series of Securities, interest, if any, on any Registered Security which is payable, and is punctually paid or duly provided for, on any Interest Payment Date shall be paid to the Person in whose name such Security (or one or more Predecessor Securities) is registered at the close of business on the Regular Record Date for such interest at the office or agency of the Company maintained for such purpose pursuant to [Article 10]; provided, however, that each installment of interest, if any, on any Registered Security (other than a global Security) on an Interest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38" w:name="page139"/>
    <w:bookmarkEnd w:id="138"/>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Date may at the Company’s option be paid by (i) mailing a check for such interest, payable to or upon the written order of the Person entitled thereto pursuant to Section 309, to the address of such Person as it appears on the Security Register or (ii) transfer to an account located in the United States maintained by the payee.</w:t>
      </w:r>
    </w:p>
    <w:p>
      <w:pPr>
        <w:spacing w:after="0" w:line="184"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Unless otherwise provided as contemplated by Section 301 with respect to the Securities of any series, payment of interest, if any, may be made, in the case of a Bearer Security, by transfer to an account located outside the United States maintained by the payee.</w:t>
      </w:r>
    </w:p>
    <w:p>
      <w:pPr>
        <w:spacing w:after="0" w:line="146"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71" w:lineRule="exact"/>
        <w:rPr>
          <w:sz w:val="20"/>
          <w:szCs w:val="20"/>
          <w:color w:val="auto"/>
        </w:rPr>
      </w:pPr>
    </w:p>
    <w:p>
      <w:pPr>
        <w:jc w:val="both"/>
        <w:ind w:right="340" w:firstLine="991"/>
        <w:spacing w:after="0" w:line="257" w:lineRule="auto"/>
        <w:rPr>
          <w:sz w:val="20"/>
          <w:szCs w:val="20"/>
          <w:color w:val="auto"/>
        </w:rPr>
      </w:pPr>
      <w:r>
        <w:rPr>
          <w:rFonts w:ascii="Arial" w:cs="Arial" w:eastAsia="Arial" w:hAnsi="Arial"/>
          <w:sz w:val="18"/>
          <w:szCs w:val="18"/>
          <w:color w:val="auto"/>
        </w:rPr>
        <w:t>Any interest on any Registered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or formula specified in the Securities of such series (such defaulted interest and, if applicable, interest thereon herein collectively called “Defaulted Interest”) may be paid by the Company, at its election in each case, as provided in clause (1) or (2) below:</w:t>
      </w:r>
    </w:p>
    <w:p>
      <w:pPr>
        <w:spacing w:after="0" w:line="80" w:lineRule="exact"/>
        <w:rPr>
          <w:sz w:val="20"/>
          <w:szCs w:val="20"/>
          <w:color w:val="auto"/>
        </w:rPr>
      </w:pPr>
    </w:p>
    <w:p>
      <w:pPr>
        <w:ind w:left="440" w:firstLine="419"/>
        <w:spacing w:after="0" w:line="285" w:lineRule="auto"/>
        <w:tabs>
          <w:tab w:leader="none" w:pos="11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that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 the Registered Securities of such series (or their respective Predecessor Securities) are registered at the close of business on such Special Record Date and shall no longer be payable pursuant to the following clause (2).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9" w:name="page140"/>
    <w:bookmarkEnd w:id="139"/>
    <w:p>
      <w:pPr>
        <w:ind w:left="440" w:right="60" w:firstLine="419"/>
        <w:spacing w:after="0" w:line="259"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9" w:lineRule="exact"/>
        <w:rPr>
          <w:sz w:val="20"/>
          <w:szCs w:val="20"/>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provisions of this Section 307(b) may be made applicable to any series of Securities pursuant to Section 301 (with such</w:t>
      </w:r>
    </w:p>
    <w:p>
      <w:pPr>
        <w:spacing w:after="0" w:line="23" w:lineRule="exact"/>
        <w:rPr>
          <w:rFonts w:ascii="Arial" w:cs="Arial" w:eastAsia="Arial" w:hAnsi="Arial"/>
          <w:sz w:val="18"/>
          <w:szCs w:val="18"/>
          <w:color w:val="auto"/>
        </w:rPr>
      </w:pPr>
    </w:p>
    <w:p>
      <w:pPr>
        <w:ind w:left="440" w:right="40"/>
        <w:spacing w:after="0" w:line="286" w:lineRule="auto"/>
        <w:rPr>
          <w:rFonts w:ascii="Arial" w:cs="Arial" w:eastAsia="Arial" w:hAnsi="Arial"/>
          <w:sz w:val="18"/>
          <w:szCs w:val="18"/>
          <w:color w:val="auto"/>
        </w:rPr>
      </w:pPr>
      <w:r>
        <w:rPr>
          <w:rFonts w:ascii="Arial" w:cs="Arial" w:eastAsia="Arial" w:hAnsi="Arial"/>
          <w:sz w:val="16"/>
          <w:szCs w:val="16"/>
          <w:color w:val="auto"/>
        </w:rPr>
        <w:t>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50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69"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8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40" w:name="page141"/>
    <w:bookmarkEnd w:id="140"/>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Optional Extension of Maturity</w:t>
      </w:r>
      <w:r>
        <w:rPr>
          <w:rFonts w:ascii="Arial" w:cs="Arial" w:eastAsia="Arial" w:hAnsi="Arial"/>
          <w:sz w:val="17"/>
          <w:szCs w:val="17"/>
          <w:color w:val="auto"/>
        </w:rPr>
        <w:t>. The provisions of this Section 308 may be made applicable to any series of Securities pursuant to Section 301 (with such modifications, additions or substitutions as may be specified pursuant to such Section 301). The Maturity of any Security of such series may be extended at the option of the Company for the period or periods specified on the face of such Security (each an “Extension Period”) up to but not beyond the Stated Maturity set forth on the face of such Security. The Company may exercise such option with respect to any Security by notifying the Trustee of such exercise at least 50 but not more than 60 days prior to the Maturity of such Security in effect prior to the exercise of such option. If the Company exercises such option, the Trustee shall transmit, in the manner provided for in Section 106, to the Holder of such Security not later than 40 days prior to the Maturity a notice (the “Extension Notice”) indicating (i) the election of the Company to extend the Maturity, (ii) the new Maturity, (iii) the interest rate, if any, applicable to the Extension Period and (iv) the provisions, if any, for redemption during such Extension Period. Upon the Trustee’s transmittal of the Extension Notice, the Maturity of such Security shall be extended automatically and, except as modified by the Extension Notice and as described in the next paragraph, such Security will have the same terms as prior to the transmittal of such Extension Notice.</w:t>
      </w:r>
    </w:p>
    <w:p>
      <w:pPr>
        <w:spacing w:after="0" w:line="182"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Notwithstanding the foregoing, not later than 20 days before the Maturity of such Security, the Company may, at its option, revoke the interest rate provided for in the Extension Notice and establish a higher interest rate for the Extension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Maturity is extended will bear such higher interest rate.</w:t>
      </w:r>
    </w:p>
    <w:p>
      <w:pPr>
        <w:spacing w:after="0" w:line="157"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If the Company extends the Maturity of any Security, the Holder will have the option to elect repayment of such Security by the Company at Maturity at a price equal to the principal amount thereof, plus interest accrued to such date. In order to obtain repayment at Maturity once the Company has extended the Maturity thereof, the Holder must follow the procedures set forth in Article Thirteen for repayment at the option of Holders, except that the period for delivery or notification to the Trustee shall be at least 25 but not more than 35 days prior to the Maturity and except that, if the Holder has tendered any Security for repayment pursuant to an Extension Notice, the Holder may by written notice to the Trustee revoke such tender for repayment until the close of business on the tenth day before the Maturity.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41" w:name="page142"/>
    <w:bookmarkEnd w:id="141"/>
    <w:p>
      <w:pPr>
        <w:ind w:right="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309.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 is registered as the absolute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none of the Company, the Trustee or any agent of the Company or the Trustee shall be affected by notice to the contrary.</w:t>
      </w:r>
    </w:p>
    <w:p>
      <w:pPr>
        <w:spacing w:after="0" w:line="161"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coupons be overdue, and none of the Company, the Trustee or any agent of the Company or the Trustee shall be affected by notice to the contrary.</w:t>
      </w:r>
    </w:p>
    <w:p>
      <w:pPr>
        <w:spacing w:after="0" w:line="15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None of the Company, the Trustee, any Paying Agent or the Security Registrar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The Company, the Trustee and the Securities Registrar shall be entitled to deal with any depositary (including any Depositary or Common Depositary), and any nominee thereof, that is the Holder of any such global Security for all purposes of this Indenture relating to such global Security (including the payment of principal, premium, if any, and interest and Additional Amounts, if any, the giving of instructions or directions by or to the owner or holder of a beneficial ownership interest in such global Security) as the sole Holder of such global Security and shall have no obligations to the beneficial owners thereof. None of the Company, the Trustee, any Paying Agent or the Security Registrar shall have any responsibility or liability for any acts or omissions of any such depositary with respect to such global Security, for the records of any such depositary, including records in respect of beneficial ownership interests in respect of any such global Security, for any transactions between such depositary and any participant in such depositary or between or among any such depositary, any such participant and/or any holder or owner of a beneficial interest in such global Security or for any transfers of beneficial interests in any such global Security.</w:t>
      </w:r>
    </w:p>
    <w:p>
      <w:pPr>
        <w:spacing w:after="0" w:line="172"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(including any Depositary or Common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42" w:name="page143"/>
    <w:bookmarkEnd w:id="142"/>
    <w:p>
      <w:pPr>
        <w:ind w:right="6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exchange or for credit against any current or future sinking fund payment shall, if surrendered to any Person other than the Trustee, be delivered to the Trustee. All Securities and coupons so delivered to the Trustee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All cancelled Securities and coupons held by the Trustee shall be disposed of by the Trustee in accordance with its customary procedures and, if requested by the Company in writing, the Trustee shall provide certification of their disposal to the Company, unless by Company Order the Company shall timely direct that cancelled Securities be returned to it.</w:t>
      </w:r>
    </w:p>
    <w:p>
      <w:pPr>
        <w:spacing w:after="0" w:line="179"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Computation of Interest</w:t>
      </w:r>
      <w:r>
        <w:rPr>
          <w:rFonts w:ascii="Arial" w:cs="Arial" w:eastAsia="Arial" w:hAnsi="Arial"/>
          <w:sz w:val="17"/>
          <w:szCs w:val="17"/>
          <w:color w:val="auto"/>
        </w:rPr>
        <w:t>. Except as otherwise specified as contemplated by Section 301 with respect to Securities of any series, interest, if any, on the Securities of each series shall be computed on the basis of a 360-day year of twelve 30-day months.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Currency and Manner of Payments in Respect of Securities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Unless otherwise specified with respect to any series of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Security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84" w:lineRule="exact"/>
        <w:rPr>
          <w:rFonts w:ascii="Arial" w:cs="Arial" w:eastAsia="Arial" w:hAnsi="Arial"/>
          <w:sz w:val="18"/>
          <w:szCs w:val="18"/>
          <w:color w:val="auto"/>
        </w:rPr>
      </w:pPr>
    </w:p>
    <w:p>
      <w:pPr>
        <w:ind w:left="440" w:firstLine="419"/>
        <w:spacing w:after="0" w:line="270" w:lineRule="auto"/>
        <w:tabs>
          <w:tab w:leader="none" w:pos="111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43" w:name="page144"/>
    <w:bookmarkEnd w:id="14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not later than the close of business on the applicable Election Date will be paid the amount due on the applicable payment date in the relevant Currency as provided in Section 312(a). The Trustee shall notify the Exchange Rate Agent as soon as practicable after the Election Date of the aggregate principal amount of Registered Securities for which Holders have made such written election.</w:t>
      </w:r>
    </w:p>
    <w:p>
      <w:pPr>
        <w:spacing w:after="0" w:line="84" w:lineRule="exact"/>
        <w:rPr>
          <w:sz w:val="20"/>
          <w:szCs w:val="20"/>
          <w:color w:val="auto"/>
        </w:rPr>
      </w:pPr>
    </w:p>
    <w:p>
      <w:pPr>
        <w:ind w:right="20" w:firstLine="419"/>
        <w:spacing w:after="0" w:line="286" w:lineRule="auto"/>
        <w:tabs>
          <w:tab w:leader="none" w:pos="6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and the amounts in such Currency so payable in respect of the Registered Securities as to which the Holders of Registered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 and such determination shall be conclusive and binding for all purposes, absent manifest error.</w:t>
      </w:r>
    </w:p>
    <w:p>
      <w:pPr>
        <w:spacing w:after="0" w:line="65" w:lineRule="exact"/>
        <w:rPr>
          <w:rFonts w:ascii="Arial" w:cs="Arial" w:eastAsia="Arial" w:hAnsi="Arial"/>
          <w:sz w:val="16"/>
          <w:szCs w:val="16"/>
          <w:color w:val="auto"/>
        </w:rPr>
      </w:pPr>
    </w:p>
    <w:p>
      <w:pPr>
        <w:ind w:right="20" w:firstLine="419"/>
        <w:spacing w:after="0" w:line="271" w:lineRule="auto"/>
        <w:tabs>
          <w:tab w:leader="none" w:pos="6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and by the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20"/>
          </w:cols>
          <w:pgMar w:left="880" w:top="274" w:right="499" w:bottom="1440" w:gutter="0" w:footer="0" w:header="0"/>
        </w:sectPr>
      </w:pPr>
    </w:p>
    <w:bookmarkStart w:id="144" w:name="page145"/>
    <w:bookmarkEnd w:id="144"/>
    <w:p>
      <w:pPr>
        <w:ind w:left="440" w:right="100" w:firstLine="419"/>
        <w:spacing w:after="0" w:line="257"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79" w:lineRule="exact"/>
        <w:rPr>
          <w:rFonts w:ascii="Arial" w:cs="Arial" w:eastAsia="Arial" w:hAnsi="Arial"/>
          <w:sz w:val="18"/>
          <w:szCs w:val="18"/>
          <w:color w:val="auto"/>
        </w:rPr>
      </w:pPr>
    </w:p>
    <w:p>
      <w:pPr>
        <w:jc w:val="both"/>
        <w:ind w:left="440" w:right="600" w:firstLine="419"/>
        <w:spacing w:after="0" w:line="342" w:lineRule="auto"/>
        <w:tabs>
          <w:tab w:leader="none" w:pos="108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5" w:lineRule="exact"/>
        <w:rPr>
          <w:rFonts w:ascii="Arial" w:cs="Arial" w:eastAsia="Arial" w:hAnsi="Arial"/>
          <w:sz w:val="16"/>
          <w:szCs w:val="16"/>
          <w:color w:val="auto"/>
        </w:rPr>
      </w:pPr>
    </w:p>
    <w:p>
      <w:pPr>
        <w:ind w:left="440" w:right="160" w:firstLine="419"/>
        <w:spacing w:after="0" w:line="286" w:lineRule="auto"/>
        <w:tabs>
          <w:tab w:leader="none" w:pos="111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“Component Currency” shall mean any Currency which, on the Conversion Date, was a component currency of the relevant currency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w:t>
      </w:r>
    </w:p>
    <w:p>
      <w:pPr>
        <w:spacing w:after="0" w:line="21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145" w:name="page146"/>
    <w:bookmarkEnd w:id="145"/>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Date” shall mean the date for any series of Registered Securities as specified pursuant to clause (13) of Section 301 by which the written election referred to in paragraph (b) above may be made.</w:t>
      </w:r>
    </w:p>
    <w:p>
      <w:pPr>
        <w:spacing w:after="0" w:line="17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all Holders of such Securities denominated or payable in the relevant Currency. The Exchange Rate Agent shall promptly give written notice to the Company and the Trustee of any such decision or determination.</w:t>
      </w:r>
    </w:p>
    <w:p>
      <w:pPr>
        <w:spacing w:after="0" w:line="18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the event that the Company determines in good faith that a Conversion Event has occurred with respect to a Foreign Currency, the Company will immediately give written notice thereof to the Trustee and to the Exchange Rate Agent (and the Trustee will promptly thereafter give notice in the manner provided for in Section 106 to the affected Holders) specifying the Conversion Date. In the event the Company so determines that a Conversion Event has occurred with respect to any Foreign Currency unit in which Securities are denominated or payable, the Company will immediately give written notice thereof to the Trustee and to the Exchange Rate Agent (and the Trustee will promptly thereafter give notice in the manner provided for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and the Exchange Rate Agent. The Trustee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82"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Appointment and Resignation of Successor Exchange Rate Agent</w:t>
      </w:r>
      <w:r>
        <w:rPr>
          <w:rFonts w:ascii="Arial" w:cs="Arial" w:eastAsia="Arial" w:hAnsi="Arial"/>
          <w:sz w:val="18"/>
          <w:szCs w:val="18"/>
          <w:color w:val="auto"/>
        </w:rPr>
        <w:t>. (a) Unless otherwise specified pursuant to Section 301, if and so long as the Securities of any series (i) are denominated in a Foreign Currency or (ii) 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denominated Currency into the applicable payment Currency for the payment of principal (and premium, if any) and interest, if any, pursuant to Section 312.</w:t>
      </w:r>
    </w:p>
    <w:p>
      <w:pPr>
        <w:spacing w:after="0" w:line="87" w:lineRule="exact"/>
        <w:rPr>
          <w:sz w:val="20"/>
          <w:szCs w:val="20"/>
          <w:color w:val="auto"/>
        </w:rPr>
      </w:pPr>
    </w:p>
    <w:p>
      <w:pPr>
        <w:ind w:left="440" w:firstLine="419"/>
        <w:spacing w:after="0" w:line="263" w:lineRule="auto"/>
        <w:tabs>
          <w:tab w:leader="none" w:pos="11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146" w:name="page147"/>
    <w:bookmarkEnd w:id="146"/>
    <w:p>
      <w:pPr>
        <w:ind w:left="440" w:right="60" w:firstLine="419"/>
        <w:spacing w:after="0" w:line="254" w:lineRule="auto"/>
        <w:tabs>
          <w:tab w:leader="none" w:pos="1108"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contemplated by [Article 10]) and the Trustee, at the expense of the Company, shall execute proper instruments acknowledging satisfaction and discharge of this Indenture as to such series when</w:t>
      </w:r>
    </w:p>
    <w:p>
      <w:pPr>
        <w:spacing w:after="0" w:line="80" w:lineRule="exact"/>
        <w:rPr>
          <w:sz w:val="20"/>
          <w:szCs w:val="20"/>
          <w:color w:val="auto"/>
        </w:rPr>
      </w:pPr>
    </w:p>
    <w:p>
      <w:pPr>
        <w:ind w:left="1100" w:hanging="241"/>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3"/>
          <w:numId w:val="111"/>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and all coupons, if any, appertaining thereto (other than</w:t>
      </w:r>
    </w:p>
    <w:p>
      <w:pPr>
        <w:spacing w:after="0" w:line="34" w:lineRule="exact"/>
        <w:rPr>
          <w:rFonts w:ascii="Arial" w:cs="Arial" w:eastAsia="Arial" w:hAnsi="Arial"/>
          <w:sz w:val="17"/>
          <w:szCs w:val="17"/>
          <w:color w:val="auto"/>
        </w:rPr>
      </w:pPr>
    </w:p>
    <w:p>
      <w:pPr>
        <w:ind w:left="980" w:right="60" w:firstLine="7"/>
        <w:spacing w:after="0" w:line="281" w:lineRule="auto"/>
        <w:tabs>
          <w:tab w:leader="none" w:pos="1195" w:val="left"/>
        </w:tabs>
        <w:numPr>
          <w:ilvl w:val="2"/>
          <w:numId w:val="111"/>
        </w:numPr>
        <w:rPr>
          <w:rFonts w:ascii="Arial" w:cs="Arial" w:eastAsia="Arial" w:hAnsi="Arial"/>
          <w:sz w:val="16"/>
          <w:szCs w:val="16"/>
          <w:color w:val="auto"/>
        </w:rPr>
      </w:pPr>
      <w:r>
        <w:rPr>
          <w:rFonts w:ascii="Arial" w:cs="Arial" w:eastAsia="Arial" w:hAnsi="Arial"/>
          <w:sz w:val="16"/>
          <w:szCs w:val="16"/>
          <w:color w:val="auto"/>
        </w:rPr>
        <w:t>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w:t>
      </w:r>
    </w:p>
    <w:p>
      <w:pPr>
        <w:spacing w:after="0" w:line="2" w:lineRule="exact"/>
        <w:rPr>
          <w:rFonts w:ascii="Arial" w:cs="Arial" w:eastAsia="Arial" w:hAnsi="Arial"/>
          <w:sz w:val="16"/>
          <w:szCs w:val="16"/>
          <w:color w:val="auto"/>
        </w:rPr>
      </w:pPr>
    </w:p>
    <w:p>
      <w:pPr>
        <w:ind w:left="980" w:firstLine="7"/>
        <w:spacing w:after="0" w:line="255" w:lineRule="auto"/>
        <w:tabs>
          <w:tab w:leader="none" w:pos="1285" w:val="left"/>
        </w:tabs>
        <w:numPr>
          <w:ilvl w:val="2"/>
          <w:numId w:val="112"/>
        </w:numPr>
        <w:rPr>
          <w:rFonts w:ascii="Arial" w:cs="Arial" w:eastAsia="Arial" w:hAnsi="Arial"/>
          <w:sz w:val="18"/>
          <w:szCs w:val="18"/>
          <w:color w:val="auto"/>
        </w:rPr>
      </w:pPr>
      <w:r>
        <w:rPr>
          <w:rFonts w:ascii="Arial" w:cs="Arial" w:eastAsia="Arial" w:hAnsi="Arial"/>
          <w:sz w:val="18"/>
          <w:szCs w:val="18"/>
          <w:color w:val="auto"/>
        </w:rPr>
        <w:t>Securities and coupons of such series for whose payment money has theretofore been deposited in trust with the Trustee or any Paying Agent or segregated and held in trust by the Company and thereafter repaid to the Company or discharged from such trust, as provided in [Article 10]) have been delivered to the Trustee for cancellation; or</w:t>
      </w:r>
    </w:p>
    <w:p>
      <w:pPr>
        <w:spacing w:after="0" w:line="81" w:lineRule="exact"/>
        <w:rPr>
          <w:rFonts w:ascii="Arial" w:cs="Arial" w:eastAsia="Arial" w:hAnsi="Arial"/>
          <w:sz w:val="18"/>
          <w:szCs w:val="18"/>
          <w:color w:val="auto"/>
        </w:rPr>
      </w:pPr>
    </w:p>
    <w:p>
      <w:pPr>
        <w:ind w:left="980" w:right="100" w:firstLine="408"/>
        <w:spacing w:after="0" w:line="277" w:lineRule="auto"/>
        <w:tabs>
          <w:tab w:leader="none" w:pos="1666" w:val="left"/>
        </w:tabs>
        <w:numPr>
          <w:ilvl w:val="3"/>
          <w:numId w:val="112"/>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147" w:name="page148"/>
    <w:bookmarkEnd w:id="147"/>
    <w:p>
      <w:pPr>
        <w:ind w:left="1420" w:hanging="43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become due and payable at their Stated Maturity within one year, or</w:t>
      </w:r>
    </w:p>
    <w:p>
      <w:pPr>
        <w:spacing w:after="0" w:line="130" w:lineRule="exact"/>
        <w:rPr>
          <w:rFonts w:ascii="Arial" w:cs="Arial" w:eastAsia="Arial" w:hAnsi="Arial"/>
          <w:sz w:val="18"/>
          <w:szCs w:val="18"/>
          <w:color w:val="auto"/>
        </w:rPr>
      </w:pPr>
    </w:p>
    <w:p>
      <w:pPr>
        <w:ind w:left="1420" w:right="180" w:hanging="439"/>
        <w:spacing w:after="0" w:line="308" w:lineRule="auto"/>
        <w:tabs>
          <w:tab w:leader="none" w:pos="1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38"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such purpose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80" w:lineRule="exact"/>
        <w:rPr>
          <w:sz w:val="20"/>
          <w:szCs w:val="20"/>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or under the Securities; and</w:t>
      </w:r>
    </w:p>
    <w:p>
      <w:pPr>
        <w:spacing w:after="0" w:line="117" w:lineRule="exact"/>
        <w:rPr>
          <w:rFonts w:ascii="Arial" w:cs="Arial" w:eastAsia="Arial" w:hAnsi="Arial"/>
          <w:sz w:val="18"/>
          <w:szCs w:val="18"/>
          <w:color w:val="auto"/>
        </w:rPr>
      </w:pPr>
    </w:p>
    <w:p>
      <w:pPr>
        <w:ind w:left="440" w:right="160" w:firstLine="419"/>
        <w:spacing w:after="0" w:line="308" w:lineRule="auto"/>
        <w:tabs>
          <w:tab w:leader="none" w:pos="110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4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606 and, if money shall have been deposited with the Trustee pursuant to subclause (B) of clause (a) of this Section, the obligations of the Trustee under Section 402 and [Article 10], and the penultimate paragraph of Section 1405 shall survive.</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to the Persons entitled thereto, of the principal (and premium, if any) and interest, if any, for whose payment such money has been deposited with the Trustee; but such money need not be segregated from other funds except to the extent required by law. Money so held in trust is subject to the Trustee’s rights under Section 606.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148" w:name="page149"/>
    <w:bookmarkEnd w:id="148"/>
    <w:p>
      <w:pPr>
        <w:ind w:right="620" w:firstLine="948"/>
        <w:spacing w:after="0" w:line="277" w:lineRule="auto"/>
        <w:tabs>
          <w:tab w:leader="none" w:pos="12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 the payment of any interest on any Security of that series, or any related coupon, when such interest or coupon becomes due and payable, and continuance of such default for a period of 30 days; or</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117" w:lineRule="exact"/>
        <w:rPr>
          <w:rFonts w:ascii="Arial" w:cs="Arial" w:eastAsia="Arial" w:hAnsi="Arial"/>
          <w:sz w:val="18"/>
          <w:szCs w:val="18"/>
          <w:color w:val="auto"/>
        </w:rPr>
      </w:pPr>
    </w:p>
    <w:p>
      <w:pPr>
        <w:ind w:right="120" w:firstLine="948"/>
        <w:spacing w:after="0" w:line="277" w:lineRule="auto"/>
        <w:tabs>
          <w:tab w:leader="none" w:pos="12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in the deposit of any principal payment into the sinking fund, when and as due by the terms of any Security of that series and Article Twelve; or</w:t>
      </w:r>
    </w:p>
    <w:p>
      <w:pPr>
        <w:spacing w:after="0" w:line="62" w:lineRule="exact"/>
        <w:rPr>
          <w:rFonts w:ascii="Arial" w:cs="Arial" w:eastAsia="Arial" w:hAnsi="Arial"/>
          <w:sz w:val="18"/>
          <w:szCs w:val="18"/>
          <w:color w:val="auto"/>
        </w:rPr>
      </w:pPr>
    </w:p>
    <w:p>
      <w:pPr>
        <w:ind w:right="20" w:firstLine="948"/>
        <w:spacing w:after="0" w:line="293" w:lineRule="auto"/>
        <w:tabs>
          <w:tab w:leader="none" w:pos="12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Company in this Indenture which affects or is applicable to the Securities of that series (other than a default in the performance or breach of a covenant or agreement that is elsewhere in this Section specifically dealt with or which has expressly been included in this Indenture solely for the benefit of other series of Securities), and continuance of such default or breach for a period of after receipt of notice given, by registered or certified mail, to the Company by the Trustee or to the Company and the Trustee by the Holders of at least 25% in principal amount of all Outstanding Securities of that series a written notice specifying such default or breach and requiring it to be remedied and stating that such notice is a “Notice of Default” hereunder;or</w:t>
      </w:r>
    </w:p>
    <w:p>
      <w:pPr>
        <w:spacing w:after="0" w:line="56" w:lineRule="exact"/>
        <w:rPr>
          <w:rFonts w:ascii="Arial" w:cs="Arial" w:eastAsia="Arial" w:hAnsi="Arial"/>
          <w:sz w:val="16"/>
          <w:szCs w:val="16"/>
          <w:color w:val="auto"/>
        </w:rPr>
      </w:pPr>
    </w:p>
    <w:p>
      <w:pPr>
        <w:ind w:firstLine="948"/>
        <w:spacing w:after="0" w:line="273" w:lineRule="auto"/>
        <w:tabs>
          <w:tab w:leader="none" w:pos="12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in an involuntary case or proceeding under Bankruptcy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their property, or ordering the winding up or liquidation of their affairs, and the continuance of any such decree or order for relief or any such other decree or order unstayed and in effect for a period of 90 consecutive days; or</w:t>
      </w:r>
    </w:p>
    <w:p>
      <w:pPr>
        <w:spacing w:after="0" w:line="69" w:lineRule="exact"/>
        <w:rPr>
          <w:rFonts w:ascii="Arial" w:cs="Arial" w:eastAsia="Arial" w:hAnsi="Arial"/>
          <w:sz w:val="17"/>
          <w:szCs w:val="17"/>
          <w:color w:val="auto"/>
        </w:rPr>
      </w:pPr>
    </w:p>
    <w:p>
      <w:pPr>
        <w:ind w:firstLine="948"/>
        <w:spacing w:after="0" w:line="291" w:lineRule="auto"/>
        <w:tabs>
          <w:tab w:leader="none" w:pos="12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Bankruptcy Law or of any other case or proceeding to be adjudicated a bankrupt or insolvent, or the consent by them to the entry of a decree or order for relief in respect of the Company is an involuntary case or proceeding under Bankruptcy Law or to the commencement of any bankruptcy or insolvency case or proceeding against them, or the filing by them of a petition or answer or consent seeking reorganization or relief under any applicable Federal or State law, or the consent by them to the filing of such petition or to the appointment of or taking possession by a custodian, receiver, liquidator, assignee, trustee, sequestrator or similar official of the Company or of any substantial part of their property, or the making by them of an assignment for the benefit of creditors, or the admission by them in writing of their inability to pay their debts generally as they become due; or</w:t>
      </w:r>
    </w:p>
    <w:p>
      <w:pPr>
        <w:spacing w:after="0" w:line="58" w:lineRule="exact"/>
        <w:rPr>
          <w:rFonts w:ascii="Arial" w:cs="Arial" w:eastAsia="Arial" w:hAnsi="Arial"/>
          <w:sz w:val="16"/>
          <w:szCs w:val="16"/>
          <w:color w:val="auto"/>
        </w:rPr>
      </w:pPr>
    </w:p>
    <w:p>
      <w:pPr>
        <w:ind w:left="1200" w:hanging="252"/>
        <w:spacing w:after="0"/>
        <w:tabs>
          <w:tab w:leader="none" w:pos="12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there occurs any other Event of Default provided pursuant to Sections 301 or 901 with respect to Securities of that series.]</w:t>
      </w:r>
    </w:p>
    <w:p>
      <w:pPr>
        <w:spacing w:after="0" w:line="16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149" w:name="page150"/>
    <w:bookmarkEnd w:id="1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Notice of Defaults</w:t>
      </w:r>
      <w:r>
        <w:rPr>
          <w:rFonts w:ascii="Arial" w:cs="Arial" w:eastAsia="Arial" w:hAnsi="Arial"/>
          <w:sz w:val="17"/>
          <w:szCs w:val="17"/>
          <w:color w:val="auto"/>
        </w:rPr>
        <w:t>. Within 90 days after the occurrence of any Default hereunder with respect to the Securities of any series, the Trustee shall transmit, in the manner and to the extent provided in TIA Section 313(c), notice of such default hereunder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best interest of the Holders of Securities of such series and any related coupons; and, provided further, that in the case of any default or breach of the character specified in Section 501[_] with respect to Securities and coupons of such series, no such notice to Holders shall be given until at least 30 days after the occurrence thereof.</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Certain Duties, Responsibilities and Rights of Trustee</w:t>
      </w:r>
      <w:r>
        <w:rPr>
          <w:rFonts w:ascii="Arial" w:cs="Arial" w:eastAsia="Arial" w:hAnsi="Arial"/>
          <w:sz w:val="16"/>
          <w:szCs w:val="16"/>
          <w:color w:val="auto"/>
        </w:rPr>
        <w:t>. Subject to the provisions of TIA Sections 315(a) through 315(d):</w:t>
      </w:r>
    </w:p>
    <w:p>
      <w:pPr>
        <w:spacing w:after="0" w:line="140" w:lineRule="exact"/>
        <w:rPr>
          <w:sz w:val="20"/>
          <w:szCs w:val="20"/>
          <w:color w:val="auto"/>
        </w:rPr>
      </w:pPr>
    </w:p>
    <w:p>
      <w:pPr>
        <w:ind w:left="1640" w:hanging="252"/>
        <w:spacing w:after="0"/>
        <w:tabs>
          <w:tab w:leader="none" w:pos="16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700" w:firstLine="419"/>
        <w:spacing w:after="0" w:line="277" w:lineRule="auto"/>
        <w:tabs>
          <w:tab w:leader="none" w:pos="11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63" w:lineRule="exact"/>
        <w:rPr>
          <w:rFonts w:ascii="Arial" w:cs="Arial" w:eastAsia="Arial" w:hAnsi="Arial"/>
          <w:sz w:val="17"/>
          <w:szCs w:val="17"/>
          <w:color w:val="auto"/>
        </w:rPr>
      </w:pPr>
    </w:p>
    <w:p>
      <w:pPr>
        <w:ind w:left="980" w:right="80" w:firstLine="408"/>
        <w:spacing w:after="0" w:line="263" w:lineRule="auto"/>
        <w:tabs>
          <w:tab w:leader="none" w:pos="163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any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980" w:right="320" w:firstLine="408"/>
        <w:spacing w:after="0" w:line="277" w:lineRule="auto"/>
        <w:tabs>
          <w:tab w:leader="none" w:pos="163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50" w:name="page151"/>
    <w:bookmarkEnd w:id="150"/>
    <w:p>
      <w:pPr>
        <w:ind w:left="660" w:hanging="241"/>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subparagraph (3) does not limit the effect of subparagraph (1) of this paragraph or the penultimate paragraph of this Section 602;</w:t>
      </w:r>
    </w:p>
    <w:p>
      <w:pPr>
        <w:spacing w:after="0" w:line="140" w:lineRule="exact"/>
        <w:rPr>
          <w:rFonts w:ascii="Arial" w:cs="Arial" w:eastAsia="Arial" w:hAnsi="Arial"/>
          <w:sz w:val="16"/>
          <w:szCs w:val="16"/>
          <w:color w:val="auto"/>
        </w:rPr>
      </w:pPr>
    </w:p>
    <w:p>
      <w:pPr>
        <w:ind w:right="120" w:firstLine="419"/>
        <w:spacing w:after="0" w:line="277"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right="140" w:firstLine="419"/>
        <w:spacing w:after="0" w:line="259" w:lineRule="auto"/>
        <w:tabs>
          <w:tab w:leader="none" w:pos="6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the affected series relating to the time, method and place of conducting any proceeding for any remedy available to the Trustee, or exercising any trust or power conferred upon the Trustee, under this Indenture;</w:t>
      </w:r>
    </w:p>
    <w:p>
      <w:pPr>
        <w:spacing w:after="0" w:line="78" w:lineRule="exact"/>
        <w:rPr>
          <w:rFonts w:ascii="Arial" w:cs="Arial" w:eastAsia="Arial" w:hAnsi="Arial"/>
          <w:sz w:val="18"/>
          <w:szCs w:val="18"/>
          <w:color w:val="auto"/>
        </w:rPr>
      </w:pPr>
    </w:p>
    <w:p>
      <w:pPr>
        <w:ind w:left="540" w:right="100" w:firstLine="408"/>
        <w:spacing w:after="0" w:line="311" w:lineRule="auto"/>
        <w:tabs>
          <w:tab w:leader="none" w:pos="119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40" w:lineRule="exact"/>
        <w:rPr>
          <w:rFonts w:ascii="Arial" w:cs="Arial" w:eastAsia="Arial" w:hAnsi="Arial"/>
          <w:sz w:val="16"/>
          <w:szCs w:val="16"/>
          <w:color w:val="auto"/>
        </w:rPr>
      </w:pPr>
    </w:p>
    <w:p>
      <w:pPr>
        <w:ind w:left="540" w:right="40" w:firstLine="408"/>
        <w:spacing w:after="0" w:line="342" w:lineRule="auto"/>
        <w:tabs>
          <w:tab w:leader="none" w:pos="119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and any resolution of the Board of Directors of the Company may be sufficiently evidenced by a Board Resolution of the Company;</w:t>
      </w:r>
    </w:p>
    <w:p>
      <w:pPr>
        <w:spacing w:after="0" w:line="15" w:lineRule="exact"/>
        <w:rPr>
          <w:rFonts w:ascii="Arial" w:cs="Arial" w:eastAsia="Arial" w:hAnsi="Arial"/>
          <w:sz w:val="16"/>
          <w:szCs w:val="16"/>
          <w:color w:val="auto"/>
        </w:rPr>
      </w:pPr>
    </w:p>
    <w:p>
      <w:pPr>
        <w:ind w:left="540" w:firstLine="408"/>
        <w:spacing w:after="0" w:line="263" w:lineRule="auto"/>
        <w:tabs>
          <w:tab w:leader="none" w:pos="11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75" w:lineRule="exact"/>
        <w:rPr>
          <w:rFonts w:ascii="Arial" w:cs="Arial" w:eastAsia="Arial" w:hAnsi="Arial"/>
          <w:sz w:val="18"/>
          <w:szCs w:val="18"/>
          <w:color w:val="auto"/>
        </w:rPr>
      </w:pPr>
    </w:p>
    <w:p>
      <w:pPr>
        <w:jc w:val="both"/>
        <w:ind w:left="540" w:right="20" w:firstLine="408"/>
        <w:spacing w:after="0" w:line="263" w:lineRule="auto"/>
        <w:tabs>
          <w:tab w:leader="none" w:pos="11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written opinion of such counsel or any Opinion of Counsel shall be full and complete authorization and protection in respect of any action taken, suffered or omitted by it hereunder in good faith and in reliance thereon;</w:t>
      </w:r>
    </w:p>
    <w:p>
      <w:pPr>
        <w:spacing w:after="0" w:line="75" w:lineRule="exact"/>
        <w:rPr>
          <w:rFonts w:ascii="Arial" w:cs="Arial" w:eastAsia="Arial" w:hAnsi="Arial"/>
          <w:sz w:val="18"/>
          <w:szCs w:val="18"/>
          <w:color w:val="auto"/>
        </w:rPr>
      </w:pPr>
    </w:p>
    <w:p>
      <w:pPr>
        <w:ind w:left="540" w:right="20" w:firstLine="408"/>
        <w:spacing w:after="0" w:line="259" w:lineRule="auto"/>
        <w:tabs>
          <w:tab w:leader="none" w:pos="11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left="540" w:right="100" w:firstLine="408"/>
        <w:spacing w:after="0" w:line="275" w:lineRule="auto"/>
        <w:tabs>
          <w:tab w:leader="none" w:pos="1196"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0"/>
          </w:cols>
          <w:pgMar w:left="880" w:top="274" w:right="459" w:bottom="1440" w:gutter="0" w:footer="0" w:header="0"/>
        </w:sectPr>
      </w:pPr>
    </w:p>
    <w:bookmarkStart w:id="151" w:name="page152"/>
    <w:bookmarkEnd w:id="151"/>
    <w:p>
      <w:pPr>
        <w:ind w:left="980" w:right="160" w:firstLine="408"/>
        <w:spacing w:after="0" w:line="263" w:lineRule="auto"/>
        <w:tabs>
          <w:tab w:leader="none" w:pos="17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execute any of the trusts or powers hereunder or perform any duties hereunder either directly or by or through agents, attorneys, custodians, or nominees and the Trustee shall not be responsible for any misconduct or negligence on the part of any agent, attorney, custodian, or nominee appointed with due care by it hereunder;</w:t>
      </w:r>
    </w:p>
    <w:p>
      <w:pPr>
        <w:spacing w:after="0" w:line="75" w:lineRule="exact"/>
        <w:rPr>
          <w:rFonts w:ascii="Arial" w:cs="Arial" w:eastAsia="Arial" w:hAnsi="Arial"/>
          <w:sz w:val="18"/>
          <w:szCs w:val="18"/>
          <w:color w:val="auto"/>
        </w:rPr>
      </w:pPr>
    </w:p>
    <w:p>
      <w:pPr>
        <w:ind w:left="980" w:right="140" w:firstLine="408"/>
        <w:spacing w:after="0" w:line="277" w:lineRule="auto"/>
        <w:tabs>
          <w:tab w:leader="none" w:pos="17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980" w:right="140" w:firstLine="408"/>
        <w:spacing w:after="0" w:line="259" w:lineRule="auto"/>
        <w:tabs>
          <w:tab w:leader="none" w:pos="17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the Trustee is also acting as Paying Agent, Security Registrar or in any other capacity hereunder, the rights, privileges, protections, immunities and benefits afforded to the Trustee pursuant to this Article Six, including, without limitation, its right to be indemnified, shall also be afforded to the Trustee in its capacity as such Paying Agent, Security Registrar or in such other capacity and each agent, custodian and other Person employed to act hereunder;</w:t>
      </w:r>
    </w:p>
    <w:p>
      <w:pPr>
        <w:spacing w:after="0" w:line="78" w:lineRule="exact"/>
        <w:rPr>
          <w:rFonts w:ascii="Arial" w:cs="Arial" w:eastAsia="Arial" w:hAnsi="Arial"/>
          <w:sz w:val="18"/>
          <w:szCs w:val="18"/>
          <w:color w:val="auto"/>
        </w:rPr>
      </w:pPr>
    </w:p>
    <w:p>
      <w:pPr>
        <w:jc w:val="both"/>
        <w:ind w:left="980" w:right="60" w:firstLine="408"/>
        <w:spacing w:after="0" w:line="301" w:lineRule="auto"/>
        <w:tabs>
          <w:tab w:leader="none" w:pos="172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other than in the case of an Event of Default described under clauses [_____] of Section 501, the Trustee shall not be deemed to know or be charged with knowledge of any Default or Event of Default with respect to the Securities of any series for which it is acting as Trustee unless a Responsible Officer of the Trustee shall have received written notice thereof at the Corporate Trust Office of the Trustee from the Company or a Holder of such Securities and such notice references this Indenture and such Securities;</w:t>
      </w:r>
    </w:p>
    <w:p>
      <w:pPr>
        <w:spacing w:after="0" w:line="49" w:lineRule="exact"/>
        <w:rPr>
          <w:rFonts w:ascii="Arial" w:cs="Arial" w:eastAsia="Arial" w:hAnsi="Arial"/>
          <w:sz w:val="16"/>
          <w:szCs w:val="16"/>
          <w:color w:val="auto"/>
        </w:rPr>
      </w:pPr>
    </w:p>
    <w:p>
      <w:pPr>
        <w:ind w:left="1740" w:hanging="352"/>
        <w:spacing w:after="0"/>
        <w:tabs>
          <w:tab w:leader="none" w:pos="17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 and</w:t>
      </w:r>
    </w:p>
    <w:p>
      <w:pPr>
        <w:spacing w:after="0" w:line="140" w:lineRule="exact"/>
        <w:rPr>
          <w:rFonts w:ascii="Arial" w:cs="Arial" w:eastAsia="Arial" w:hAnsi="Arial"/>
          <w:sz w:val="16"/>
          <w:szCs w:val="16"/>
          <w:color w:val="auto"/>
        </w:rPr>
      </w:pPr>
    </w:p>
    <w:p>
      <w:pPr>
        <w:ind w:left="1740" w:hanging="352"/>
        <w:spacing w:after="0"/>
        <w:tabs>
          <w:tab w:leader="none" w:pos="17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602.</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Trustee Not Responsible for Recitals or Issuance of Securities</w:t>
      </w:r>
      <w:r>
        <w:rPr>
          <w:rFonts w:ascii="Arial" w:cs="Arial" w:eastAsia="Arial" w:hAnsi="Arial"/>
          <w:sz w:val="18"/>
          <w:szCs w:val="18"/>
          <w:color w:val="auto"/>
        </w:rPr>
        <w:t>. The recitals contained herein and in the Securities, except for the Trustee’s certificates of authentication, and in any coupons shall be taken as the statements of the Company and neither the Trustee nor any Authenticating Agent assumes any responsibility for their correctness.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52" w:name="page153"/>
    <w:bookmarkEnd w:id="152"/>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5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Authenticating Agent, any Paying Agent, any Security Registrar or any other agent of the Company or of the Trustee, in its individual or any other capacity, may become the owner or pledgee of Securities and coupons and, subject to TIA Sections 310(b) and 311, may otherwise deal with the Company with the same rights it would have if it were not Trustee, Authenticating Agent, Paying Agent, Security Registrar or such other agent.</w:t>
      </w:r>
    </w:p>
    <w:p>
      <w:pPr>
        <w:spacing w:after="0" w:line="18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 for the investment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left="980" w:right="60" w:firstLine="408"/>
        <w:spacing w:after="0" w:line="263"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pay to the Trustee from time to time such compensation as shall be agreed in writing between the Company and the Trustee for all services rendered by it hereunder (which compensation shall not be limited by any provision of law in regard to the compensation of a trustee of an express trust);</w:t>
      </w:r>
    </w:p>
    <w:p>
      <w:pPr>
        <w:spacing w:after="0" w:line="75" w:lineRule="exact"/>
        <w:rPr>
          <w:rFonts w:ascii="Arial" w:cs="Arial" w:eastAsia="Arial" w:hAnsi="Arial"/>
          <w:sz w:val="18"/>
          <w:szCs w:val="18"/>
          <w:color w:val="auto"/>
        </w:rPr>
      </w:pPr>
    </w:p>
    <w:p>
      <w:pPr>
        <w:ind w:left="980" w:firstLine="408"/>
        <w:spacing w:after="0" w:line="259"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gross negligence or willful misconduct; and</w:t>
      </w:r>
    </w:p>
    <w:p>
      <w:pPr>
        <w:spacing w:after="0" w:line="78" w:lineRule="exact"/>
        <w:rPr>
          <w:rFonts w:ascii="Arial" w:cs="Arial" w:eastAsia="Arial" w:hAnsi="Arial"/>
          <w:sz w:val="18"/>
          <w:szCs w:val="18"/>
          <w:color w:val="auto"/>
        </w:rPr>
      </w:pPr>
    </w:p>
    <w:p>
      <w:pPr>
        <w:ind w:left="980" w:right="60" w:firstLine="408"/>
        <w:spacing w:after="0" w:line="257"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indemnify the Trustee and any predecessor trustee and its and their officers, directors, employees, and agents for, and to hold it or them harmless against, any loss, liability or expense incurred without gross negligence or willful misconduct on its or their part, arising out of or in connection with the acceptance or administration of the trust or trusts hereunder, including the costs and expenses (including reasonable fees and expenses of counsel) of defending itself or themselves against any claim or liability in connection with the exercise or performance of any of its or their powers or duties hereunder.</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obligations of the Company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the resignation or removal of the Trustee and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153" w:name="page154"/>
    <w:bookmarkEnd w:id="153"/>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this Indenture for any reason. As security for the performance of such obligations of the Company, the Trustee shall have a claim and lien prior to the Securities upon all property and funds held or collected by the Trustee as such, except funds held in trust for the payment of principal of (or premium, if any) or interest, if any, on particular Securities or any coupons.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When the Trustee incurs expenses or renders services in connection with an Event of Default specified in Section 501[____]), the expenses</w:t>
      </w:r>
    </w:p>
    <w:p>
      <w:pPr>
        <w:spacing w:after="0" w:line="46" w:lineRule="exact"/>
        <w:rPr>
          <w:sz w:val="20"/>
          <w:szCs w:val="20"/>
          <w:color w:val="auto"/>
        </w:rPr>
      </w:pPr>
    </w:p>
    <w:p>
      <w:pPr>
        <w:ind w:right="1080"/>
        <w:spacing w:after="0" w:line="260" w:lineRule="auto"/>
        <w:rPr>
          <w:sz w:val="20"/>
          <w:szCs w:val="20"/>
          <w:color w:val="auto"/>
        </w:rPr>
      </w:pPr>
      <w:r>
        <w:rPr>
          <w:rFonts w:ascii="Arial" w:cs="Arial" w:eastAsia="Arial" w:hAnsi="Arial"/>
          <w:sz w:val="18"/>
          <w:szCs w:val="18"/>
          <w:color w:val="auto"/>
        </w:rPr>
        <w:t>(including reasonable charges and expense of its counsel) of and the compensation for such services are intended to constitute expenses of administration under any applicable U.S. federal or state bankruptcy, insolvency or other similar law.</w:t>
      </w:r>
    </w:p>
    <w:p>
      <w:pPr>
        <w:spacing w:after="0" w:line="18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provisions of this Section shall survive the satisfaction and discharge of this Indenture, the termination of this Indenture for any reason and the earlier resignation or removal of the Trustee.</w:t>
      </w:r>
    </w:p>
    <w:p>
      <w:pPr>
        <w:spacing w:after="0" w:line="170"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Corporate Trustee Required; Eligibility; Conflicting Interests; Disqualification</w:t>
      </w:r>
      <w:r>
        <w:rPr>
          <w:rFonts w:ascii="Arial" w:cs="Arial" w:eastAsia="Arial" w:hAnsi="Arial"/>
          <w:sz w:val="17"/>
          <w:szCs w:val="17"/>
          <w:color w:val="auto"/>
        </w:rPr>
        <w:t>.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U.S.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If the Trustee shall have or acquire any conflicting interest within the meaning of the Trust Indenture Act,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Securities of any series, shall not be deemed to have a conflicting interest arising from its capacity as trustee in respect of the Securities of any other series. Nothing contained herein shall prevent the Trustee from filing the application provided for in the second to last sentence of Section 310(b) of the Trust Indenture Act.</w:t>
      </w:r>
    </w:p>
    <w:p>
      <w:pPr>
        <w:spacing w:after="0" w:line="179"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 No resignation or removal of the Trustee and no appointment of a successor Trustee pursuant to this Article shall become effective until the acceptance of appointment by the successor Trustee in accordance with the applicable requirements of Section 609 and any and all amounts then due and owing to the Trustee hereunder have been paid in full.</w:t>
      </w:r>
    </w:p>
    <w:p>
      <w:pPr>
        <w:spacing w:after="0" w:line="41" w:lineRule="exact"/>
        <w:rPr>
          <w:sz w:val="20"/>
          <w:szCs w:val="20"/>
          <w:color w:val="auto"/>
        </w:rPr>
      </w:pPr>
    </w:p>
    <w:p>
      <w:pPr>
        <w:ind w:left="440" w:firstLine="419"/>
        <w:spacing w:after="0" w:line="279" w:lineRule="auto"/>
        <w:tabs>
          <w:tab w:leader="none" w:pos="110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Trustee may resign at any time with respect to the Securities of one or more series by giving written notice thereof to the Company. If the instrument of acceptance by a successor Trustee required by Section 609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154" w:name="page155"/>
    <w:bookmarkEnd w:id="154"/>
    <w:p>
      <w:pPr>
        <w:ind w:left="440" w:firstLine="419"/>
        <w:spacing w:after="0" w:line="257" w:lineRule="auto"/>
        <w:tabs>
          <w:tab w:leader="none" w:pos="11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609 shall not have been delivered to the Trustee within 60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79" w:lineRule="exact"/>
        <w:rPr>
          <w:rFonts w:ascii="Arial" w:cs="Arial" w:eastAsia="Arial" w:hAnsi="Arial"/>
          <w:sz w:val="18"/>
          <w:szCs w:val="18"/>
          <w:color w:val="auto"/>
        </w:rPr>
      </w:pPr>
    </w:p>
    <w:p>
      <w:pPr>
        <w:ind w:left="1100" w:hanging="241"/>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440" w:right="140" w:firstLine="948"/>
        <w:spacing w:after="0" w:line="277" w:lineRule="auto"/>
        <w:tabs>
          <w:tab w:leader="none" w:pos="16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any Holder who has been a bona fide Holder of a Security for at least six months, or</w:t>
      </w:r>
    </w:p>
    <w:p>
      <w:pPr>
        <w:spacing w:after="0" w:line="62" w:lineRule="exact"/>
        <w:rPr>
          <w:rFonts w:ascii="Arial" w:cs="Arial" w:eastAsia="Arial" w:hAnsi="Arial"/>
          <w:sz w:val="18"/>
          <w:szCs w:val="18"/>
          <w:color w:val="auto"/>
        </w:rPr>
      </w:pPr>
    </w:p>
    <w:p>
      <w:pPr>
        <w:ind w:left="440" w:right="160" w:firstLine="948"/>
        <w:spacing w:after="0" w:line="277" w:lineRule="auto"/>
        <w:tabs>
          <w:tab w:leader="none" w:pos="16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any Holder who has been a bona fide Holder of a Security for at least six months, or</w:t>
      </w:r>
    </w:p>
    <w:p>
      <w:pPr>
        <w:spacing w:after="0" w:line="62" w:lineRule="exact"/>
        <w:rPr>
          <w:rFonts w:ascii="Arial" w:cs="Arial" w:eastAsia="Arial" w:hAnsi="Arial"/>
          <w:sz w:val="18"/>
          <w:szCs w:val="18"/>
          <w:color w:val="auto"/>
        </w:rPr>
      </w:pPr>
    </w:p>
    <w:p>
      <w:pPr>
        <w:ind w:left="440" w:right="300" w:firstLine="948"/>
        <w:spacing w:after="0" w:line="263" w:lineRule="auto"/>
        <w:tabs>
          <w:tab w:leader="none" w:pos="16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then, in any such case, (i) the Company, by a Board Resolution, may remove the Trustee with respect to all Securities, or (ii) subject to TIA Section 315(e),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9" w:lineRule="exact"/>
        <w:rPr>
          <w:sz w:val="20"/>
          <w:szCs w:val="20"/>
          <w:color w:val="auto"/>
        </w:rPr>
      </w:pPr>
    </w:p>
    <w:p>
      <w:pPr>
        <w:ind w:left="440" w:right="20" w:firstLine="419"/>
        <w:spacing w:after="0" w:line="287" w:lineRule="auto"/>
        <w:tabs>
          <w:tab w:leader="none" w:pos="111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155" w:name="page156"/>
    <w:bookmarkEnd w:id="155"/>
    <w:p>
      <w:pPr>
        <w:jc w:val="both"/>
        <w:ind w:left="440" w:right="200" w:firstLine="419"/>
        <w:spacing w:after="0" w:line="259" w:lineRule="auto"/>
        <w:tabs>
          <w:tab w:leader="none" w:pos="11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written notice of each resignation and each removal of the Trustee with respect to the Securities of any series and each appointment of a successor Trustee with respect to the Securities of any series to the Holders of Securities of such series in the manner provided for in Section 106. Each notice shall include the name of the successor Trustee with respect to the Securities of such series and the address of its Corporate Trust Office.</w:t>
      </w:r>
    </w:p>
    <w:p>
      <w:pPr>
        <w:spacing w:after="0" w:line="187"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written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and lien provided for in Section 606.</w:t>
      </w:r>
    </w:p>
    <w:p>
      <w:pPr>
        <w:spacing w:after="0" w:line="58" w:lineRule="exact"/>
        <w:rPr>
          <w:sz w:val="20"/>
          <w:szCs w:val="20"/>
          <w:color w:val="auto"/>
        </w:rPr>
      </w:pPr>
    </w:p>
    <w:p>
      <w:pPr>
        <w:ind w:left="440" w:firstLine="419"/>
        <w:spacing w:after="0" w:line="268" w:lineRule="auto"/>
        <w:tabs>
          <w:tab w:leader="none" w:pos="110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56" w:name="page157"/>
    <w:bookmarkEnd w:id="156"/>
    <w:p>
      <w:pPr>
        <w:ind w:left="44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Securities of that or those series to which the appointment of such successor Trustee relates, subject nevertheless to its claim and lien provided for in Section 606.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79" w:lineRule="exact"/>
        <w:rPr>
          <w:sz w:val="20"/>
          <w:szCs w:val="20"/>
          <w:color w:val="auto"/>
        </w:rPr>
      </w:pPr>
    </w:p>
    <w:p>
      <w:pPr>
        <w:jc w:val="both"/>
        <w:ind w:left="440" w:right="140" w:firstLine="419"/>
        <w:spacing w:after="0" w:line="342" w:lineRule="auto"/>
        <w:tabs>
          <w:tab w:leader="none" w:pos="111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 w:lineRule="exact"/>
        <w:rPr>
          <w:rFonts w:ascii="Arial" w:cs="Arial" w:eastAsia="Arial" w:hAnsi="Arial"/>
          <w:sz w:val="16"/>
          <w:szCs w:val="16"/>
          <w:color w:val="auto"/>
        </w:rPr>
      </w:pPr>
    </w:p>
    <w:p>
      <w:pPr>
        <w:ind w:left="440" w:right="300" w:firstLine="419"/>
        <w:spacing w:after="0" w:line="342" w:lineRule="auto"/>
        <w:tabs>
          <w:tab w:leader="none" w:pos="110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successor Trustee shall accept its appointment unless at the time of such acceptance such successor Trustee shall be qualified and eligible under this Article. The Trustee shall have no liability or responsibility for the action or inaction of any successor Trustee.</w:t>
      </w:r>
    </w:p>
    <w:p>
      <w:pPr>
        <w:spacing w:after="0" w:line="12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of the Securities shall not have been authenticated by such predecessor Trustee, any successor Trustee may authenticate and deliver such Securities or coupons either in the name of any predecessor hereunder or in the name of the successor Trustee. In all such cases such certificates shall have the full force and effect which this Indenture provides for the certificate of authentication of the Trustee;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79"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and the Trustee shall give written notice of such appointment to all Holders of Securities of the series with respect to which such Authenticating Agent will serve, in the manner provided for in Section 106.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157" w:name="page158"/>
    <w:bookmarkEnd w:id="15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w:t>
      </w:r>
    </w:p>
    <w:p>
      <w:pPr>
        <w:spacing w:after="0" w:line="18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8"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Securities of the series with respect to which such Authenticating Agent will serve, in the manner provided for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The Trustee shall have no liability or responsibility for the action or inaction of any Authenticating Agent (that is not the Trustee).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agrees to pay to each Authenticating Agent from time to time reasonable compensation for its services under this Section.</w:t>
      </w:r>
    </w:p>
    <w:p>
      <w:pPr>
        <w:spacing w:after="0" w:line="248"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58" w:name="page159"/>
    <w:bookmarkEnd w:id="158"/>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 Every Holder of Securities or coupons, by receiving and holding the same, agrees with the Company and the Trustee that neither of the Company, or the Trustee or any agent of either of them shall be held accountable by reason of the disclosure of any such information as to the names and addresses of the Holders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Within 60 days after May 15 of each year commencing with the first May 15 after the first issuance of Securities pursuant to this Indenture, the Trustee shall transmit to the Holders of Securities, in the manner and to the extent provided in TIA</w:t>
      </w:r>
    </w:p>
    <w:p>
      <w:pPr>
        <w:spacing w:after="0" w:line="260" w:lineRule="auto"/>
        <w:rPr>
          <w:sz w:val="20"/>
          <w:szCs w:val="20"/>
          <w:color w:val="auto"/>
        </w:rPr>
      </w:pPr>
      <w:r>
        <w:rPr>
          <w:rFonts w:ascii="Arial" w:cs="Arial" w:eastAsia="Arial" w:hAnsi="Arial"/>
          <w:sz w:val="18"/>
          <w:szCs w:val="18"/>
          <w:color w:val="auto"/>
        </w:rPr>
        <w:t>Section 313(c), a brief report dated as of such May 15 if required by TIA Section 313(a). The Company will promptly notify the Trustee in writing when any series of Securities are listed on any stock exchange and of any delisting thereof.</w:t>
      </w:r>
    </w:p>
    <w:p>
      <w:pPr>
        <w:spacing w:after="0" w:line="18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and with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shall:</w:t>
      </w:r>
    </w:p>
    <w:p>
      <w:pPr>
        <w:spacing w:after="0" w:line="117" w:lineRule="exact"/>
        <w:rPr>
          <w:sz w:val="20"/>
          <w:szCs w:val="20"/>
          <w:color w:val="auto"/>
        </w:rPr>
      </w:pPr>
    </w:p>
    <w:p>
      <w:pPr>
        <w:ind w:left="440" w:right="100" w:firstLine="419"/>
        <w:spacing w:after="0" w:line="271" w:lineRule="auto"/>
        <w:tabs>
          <w:tab w:leader="none" w:pos="111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Unless available on EDGAR, file with the Trustee, within 15 days after the Company, as the case may be, has filed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 longer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59" w:name="page160"/>
    <w:bookmarkEnd w:id="159"/>
    <w:p>
      <w:pPr>
        <w:ind w:left="440" w:right="30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transmit to all Holders, in the manner and to the extent provided in TIA Section 313(c),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8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Delivery of such reports, information and documents to the Trustee, which if pursuant to an EDGAR filing, the Trustee is not required to confirm, is for informational purposes only and the Trustee’s receipt of such shall not constitute constructive notice of the filing of such a report, its timeliness or any information contained therein or determinable from information contained therein, including compliance by the Company with any of its covenants hereunder (as to which the Trustee is entitled to conclusively rely exclusively on Officers’ Certificates).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6" w:lineRule="exact"/>
        <w:rPr>
          <w:sz w:val="20"/>
          <w:szCs w:val="20"/>
          <w:color w:val="auto"/>
        </w:rPr>
      </w:pPr>
    </w:p>
    <w:p>
      <w:pPr>
        <w:ind w:left="440" w:right="160" w:firstLine="948"/>
        <w:spacing w:after="0" w:line="277" w:lineRule="auto"/>
        <w:tabs>
          <w:tab w:leader="none" w:pos="16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and any related coupons in accordance with Article Eight; or</w:t>
      </w:r>
    </w:p>
    <w:p>
      <w:pPr>
        <w:spacing w:after="0" w:line="62" w:lineRule="exact"/>
        <w:rPr>
          <w:rFonts w:ascii="Arial" w:cs="Arial" w:eastAsia="Arial" w:hAnsi="Arial"/>
          <w:sz w:val="18"/>
          <w:szCs w:val="18"/>
          <w:color w:val="auto"/>
        </w:rPr>
      </w:pPr>
    </w:p>
    <w:p>
      <w:pPr>
        <w:ind w:left="440" w:right="220" w:firstLine="948"/>
        <w:spacing w:after="0" w:line="263" w:lineRule="auto"/>
        <w:tabs>
          <w:tab w:leader="none" w:pos="16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any related coupons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160" w:name="page161"/>
    <w:bookmarkEnd w:id="160"/>
    <w:p>
      <w:pPr>
        <w:jc w:val="both"/>
        <w:ind w:right="200" w:firstLine="948"/>
        <w:spacing w:after="0" w:line="263" w:lineRule="auto"/>
        <w:tabs>
          <w:tab w:leader="none" w:pos="12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any additional Events of Default for the benefit of the Holders of all or any series of Securities and any related coupons (and if such Events of Default are to be for the benefit of less than all series of Securities, stating that such Events of Default are being included solely for the benefit of such series); or</w:t>
      </w:r>
    </w:p>
    <w:p>
      <w:pPr>
        <w:spacing w:after="0" w:line="75" w:lineRule="exact"/>
        <w:rPr>
          <w:rFonts w:ascii="Arial" w:cs="Arial" w:eastAsia="Arial" w:hAnsi="Arial"/>
          <w:sz w:val="18"/>
          <w:szCs w:val="18"/>
          <w:color w:val="auto"/>
        </w:rPr>
      </w:pPr>
    </w:p>
    <w:p>
      <w:pPr>
        <w:ind w:right="60" w:firstLine="948"/>
        <w:spacing w:after="0" w:line="296" w:lineRule="auto"/>
        <w:tabs>
          <w:tab w:leader="none" w:pos="1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53" w:lineRule="exact"/>
        <w:rPr>
          <w:rFonts w:ascii="Arial" w:cs="Arial" w:eastAsia="Arial" w:hAnsi="Arial"/>
          <w:sz w:val="16"/>
          <w:szCs w:val="16"/>
          <w:color w:val="auto"/>
        </w:rPr>
      </w:pPr>
    </w:p>
    <w:p>
      <w:pPr>
        <w:ind w:right="100" w:firstLine="948"/>
        <w:spacing w:after="0" w:line="263" w:lineRule="auto"/>
        <w:tabs>
          <w:tab w:leader="none" w:pos="12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any such provision; or</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[Article 10] or otherwise; or</w:t>
      </w:r>
    </w:p>
    <w:p>
      <w:pPr>
        <w:spacing w:after="0" w:line="117" w:lineRule="exact"/>
        <w:rPr>
          <w:rFonts w:ascii="Arial" w:cs="Arial" w:eastAsia="Arial" w:hAnsi="Arial"/>
          <w:sz w:val="18"/>
          <w:szCs w:val="18"/>
          <w:color w:val="auto"/>
        </w:rPr>
      </w:pPr>
    </w:p>
    <w:p>
      <w:pPr>
        <w:jc w:val="both"/>
        <w:ind w:firstLine="948"/>
        <w:spacing w:after="0" w:line="342" w:lineRule="auto"/>
        <w:tabs>
          <w:tab w:leader="none" w:pos="1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15" w:lineRule="exact"/>
        <w:rPr>
          <w:rFonts w:ascii="Arial" w:cs="Arial" w:eastAsia="Arial" w:hAnsi="Arial"/>
          <w:sz w:val="16"/>
          <w:szCs w:val="16"/>
          <w:color w:val="auto"/>
        </w:rPr>
      </w:pPr>
    </w:p>
    <w:p>
      <w:pPr>
        <w:ind w:right="140" w:firstLine="948"/>
        <w:spacing w:after="0" w:line="277" w:lineRule="auto"/>
        <w:tabs>
          <w:tab w:leader="none" w:pos="12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comply with requirements of the Securities and Exchange Commission in order to maintain the qualification of the indenture under the Trust Indenture Act; or</w:t>
      </w:r>
    </w:p>
    <w:p>
      <w:pPr>
        <w:spacing w:after="0" w:line="62" w:lineRule="exact"/>
        <w:rPr>
          <w:rFonts w:ascii="Arial" w:cs="Arial" w:eastAsia="Arial" w:hAnsi="Arial"/>
          <w:sz w:val="18"/>
          <w:szCs w:val="18"/>
          <w:color w:val="auto"/>
        </w:rPr>
      </w:pPr>
    </w:p>
    <w:p>
      <w:pPr>
        <w:jc w:val="both"/>
        <w:ind w:firstLine="948"/>
        <w:spacing w:after="0" w:line="263" w:lineRule="auto"/>
        <w:tabs>
          <w:tab w:leader="none" w:pos="12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609(b); or</w:t>
      </w:r>
    </w:p>
    <w:p>
      <w:pPr>
        <w:spacing w:after="0" w:line="75" w:lineRule="exact"/>
        <w:rPr>
          <w:rFonts w:ascii="Arial" w:cs="Arial" w:eastAsia="Arial" w:hAnsi="Arial"/>
          <w:sz w:val="18"/>
          <w:szCs w:val="18"/>
          <w:color w:val="auto"/>
        </w:rPr>
      </w:pPr>
    </w:p>
    <w:p>
      <w:pPr>
        <w:ind w:right="60" w:firstLine="948"/>
        <w:spacing w:after="0" w:line="263" w:lineRule="auto"/>
        <w:tabs>
          <w:tab w:leader="none" w:pos="129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make any provisions with respect to the optional conversion rights of holders, including providing for the conversion of Securities into any other security or securities of the Company, provided that such provisions are not adverse to the interests of the holders of any debt securities then outstanding; or</w:t>
      </w:r>
    </w:p>
    <w:p>
      <w:pPr>
        <w:spacing w:after="0" w:line="75" w:lineRule="exact"/>
        <w:rPr>
          <w:rFonts w:ascii="Arial" w:cs="Arial" w:eastAsia="Arial" w:hAnsi="Arial"/>
          <w:sz w:val="18"/>
          <w:szCs w:val="18"/>
          <w:color w:val="auto"/>
        </w:rPr>
      </w:pPr>
    </w:p>
    <w:p>
      <w:pPr>
        <w:ind w:firstLine="948"/>
        <w:spacing w:after="0" w:line="286" w:lineRule="auto"/>
        <w:tabs>
          <w:tab w:leader="none" w:pos="129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inconsistent with any other provision herein, or to make any other provisions with respect to matters or questions arising under this Indenture, provided such action shall not adversely affect the interests of the Holders of Securities of any series and any related coupons in any material respect; or</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20"/>
          </w:cols>
          <w:pgMar w:left="880" w:top="274" w:right="499" w:bottom="1440" w:gutter="0" w:footer="0" w:header="0"/>
        </w:sectPr>
      </w:pPr>
    </w:p>
    <w:bookmarkStart w:id="161" w:name="page162"/>
    <w:bookmarkEnd w:id="161"/>
    <w:p>
      <w:pPr>
        <w:ind w:left="1740" w:hanging="352"/>
        <w:spacing w:after="0"/>
        <w:tabs>
          <w:tab w:leader="none" w:pos="17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any guarantee of one or more series of the Securities; or</w:t>
      </w:r>
    </w:p>
    <w:p>
      <w:pPr>
        <w:spacing w:after="0" w:line="117" w:lineRule="exact"/>
        <w:rPr>
          <w:rFonts w:ascii="Arial" w:cs="Arial" w:eastAsia="Arial" w:hAnsi="Arial"/>
          <w:sz w:val="18"/>
          <w:szCs w:val="18"/>
          <w:color w:val="auto"/>
        </w:rPr>
      </w:pPr>
    </w:p>
    <w:p>
      <w:pPr>
        <w:ind w:left="440" w:right="200" w:firstLine="948"/>
        <w:spacing w:after="0" w:line="311" w:lineRule="auto"/>
        <w:tabs>
          <w:tab w:leader="none" w:pos="173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w:t>
      </w:r>
    </w:p>
    <w:p>
      <w:pPr>
        <w:spacing w:after="0" w:line="149"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Supplemental Indentures with Consent of Holders</w:t>
      </w:r>
      <w:r>
        <w:rPr>
          <w:rFonts w:ascii="Arial" w:cs="Arial" w:eastAsia="Arial" w:hAnsi="Arial"/>
          <w:sz w:val="17"/>
          <w:szCs w:val="17"/>
          <w:color w:val="auto"/>
        </w:rPr>
        <w:t>. With the consent of the Holders of a majority in principal amount of all Outstanding Securities affected by such supplemental indenture, by Act of said Holders delivered to the Company and the Trustee and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 such Securities or of modifying in any manner the rights of the Holders of such Securities under this Indenture; provided, however, that no such supplemental indenture shall, without the consent of the Holder of each Outstanding Security affected thereby,</w:t>
      </w:r>
    </w:p>
    <w:p>
      <w:pPr>
        <w:spacing w:after="0" w:line="70" w:lineRule="exact"/>
        <w:rPr>
          <w:sz w:val="20"/>
          <w:szCs w:val="20"/>
          <w:color w:val="auto"/>
        </w:rPr>
      </w:pPr>
    </w:p>
    <w:p>
      <w:pPr>
        <w:ind w:left="440" w:firstLine="948"/>
        <w:spacing w:after="0" w:line="268" w:lineRule="auto"/>
        <w:tabs>
          <w:tab w:leader="none" w:pos="164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if any) or any installment of principal of or interest on any Security of such series; or the terms of any sinking fund with respect to any Security; or reduce the principal amount thereof (or premium, if any) or the rate of interest (or manner of calculating the rate of interest), if any, thereon, or any premium payable upon the redemption thereof, or repayment thereof at the option of the Holder, or the date(s) or period(s) for any redemption or repayment thereof, or change any obligation of the Company to pay Additional Amounts contemplated by [Article 10] (except as contemplated by [Article 8] and permitted by Section 901(1)), or reduce the amount of the principal of an Original Issue Discount Security of such series that would be due and payable upon an acceleration of the Maturity thereof pursuant to Section 502, or upon the redemption thereof, or the amount thereof provable in bankruptcy pursuant to Section 502,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modify the provisions of this Indenture with respect to the mandatory redemption of Securities or repayment of the Securities at the option of the Holder in a manner adverse to any Holder of any Securities or any coupons appertaining thereto, adversely affect any right to convert or exchange any Security as may be provided pursuant to Section 301 herein, or</w:t>
      </w:r>
    </w:p>
    <w:p>
      <w:pPr>
        <w:spacing w:after="0" w:line="76" w:lineRule="exact"/>
        <w:rPr>
          <w:rFonts w:ascii="Arial" w:cs="Arial" w:eastAsia="Arial" w:hAnsi="Arial"/>
          <w:sz w:val="17"/>
          <w:szCs w:val="17"/>
          <w:color w:val="auto"/>
        </w:rPr>
      </w:pPr>
    </w:p>
    <w:p>
      <w:pPr>
        <w:ind w:left="440" w:firstLine="948"/>
        <w:spacing w:after="0" w:line="259" w:lineRule="auto"/>
        <w:tabs>
          <w:tab w:leader="none" w:pos="16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for any waiver of compliance with certain provisions of this Indenture which affect such series or certain defaults applicable to such series hereunder and their consequences provided for in this Indenture, or reduce the requirements of Section 1504 for quorum or voting with respect to Securities of such series,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62" w:name="page163"/>
    <w:bookmarkEnd w:id="162"/>
    <w:p>
      <w:pPr>
        <w:ind w:left="440" w:right="260" w:firstLine="948"/>
        <w:spacing w:after="0" w:line="263" w:lineRule="auto"/>
        <w:tabs>
          <w:tab w:leader="none" w:pos="16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modify any of the provisions of this Section or Section 513, except to increase any such percentage or to provide that certain other provisions of this Indenture which affect such series cannot be modified or waived without the consent of the Holder of each Outstanding Security affected thereby.</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receive, and shall be fully protected in conclusively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4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the Company to any such supplemental indenture may be prepared and executed by the Company, and authenticated and delivered (which delivery, in the case of Bearer Securities, shall occur only outside the United States) by the Trustee in exchange for Outstanding Securities of such series.</w:t>
      </w:r>
    </w:p>
    <w:p>
      <w:pPr>
        <w:spacing w:after="0" w:line="192"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Notice of Supplemental Indentures</w:t>
      </w:r>
      <w:r>
        <w:rPr>
          <w:rFonts w:ascii="Arial" w:cs="Arial" w:eastAsia="Arial" w:hAnsi="Arial"/>
          <w:sz w:val="16"/>
          <w:szCs w:val="16"/>
          <w:color w:val="auto"/>
        </w:rPr>
        <w:t>. Promptly after the execution by the Company and the Trustee of any supplemental indenture pursuant to the provisions of Section 902, the Company shall give written notice thereof to the Holders of each Outstanding Security affected, in the manner provided for in Section 106, setting forth in general terms the substance of such supplemental indenture.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Securities of any series which are redeemable before their Stated Maturity shall be redeemable in accordance with the terms of such Securities and (except as otherwise specified as contemplated by Section 301 for Securities of any series) in accordance with this Article.</w:t>
      </w:r>
    </w:p>
    <w:p>
      <w:pPr>
        <w:spacing w:after="0" w:line="184"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Election to Redeem; Notice to Trustee</w:t>
      </w:r>
      <w:r>
        <w:rPr>
          <w:rFonts w:ascii="Arial" w:cs="Arial" w:eastAsia="Arial" w:hAnsi="Arial"/>
          <w:sz w:val="17"/>
          <w:szCs w:val="17"/>
          <w:color w:val="auto"/>
        </w:rPr>
        <w:t>. 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 notify the Trustee in writing of such Redemption Date and of the principal amount of Securities of such series to be redeemed and, in the case of a partial redemption, shall deliver to the Trustee such documentation and records as shall enable the Trustee to select the Securities to be redeemed pursuant to Section 1103.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7"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Selection by Trustee of Securities to Be Redeemed</w:t>
      </w:r>
      <w:r>
        <w:rPr>
          <w:rFonts w:ascii="Arial" w:cs="Arial" w:eastAsia="Arial" w:hAnsi="Arial"/>
          <w:sz w:val="17"/>
          <w:szCs w:val="17"/>
          <w:color w:val="auto"/>
        </w:rPr>
        <w:t>. If less than all the Securities of any series with the same terms are to be redeemed, the particular Securities to be redeemed shall be selected not more than 45 days prior to the Redemption Date by the Trustee, from the Outstanding Securities of such series with the same terms not previously called for redemption, by such method as the Trustee shall deem fair and appropriate, subject to applicable law, and which may provide for the selection for redemption of portions of the principal of Securities of such series; provided, however, that no such partial redemption shall reduce the portion of the principal amount of a Security not redeemed to less than the minimum authorized denomination for Securities of such series established pursuant to Section 301.</w:t>
      </w:r>
    </w:p>
    <w:p>
      <w:pPr>
        <w:spacing w:after="0" w:line="178"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0" w:right="439" w:bottom="1440" w:gutter="0" w:footer="0" w:header="0"/>
        </w:sectPr>
      </w:pPr>
    </w:p>
    <w:bookmarkStart w:id="164" w:name="page165"/>
    <w:bookmarkEnd w:id="164"/>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Except as otherwise specified as contemplated by Section 301 for Securities of any series, notice of redemption shall be given in the manner provided for in Section 106 not less than 30 nor more than 60 days prior to the Redemption Date, to each Holder of Securities to be redeemed.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Except as otherwise specified as contemplated by Section 301 for Securities of any series, all notices of redemption shall state:</w:t>
      </w:r>
    </w:p>
    <w:p>
      <w:pPr>
        <w:spacing w:after="0" w:line="129" w:lineRule="exact"/>
        <w:rPr>
          <w:sz w:val="20"/>
          <w:szCs w:val="20"/>
          <w:color w:val="auto"/>
        </w:rPr>
      </w:pPr>
    </w:p>
    <w:p>
      <w:pPr>
        <w:ind w:left="1640" w:hanging="252"/>
        <w:spacing w:after="0"/>
        <w:tabs>
          <w:tab w:leader="none" w:pos="1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440" w:right="200" w:firstLine="948"/>
        <w:spacing w:after="0" w:line="342" w:lineRule="auto"/>
        <w:tabs>
          <w:tab w:leader="none" w:pos="16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Redemption Price (if known) or the formula pursuant to which the Redemption Price is to be determined if the Redemption Price cannot be determined at the time the notice is given, together with the amount of accrued interest, if any, to the Redemption Date,</w:t>
      </w:r>
    </w:p>
    <w:p>
      <w:pPr>
        <w:spacing w:after="0" w:line="15" w:lineRule="exact"/>
        <w:rPr>
          <w:rFonts w:ascii="Arial" w:cs="Arial" w:eastAsia="Arial" w:hAnsi="Arial"/>
          <w:sz w:val="16"/>
          <w:szCs w:val="16"/>
          <w:color w:val="auto"/>
        </w:rPr>
      </w:pPr>
    </w:p>
    <w:p>
      <w:pPr>
        <w:ind w:left="440" w:right="800" w:firstLine="948"/>
        <w:spacing w:after="0" w:line="277" w:lineRule="auto"/>
        <w:tabs>
          <w:tab w:leader="none" w:pos="1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62" w:lineRule="exact"/>
        <w:rPr>
          <w:rFonts w:ascii="Arial" w:cs="Arial" w:eastAsia="Arial" w:hAnsi="Arial"/>
          <w:sz w:val="18"/>
          <w:szCs w:val="18"/>
          <w:color w:val="auto"/>
        </w:rPr>
      </w:pPr>
    </w:p>
    <w:p>
      <w:pPr>
        <w:ind w:left="440" w:right="60" w:firstLine="948"/>
        <w:spacing w:after="0" w:line="263" w:lineRule="auto"/>
        <w:tabs>
          <w:tab w:leader="none" w:pos="1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the same series of like tenor of authorized denominations for the principal amount thereof remaining unredeemed,</w:t>
      </w:r>
    </w:p>
    <w:p>
      <w:pPr>
        <w:spacing w:after="0" w:line="75" w:lineRule="exact"/>
        <w:rPr>
          <w:rFonts w:ascii="Arial" w:cs="Arial" w:eastAsia="Arial" w:hAnsi="Arial"/>
          <w:sz w:val="18"/>
          <w:szCs w:val="18"/>
          <w:color w:val="auto"/>
        </w:rPr>
      </w:pPr>
    </w:p>
    <w:p>
      <w:pPr>
        <w:ind w:left="440" w:right="60" w:firstLine="948"/>
        <w:spacing w:after="0" w:line="263" w:lineRule="auto"/>
        <w:tabs>
          <w:tab w:leader="none" w:pos="1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75" w:lineRule="exact"/>
        <w:rPr>
          <w:rFonts w:ascii="Arial" w:cs="Arial" w:eastAsia="Arial" w:hAnsi="Arial"/>
          <w:sz w:val="18"/>
          <w:szCs w:val="18"/>
          <w:color w:val="auto"/>
        </w:rPr>
      </w:pPr>
    </w:p>
    <w:p>
      <w:pPr>
        <w:ind w:left="440" w:right="140" w:firstLine="948"/>
        <w:spacing w:after="0" w:line="263" w:lineRule="auto"/>
        <w:tabs>
          <w:tab w:leader="none" w:pos="1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Place or Places of Payment (which in the case of Bearer Securities shall be outside the United States) where such Securities, together in the case of Bearer Securities with all coupons appertaining thereto, if any, maturing on or after the Redemption Date, are to be surrendered for payment of the Redemption Price and accrued interest, if any,</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left="440" w:right="20" w:firstLine="948"/>
        <w:spacing w:after="0" w:line="311" w:lineRule="auto"/>
        <w:tabs>
          <w:tab w:leader="none" w:pos="16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and any Paying Agent is furnished,</w:t>
      </w:r>
    </w:p>
    <w:p>
      <w:pPr>
        <w:spacing w:after="0" w:line="40" w:lineRule="exact"/>
        <w:rPr>
          <w:rFonts w:ascii="Arial" w:cs="Arial" w:eastAsia="Arial" w:hAnsi="Arial"/>
          <w:sz w:val="16"/>
          <w:szCs w:val="16"/>
          <w:color w:val="auto"/>
        </w:rPr>
      </w:pPr>
    </w:p>
    <w:p>
      <w:pPr>
        <w:ind w:left="440" w:firstLine="948"/>
        <w:spacing w:after="0" w:line="286" w:lineRule="auto"/>
        <w:tabs>
          <w:tab w:leader="none" w:pos="164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Bearer Securities of any series are to be redeemed and any Registered Securities of such series are not to be redeemed, and if such Bearer Securities may be exchanged for Registered Securities not subject to redemption on such Redemption Date pursuant to Section 305 or otherwise, the last date, as determined by the Company, on which such exchanges may be made,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165" w:name="page166"/>
    <w:bookmarkEnd w:id="165"/>
    <w:p>
      <w:pPr>
        <w:ind w:left="440" w:right="40" w:firstLine="948"/>
        <w:spacing w:after="0" w:line="279" w:lineRule="auto"/>
        <w:tabs>
          <w:tab w:leader="none" w:pos="1737" w:val="left"/>
        </w:tabs>
        <w:numPr>
          <w:ilvl w:val="0"/>
          <w:numId w:val="1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CUSIP, ISIN or other similar numbers, if any, assigned to such Securities; provided, however, that such notice may state that no representation is made as to the correctness of CUSIP, ISIN or other similar numbers, in which case none of the Company, the Trustee or any agent of the Company or the Trustee shall have any liability in respect of the use of any CUSIP, ISIN or other similar number or numbers on such notices, and the redemption of such Securities shall not be affected by any defect in or omission of such numbers,</w:t>
      </w:r>
    </w:p>
    <w:p>
      <w:pPr>
        <w:spacing w:after="0" w:line="63" w:lineRule="exact"/>
        <w:rPr>
          <w:rFonts w:ascii="Arial" w:cs="Arial" w:eastAsia="Arial" w:hAnsi="Arial"/>
          <w:sz w:val="17"/>
          <w:szCs w:val="17"/>
          <w:color w:val="auto"/>
        </w:rPr>
      </w:pPr>
    </w:p>
    <w:p>
      <w:pPr>
        <w:ind w:left="1720" w:hanging="332"/>
        <w:spacing w:after="0"/>
        <w:tabs>
          <w:tab w:leader="none" w:pos="1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Euroclear or the Clearstream reference numbers of such Security, if any, and</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other matters as the Company shall deem desirable or appropriate.</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by the Trustee in the name and at the expense of the Company.</w:t>
      </w:r>
    </w:p>
    <w:p>
      <w:pPr>
        <w:spacing w:after="0" w:line="170"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 On or prior to 11:00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(except if the Redemption Date shall be an Interest Payment Date) accrued interest, if any, on, all the Securities or portions thereof which are to be redeemed on that date.</w:t>
      </w:r>
    </w:p>
    <w:p>
      <w:pPr>
        <w:spacing w:after="0" w:line="16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[Article 10]) and, unless otherwise specified as contemplated by Section 301, only upon presentation and surrender of coupons for such interest; and provided further that installments of interest on Registered Securities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66" w:name="page167"/>
    <w:bookmarkEnd w:id="166"/>
    <w:p>
      <w:pPr>
        <w:ind w:right="6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w:t>
      </w:r>
    </w:p>
    <w:p>
      <w:pPr>
        <w:spacing w:after="0" w:line="178"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or contemplated by such Security.</w:t>
      </w:r>
    </w:p>
    <w:p>
      <w:pPr>
        <w:spacing w:after="0" w:line="184"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Optional Redemption Due to Changes in Tax Treatment</w:t>
      </w:r>
      <w:r>
        <w:rPr>
          <w:rFonts w:ascii="Arial" w:cs="Arial" w:eastAsia="Arial" w:hAnsi="Arial"/>
          <w:sz w:val="17"/>
          <w:szCs w:val="17"/>
          <w:color w:val="auto"/>
        </w:rPr>
        <w:t>. Each series of Securities may be redeemed at the option of the Company (or their successors) in whole but not in part at any time (except in the case of Securities that have a variable rate of interest, which may be redeemed on any Interest Payment Date) at a Redemption Price equal to the principal amount thereof plus accrued interest to the date fixed for redemption (except in the case of Outstanding Original Issue Discount Securities which may be redeemed at the Redemption Price specified by the terms of such series of Securities) if (i) the Company is or would be required to pay Additional Amounts as a result of any change in or amendment to the laws or any regulations or rulings promulgated thereunder of the United States (or in the case of a successor Person to the Company, of the jurisdiction in which such successor Person is organized or any political subdivision or taxing authority thereof or therein) or (ii) any change in the official application or interpretation of such laws, regulations or rulings, or any change in the official application or interpretation of, or any execution of or amendment to, any treaty or treaties affecting taxation to which the United States (or such other jurisdiction or political subdivision or taxing authority) is a party, which change, execution or amendment becomes effective on or after the date of issuance of such series pursuant to Section 301(23) (or in the case of a successor Person to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167" w:name="page168"/>
    <w:bookmarkEnd w:id="16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on which such successor Person became such). Prior to the giving of notice of redemption of such Securities pursuant to this Indenture, the Company will deliver to the Trustee an Officers’ Certificate, stating that the Company is entitled to effect such redemption and setting forth in reasonable detail a statement of circumstances showing that the conditions precedent to the right of the Company to redeem such Securities pursuant to this Section have been satisfied.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Retirements of Securities of any series pursuant to any sinking fund shall be made in accordance with the terms of such Securities and (except as otherwise specified as contemplated by Section 301 for Securities of any series) in accordance with this Article.</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Subject to Section 1203, in lieu of making all or any part of any mandatory sinking fund payment with respect to any Securities of a series in cash, the Company may at its option (1) deliver to the Trustee Outstanding Securities of a series (other than any previously called for redemption) theretofore purchased or otherwise acquired by the Company, together, in the case of any Bearer Securities of such series, with all unmatured coupons appertaining thereto, and/or (2) receive credit for the principal amount of Securities of such series which have been previously delivered to the Trustee by the Company or for Securities of such series which have been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provided, however, that such Securities have not been previously so credited. Such Securities shall be received and credited for such purpose by the Trustee at the Redemption Price specified in such Securities for redemption through operation of the sinking fund and the amount of such mandatory sinking fund payment shall be reduced accordingly.</w:t>
      </w:r>
    </w:p>
    <w:p>
      <w:pPr>
        <w:spacing w:after="0" w:line="182" w:lineRule="exact"/>
        <w:rPr>
          <w:sz w:val="20"/>
          <w:szCs w:val="20"/>
          <w:color w:val="auto"/>
        </w:rPr>
      </w:pPr>
    </w:p>
    <w:p>
      <w:pPr>
        <w:jc w:val="both"/>
        <w:ind w:right="100" w:firstLine="991"/>
        <w:spacing w:after="0" w:line="257"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68" w:name="page169"/>
    <w:bookmarkEnd w:id="16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66"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Not more than 60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Prior to any sinking fund payment date, the Company shall pay to the Trustee or a Paying Agent (or, if the Company is acting as its own Paying Agent, segregate and hold in trust as provided in [Article 10]) in cash a sum equal to the principal (and premium, if any) and any interest that will accrue to the date fixed for redemption of Securities or portions thereof to be redeemed on such sinking fund payment date pursuant to this Section 1203.</w:t>
      </w:r>
    </w:p>
    <w:p>
      <w:pPr>
        <w:spacing w:after="0" w:line="18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 or any Paying Agent will be reimbursed by the Company) not in excess of the principal amount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AT OPTION OF HOLDERS</w:t>
      </w:r>
    </w:p>
    <w:p>
      <w:pPr>
        <w:spacing w:after="0" w:line="229"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69" w:name="page170"/>
    <w:bookmarkEnd w:id="169"/>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1302. </w:t>
      </w:r>
      <w:r>
        <w:rPr>
          <w:rFonts w:ascii="Arial" w:cs="Arial" w:eastAsia="Arial" w:hAnsi="Arial"/>
          <w:sz w:val="17"/>
          <w:szCs w:val="17"/>
          <w:u w:val="single" w:color="auto"/>
          <w:color w:val="auto"/>
        </w:rPr>
        <w:t>Repayment of Securities</w:t>
      </w:r>
      <w:r>
        <w:rPr>
          <w:rFonts w:ascii="Arial" w:cs="Arial" w:eastAsia="Arial" w:hAnsi="Arial"/>
          <w:sz w:val="17"/>
          <w:szCs w:val="17"/>
          <w:color w:val="auto"/>
        </w:rPr>
        <w:t>. 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the Repayment Date it will deposit with the Trustee or with a Paying Agent (or, if the Company is acting as its own Paying Agent,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(except if the Repayment Date shall be an Interest Payment Date) accrued interest, if any, on, all the Securities or portions thereof, as the case may be, to be repaid on such date.</w:t>
      </w:r>
    </w:p>
    <w:p>
      <w:pPr>
        <w:spacing w:after="0" w:line="17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Exercise of Option</w:t>
      </w:r>
      <w:r>
        <w:rPr>
          <w:rFonts w:ascii="Arial" w:cs="Arial" w:eastAsia="Arial" w:hAnsi="Arial"/>
          <w:sz w:val="17"/>
          <w:szCs w:val="17"/>
          <w:color w:val="auto"/>
        </w:rPr>
        <w:t>. Securities of any series subject to repayment at the option of the Holders thereof will contain an “Option to Elect Repayment” form on the reverse of such Securities. To be repaid at the option of the Holder, except as otherwise specified as contemplated by Section 301 for Securities of such series,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70" w:name="page171"/>
    <w:bookmarkEnd w:id="170"/>
    <w:p>
      <w:pPr>
        <w:ind w:right="8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[Article 10])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to the Holders of such Securities, or one or more Predecessor Securities, registered as such at the close of business on the relevant Regular Record Dates according to their terms and the provisions of Section 307.</w:t>
      </w:r>
    </w:p>
    <w:p>
      <w:pPr>
        <w:spacing w:after="0" w:line="17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w:t>
      </w:r>
    </w:p>
    <w:p>
      <w:pPr>
        <w:spacing w:after="0" w:line="178"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or contemplated by such Security.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71" w:name="page172"/>
    <w:bookmarkEnd w:id="171"/>
    <w:p>
      <w:pPr>
        <w:ind w:right="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Arial" w:cs="Arial" w:eastAsia="Arial" w:hAnsi="Arial"/>
          <w:sz w:val="17"/>
          <w:szCs w:val="17"/>
          <w:u w:val="single" w:color="auto"/>
          <w:color w:val="auto"/>
        </w:rPr>
        <w:t>Securities Repaid in Part</w:t>
      </w:r>
      <w:r>
        <w:rPr>
          <w:rFonts w:ascii="Arial" w:cs="Arial" w:eastAsia="Arial" w:hAnsi="Arial"/>
          <w:sz w:val="17"/>
          <w:szCs w:val="17"/>
          <w:color w:val="auto"/>
        </w:rPr>
        <w:t>. Upon surrender of any Security which is to be repaid in part only, the Company shall execute and the Trustee shall authenticate and deliver to the Holder of such Security, without service charge and at the expense of the Company, a new Security or Securities of the same series, and of like tenor, of any authorized denomination specified by the Holder, in an aggregate principal amount equal to and in exchange for the portion of the principal of such Security so surrendered which is not to be repaid.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Company’s Option to Effect Defeasance or Covenant Defeasance</w:t>
      </w:r>
      <w:r>
        <w:rPr>
          <w:rFonts w:ascii="Arial" w:cs="Arial" w:eastAsia="Arial" w:hAnsi="Arial"/>
          <w:sz w:val="18"/>
          <w:szCs w:val="18"/>
          <w:color w:val="auto"/>
        </w:rPr>
        <w:t>. 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related coupons on the date the conditions set forth in Section 1404 are satisfied (hereinafter, “defeasance”). For this purpose, such defeasance means that the Company shall be deemed to have paid and discharged the entire indebtedness represented by such Outstanding Securities and any related coupons, which shall thereafter be deemed to be “Outstanding” only for the purposes of Section 1405 and the other Sections of this Indenture referred to in (A) and (B) below, and to have satisfied all its other obligations under such Securities and any related coupons and this Indenture insofar as such Securities and any related coupons are concerned (and the Trustee, at the expense of the Company, shall execute proper instruments acknowledging the same), except for the following which shall survive until otherwise terminated or discharged hereunder: (A) the rights of Holders of such Outstanding Securities and any related coupons to receive, solely from the trust fund described in Section 1404 and as more fully set forth in such Section, payments in respect of the principal of (and premium, if any) and interest, if any, on such Securities and any related coupons when such payments are due, (B) the Company’s obligations with respect to such Securities under Sections 304, 305, 306, [Article 10] and with respect to the payment of Additional Amounts, if any, on such Securities as contemplated by [Article 10] and such obligations as shall be ancillary thereto, (C) the rights, powers, trusts, duties and immunities of the Trustee hereunder including, without limitation, Section 606 and the penultimate paragraph of Section 1405 and (D) this Article Fourteen. Subject to compliance with this Article Fourteen, the Company may exercise its option under this Section 1402 notwithstanding the prior exercise of its option under Section 1403 with respect to such Securities and any related coupons.</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72" w:name="page173"/>
    <w:bookmarkEnd w:id="172"/>
    <w:p>
      <w:pPr>
        <w:ind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801 and 802 and [Article 10], and, if specified pursuant to Section 301, its obligations under any other covenant, with respect to such Outstanding Securities and any related coupons on and after the date the conditions set forth in Section 1404 are satisfied (hereinafter, “covenant defeasance”), and such Securities and any related coupons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Outstanding Securities and any related coupons,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Section 501[__] or Section 501[__] or otherwise, as the case may be, but, except as specified above, the remainder of this Indenture and such Securities and any related coupons shall be unaffected thereby.</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either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1402 or Section 1403 to any Outstanding Securities of or within a series and any related coupons:</w:t>
      </w:r>
    </w:p>
    <w:p>
      <w:pPr>
        <w:spacing w:after="0" w:line="103" w:lineRule="exact"/>
        <w:rPr>
          <w:sz w:val="20"/>
          <w:szCs w:val="20"/>
          <w:color w:val="auto"/>
        </w:rPr>
      </w:pPr>
    </w:p>
    <w:p>
      <w:pPr>
        <w:ind w:left="440" w:firstLine="948"/>
        <w:spacing w:after="0" w:line="285" w:lineRule="auto"/>
        <w:tabs>
          <w:tab w:leader="none" w:pos="16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related coupons, (A) an amount (in such Currency in which such Securities and any related coupons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and any related coupons,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related coupons on the Stated Maturity (or Redemption Date, if applicable) of such principal (and premium, if any) or installment of interest, if any, and (ii) any mandatory sinking fund payments or analogous payments applicable to such Outstanding Securities and any related coupons on the day on which such payments are due and payable in accordance with the terms of this Indenture and of such Securities and any related coupons; provided that the Trustee shall have been irrevocably instructed to apply such money or the proceeds of such Government Obligations to said payments with respect to such Securities and any related coupons. Before such a deposit, the Company may give to the Trustee, in accordance with Section 1102, a notice of its election to redeem all or any portion of such Outstanding Securities at a future date in accordance with the terms of the Securities of such series and Article Eleven, which notice shall be irrevocable. Such irrevocable redemption notice, if given, shall be given effect in applying the foregoing.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0"/>
          </w:cols>
          <w:pgMar w:left="440" w:top="274" w:right="559" w:bottom="1440" w:gutter="0" w:footer="0" w:header="0"/>
        </w:sectPr>
      </w:pPr>
    </w:p>
    <w:bookmarkStart w:id="173" w:name="page174"/>
    <w:bookmarkEnd w:id="173"/>
    <w:p>
      <w:pPr>
        <w:ind w:left="4" w:right="80" w:firstLine="948"/>
        <w:spacing w:after="0" w:line="311" w:lineRule="auto"/>
        <w:tabs>
          <w:tab w:leader="none" w:pos="1210" w:val="left"/>
        </w:tabs>
        <w:numPr>
          <w:ilvl w:val="1"/>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with respect to such Securities or any related coupons shall have occurred and be continuing on the date of such deposit or, insofar as paragraphs [__] and [__] of Section 501 are concerned, at any time during the period ending on the 91st day after the date of such deposit (it being understood that this condition shall not be deemed satisfied until the expiration of such period).</w:t>
      </w:r>
    </w:p>
    <w:p>
      <w:pPr>
        <w:spacing w:after="0" w:line="40" w:lineRule="exact"/>
        <w:rPr>
          <w:rFonts w:ascii="Arial" w:cs="Arial" w:eastAsia="Arial" w:hAnsi="Arial"/>
          <w:sz w:val="16"/>
          <w:szCs w:val="16"/>
          <w:color w:val="auto"/>
        </w:rPr>
      </w:pPr>
    </w:p>
    <w:p>
      <w:pPr>
        <w:ind w:left="4" w:right="40" w:firstLine="948"/>
        <w:spacing w:after="0" w:line="263" w:lineRule="auto"/>
        <w:tabs>
          <w:tab w:leader="none" w:pos="121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5" w:lineRule="exact"/>
        <w:rPr>
          <w:rFonts w:ascii="Arial" w:cs="Arial" w:eastAsia="Arial" w:hAnsi="Arial"/>
          <w:sz w:val="18"/>
          <w:szCs w:val="18"/>
          <w:color w:val="auto"/>
        </w:rPr>
      </w:pPr>
    </w:p>
    <w:p>
      <w:pPr>
        <w:ind w:left="1204" w:hanging="252"/>
        <w:spacing w:after="0"/>
        <w:tabs>
          <w:tab w:leader="none" w:pos="120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In the case of an election under Section 1402, the Company shall have delivered to the Trustee an Opinion of Counsel stating that</w:t>
      </w:r>
    </w:p>
    <w:p>
      <w:pPr>
        <w:spacing w:after="0" w:line="46" w:lineRule="exact"/>
        <w:rPr>
          <w:rFonts w:ascii="Arial" w:cs="Arial" w:eastAsia="Arial" w:hAnsi="Arial"/>
          <w:sz w:val="16"/>
          <w:szCs w:val="16"/>
          <w:color w:val="auto"/>
        </w:rPr>
      </w:pPr>
    </w:p>
    <w:p>
      <w:pPr>
        <w:ind w:left="4" w:hanging="4"/>
        <w:spacing w:after="0" w:line="271" w:lineRule="auto"/>
        <w:tabs>
          <w:tab w:leader="none" w:pos="25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has received from, or there has been published by, the Internal Revenue Service a ruling, or (y) since the date of execution of this Indenture, there has been a change in the applicable federal income tax law, in either case to the effect that, and based thereon such opinion shall confirm that, the Holders of such Outstanding Securities and any related coupons will not recognize income, gain or loss for federal income tax purposes as a result of the deposit and such defeasance and will be subject to U.S. federal income tax on the same amounts, in the same manner and at the same times as would have been the case if the deposit and such defeasance had not occurred.</w:t>
      </w:r>
    </w:p>
    <w:p>
      <w:pPr>
        <w:spacing w:after="0" w:line="70" w:lineRule="exact"/>
        <w:rPr>
          <w:rFonts w:ascii="Arial" w:cs="Arial" w:eastAsia="Arial" w:hAnsi="Arial"/>
          <w:sz w:val="17"/>
          <w:szCs w:val="17"/>
          <w:color w:val="auto"/>
        </w:rPr>
      </w:pPr>
    </w:p>
    <w:p>
      <w:pPr>
        <w:jc w:val="both"/>
        <w:ind w:left="4" w:right="200" w:firstLine="948"/>
        <w:spacing w:after="0" w:line="279" w:lineRule="auto"/>
        <w:tabs>
          <w:tab w:leader="none" w:pos="121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In the case of an election under Section 1403, the Company shall have delivered to the Trustee an Opinion of Counsel to the effect that the Holders of such Outstanding Securities and any related coupons will not recognize income, gain or loss for federal income tax purposes as a result of such covenant defeasance and will be subject to U.S. federal income tax on the same amounts, in the same manner and at the same times as would have been the case if the deposit and such covenant defeasance had not occurred.</w:t>
      </w:r>
    </w:p>
    <w:p>
      <w:pPr>
        <w:spacing w:after="0" w:line="63" w:lineRule="exact"/>
        <w:rPr>
          <w:rFonts w:ascii="Arial" w:cs="Arial" w:eastAsia="Arial" w:hAnsi="Arial"/>
          <w:sz w:val="17"/>
          <w:szCs w:val="17"/>
          <w:color w:val="auto"/>
        </w:rPr>
      </w:pPr>
    </w:p>
    <w:p>
      <w:pPr>
        <w:ind w:left="4" w:right="300" w:firstLine="948"/>
        <w:spacing w:after="0" w:line="277" w:lineRule="auto"/>
        <w:tabs>
          <w:tab w:leader="none" w:pos="121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Notwithstanding any other provisions of this Section, such defeasance or covenant defeasance shall be effected in compliance with any additional or substitute terms, conditions or limitations in connection therewith pursuant to Section 301.</w:t>
      </w:r>
    </w:p>
    <w:p>
      <w:pPr>
        <w:spacing w:after="0" w:line="62" w:lineRule="exact"/>
        <w:rPr>
          <w:rFonts w:ascii="Arial" w:cs="Arial" w:eastAsia="Arial" w:hAnsi="Arial"/>
          <w:sz w:val="18"/>
          <w:szCs w:val="18"/>
          <w:color w:val="auto"/>
        </w:rPr>
      </w:pPr>
    </w:p>
    <w:p>
      <w:pPr>
        <w:ind w:left="4" w:right="40" w:firstLine="948"/>
        <w:spacing w:after="0" w:line="263" w:lineRule="auto"/>
        <w:tabs>
          <w:tab w:leader="none" w:pos="121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64"/>
          </w:cols>
          <w:pgMar w:left="876" w:top="274" w:right="459" w:bottom="1440" w:gutter="0" w:footer="0" w:header="0"/>
        </w:sectPr>
      </w:pPr>
    </w:p>
    <w:bookmarkStart w:id="174" w:name="page175"/>
    <w:bookmarkEnd w:id="174"/>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1405. </w:t>
      </w:r>
      <w:r>
        <w:rPr>
          <w:rFonts w:ascii="Arial" w:cs="Arial" w:eastAsia="Arial" w:hAnsi="Arial"/>
          <w:sz w:val="18"/>
          <w:szCs w:val="18"/>
          <w:u w:val="single" w:color="auto"/>
          <w:color w:val="auto"/>
        </w:rPr>
        <w:t>Deposited Money and Government Obligations to Be Held in Trust; Other Miscellaneous Provisions</w:t>
      </w:r>
      <w:r>
        <w:rPr>
          <w:rFonts w:ascii="Arial" w:cs="Arial" w:eastAsia="Arial" w:hAnsi="Arial"/>
          <w:sz w:val="18"/>
          <w:szCs w:val="18"/>
          <w:color w:val="auto"/>
        </w:rPr>
        <w:t>. Subject to the provisions of the last paragraph of [Article 10],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such Outstanding Securities and any related coupons shall be held in trust and applied by the Trustee, in accordance with the provisions of such Securities and any related coupons and this Indenture, to the payment, either directly or through any Paying Agent (including the Company acting as its own Paying Agent) as the Trustee may determine, to the Holders of such Securities and any related coupons of all sums due and to become due thereon in respect of principal (and premium, if any) and interest, if any, but such money need not be segregated from other funds except to the extent required by law.</w:t>
      </w:r>
    </w:p>
    <w:p>
      <w:pPr>
        <w:spacing w:after="0" w:line="192"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and any related coupons shall be deemed to have been, and will be, fully discharged and satisfied through the payment of the principal of (and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6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The Company shall pay and indemnify the Trustee against any tax, fee or other charge imposed on or assessed against the cash or Government Obligations deposited pursuant to Section 1404 or the principal and interest received in respect thereof other than any such tax, fee or other charge which by law is for the account of the Holders of such Outstanding Securities and any related coupons. Notwithstanding anything to the contrary contained herein, the foregoing sentence shall survive the termination of this Indenture and the earlier resignation or removal of the Trustee.</w:t>
      </w:r>
    </w:p>
    <w:p>
      <w:pPr>
        <w:spacing w:after="0" w:line="157" w:lineRule="exact"/>
        <w:rPr>
          <w:sz w:val="20"/>
          <w:szCs w:val="20"/>
          <w:color w:val="auto"/>
        </w:rPr>
      </w:pPr>
    </w:p>
    <w:p>
      <w:pPr>
        <w:jc w:val="both"/>
        <w:ind w:firstLine="991"/>
        <w:spacing w:after="0" w:line="257" w:lineRule="auto"/>
        <w:rPr>
          <w:sz w:val="20"/>
          <w:szCs w:val="20"/>
          <w:color w:val="auto"/>
        </w:rPr>
      </w:pPr>
      <w:r>
        <w:rPr>
          <w:rFonts w:ascii="Arial" w:cs="Arial" w:eastAsia="Arial" w:hAnsi="Arial"/>
          <w:sz w:val="18"/>
          <w:szCs w:val="18"/>
          <w:color w:val="auto"/>
        </w:rPr>
        <w:t>Anything in this Article Fourteen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175" w:name="page176"/>
    <w:bookmarkEnd w:id="175"/>
    <w:p>
      <w:pPr>
        <w:ind w:right="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1406. </w:t>
      </w:r>
      <w:r>
        <w:rPr>
          <w:rFonts w:ascii="Arial" w:cs="Arial" w:eastAsia="Arial" w:hAnsi="Arial"/>
          <w:sz w:val="16"/>
          <w:szCs w:val="16"/>
          <w:u w:val="single" w:color="auto"/>
          <w:color w:val="auto"/>
        </w:rPr>
        <w:t>Reinstatement</w:t>
      </w:r>
      <w:r>
        <w:rPr>
          <w:rFonts w:ascii="Arial" w:cs="Arial" w:eastAsia="Arial" w:hAnsi="Arial"/>
          <w:sz w:val="16"/>
          <w:szCs w:val="16"/>
          <w:color w:val="auto"/>
        </w:rPr>
        <w:t>. If the Trustee or any Paying Agent is unable to apply any money in accordance with Section 1405 with respect to any Securities by reason of any order or judgment of any court or governmental authority enjoining, restraining or otherwise prohibiting such application, then the Company’s obligations under this Indenture and such Securities and any related coupons shall be revived and reinstated as though no deposit had occurred pursuant to Section 1402 or 1403, as the case may be, until such time as the Trustee or Paying Agent is permitted to apply all such money in accordance with Section 1405; provided, however,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the Trustee or Paying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HOLDERS OF SECURITIES</w:t>
      </w:r>
    </w:p>
    <w:p>
      <w:pPr>
        <w:spacing w:after="0" w:line="229"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 The Trustee may at any time call a meeting of Holders of Securities of any series for any purpose specified in Section 1501, to be held at such time and at such place in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for in Section 106, not less than 21 nor more than 180 days prior to the date fixed for the meeting.</w:t>
      </w:r>
    </w:p>
    <w:p>
      <w:pPr>
        <w:spacing w:after="0" w:line="80" w:lineRule="exact"/>
        <w:rPr>
          <w:sz w:val="20"/>
          <w:szCs w:val="20"/>
          <w:color w:val="auto"/>
        </w:rPr>
      </w:pPr>
    </w:p>
    <w:p>
      <w:pPr>
        <w:ind w:left="440" w:right="140" w:firstLine="419"/>
        <w:spacing w:after="0" w:line="272" w:lineRule="auto"/>
        <w:tabs>
          <w:tab w:leader="none" w:pos="110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or in London for such meeting and may call such meeting for such purposes by giving notice thereof as provided in paragraph (a) of this Section.</w:t>
      </w:r>
    </w:p>
    <w:p>
      <w:pPr>
        <w:spacing w:after="0" w:line="17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1503. </w:t>
      </w:r>
      <w:r>
        <w:rPr>
          <w:rFonts w:ascii="Arial" w:cs="Arial" w:eastAsia="Arial" w:hAnsi="Arial"/>
          <w:sz w:val="17"/>
          <w:szCs w:val="17"/>
          <w:u w:val="single" w:color="auto"/>
          <w:color w:val="auto"/>
        </w:rPr>
        <w:t>Persons Entitled to Vote at Meetings</w:t>
      </w:r>
      <w:r>
        <w:rPr>
          <w:rFonts w:ascii="Arial" w:cs="Arial" w:eastAsia="Arial" w:hAnsi="Arial"/>
          <w:sz w:val="17"/>
          <w:szCs w:val="17"/>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of Holders. The only Persons who shall be entitled to be present or to speak at any meeting of Holders of Securities of any series shall be the Person entitled to vote at such meeting and their counsel, any representatives of the Trustee and its counsel and any representatives of the Company and its counsel.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176" w:name="page177"/>
    <w:bookmarkEnd w:id="176"/>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1504. </w:t>
      </w:r>
      <w:r>
        <w:rPr>
          <w:rFonts w:ascii="Arial" w:cs="Arial" w:eastAsia="Arial" w:hAnsi="Arial"/>
          <w:sz w:val="17"/>
          <w:szCs w:val="17"/>
          <w:u w:val="single" w:color="auto"/>
          <w:color w:val="auto"/>
        </w:rPr>
        <w:t>Quorum; Action</w:t>
      </w:r>
      <w:r>
        <w:rPr>
          <w:rFonts w:ascii="Arial" w:cs="Arial" w:eastAsia="Arial" w:hAnsi="Arial"/>
          <w:sz w:val="17"/>
          <w:szCs w:val="17"/>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79"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such series;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such series.</w:t>
      </w:r>
    </w:p>
    <w:p>
      <w:pPr>
        <w:spacing w:after="0" w:line="177"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2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92" w:lineRule="exact"/>
        <w:rPr>
          <w:sz w:val="20"/>
          <w:szCs w:val="20"/>
          <w:color w:val="auto"/>
        </w:rPr>
      </w:pPr>
    </w:p>
    <w:p>
      <w:pPr>
        <w:ind w:left="1420" w:hanging="439"/>
        <w:spacing w:after="0"/>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ind w:left="1420" w:right="20" w:hanging="439"/>
        <w:spacing w:after="0" w:line="286" w:lineRule="auto"/>
        <w:tabs>
          <w:tab w:leader="none" w:pos="14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177" w:name="page178"/>
    <w:bookmarkEnd w:id="177"/>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1505. </w:t>
      </w:r>
      <w:r>
        <w:rPr>
          <w:rFonts w:ascii="Arial" w:cs="Arial" w:eastAsia="Arial" w:hAnsi="Arial"/>
          <w:sz w:val="17"/>
          <w:szCs w:val="17"/>
          <w:u w:val="single" w:color="auto"/>
          <w:color w:val="auto"/>
        </w:rPr>
        <w:t>Determination of Voting Rights; Conduct and Adjournment of Meetings</w:t>
      </w:r>
      <w:r>
        <w:rPr>
          <w:rFonts w:ascii="Arial" w:cs="Arial" w:eastAsia="Arial" w:hAnsi="Arial"/>
          <w:sz w:val="17"/>
          <w:szCs w:val="17"/>
          <w:color w:val="auto"/>
        </w:rPr>
        <w:t>. 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its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73" w:lineRule="exact"/>
        <w:rPr>
          <w:sz w:val="20"/>
          <w:szCs w:val="20"/>
          <w:color w:val="auto"/>
        </w:rPr>
      </w:pPr>
    </w:p>
    <w:p>
      <w:pPr>
        <w:ind w:left="440" w:right="20" w:firstLine="419"/>
        <w:spacing w:after="0" w:line="257" w:lineRule="auto"/>
        <w:tabs>
          <w:tab w:leader="none" w:pos="11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9" w:lineRule="exact"/>
        <w:rPr>
          <w:rFonts w:ascii="Arial" w:cs="Arial" w:eastAsia="Arial" w:hAnsi="Arial"/>
          <w:sz w:val="18"/>
          <w:szCs w:val="18"/>
          <w:color w:val="auto"/>
        </w:rPr>
      </w:pPr>
    </w:p>
    <w:p>
      <w:pPr>
        <w:ind w:left="440" w:right="140" w:firstLine="419"/>
        <w:spacing w:after="0" w:line="257" w:lineRule="auto"/>
        <w:tabs>
          <w:tab w:leader="none" w:pos="11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any meeting each Holder of a Security of such series or proxy shall be entitled to one vote for each $1,000 principal amount of Outstanding Securities of such series held or represented by him (determined as specified in the definition of “Outstanding” in Section 101);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9" w:lineRule="exact"/>
        <w:rPr>
          <w:rFonts w:ascii="Arial" w:cs="Arial" w:eastAsia="Arial" w:hAnsi="Arial"/>
          <w:sz w:val="18"/>
          <w:szCs w:val="18"/>
          <w:color w:val="auto"/>
        </w:rPr>
      </w:pPr>
    </w:p>
    <w:p>
      <w:pPr>
        <w:ind w:left="440" w:right="120" w:firstLine="419"/>
        <w:spacing w:after="0" w:line="263" w:lineRule="auto"/>
        <w:tabs>
          <w:tab w:leader="none" w:pos="11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4"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Counting Votes and Recording Action of Meetings</w:t>
      </w:r>
      <w:r>
        <w:rPr>
          <w:rFonts w:ascii="Arial" w:cs="Arial" w:eastAsia="Arial" w:hAnsi="Arial"/>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proceedings of each meeting of Holders of Securities of any series shall be prepared by the Secretary of the meeting and there shall be attached to said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record the original reports of the inspectors of votes on any vote by ballot taken thereat and affidavits by one or more persons having knowledge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facts setting forth a copy of the notice of the meeting and showing that said notice was given as provided in Section 1502 and,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1504. Each copy shall be signed and verified by the affidavits of the permanent chairman and secretary of the meeting and one such copy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delivered to the Company, and another to the Trustee to be preserved by the Trustee, the latter to have attached thereto the ballots voted 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meeting. Any record so signed and verified shall be conclusive evidence of the matters therein stated. The provisions of articles 86 to 94.8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Luxembourg law of August 10, 1915 on commercial companies, as amended, are hereby excluded.</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so executed shall be deemed to be an original, but all such counterparts shall together constitute but one and the same Indenture.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40"/>
          </w:cols>
          <w:pgMar w:left="440" w:top="274" w:right="61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Issuer</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740"/>
          </w:cols>
          <w:pgMar w:left="1420" w:top="274" w:right="7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CERTIFICATION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181" w:name="page182"/>
    <w:bookmarkEnd w:id="181"/>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FORM OF CERTIFICATE TO BE GIVEN BY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PERSON ENTITLED TO RECEIVE BEARER SECURITY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 TO OBTAIN INTEREST PAYABLE PRIOR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EXCHANGE DATE</w:t>
      </w:r>
    </w:p>
    <w:p>
      <w:pPr>
        <w:spacing w:after="0" w:line="9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CERTIFICATE</w:t>
      </w:r>
    </w:p>
    <w:p>
      <w:pPr>
        <w:spacing w:after="0" w:line="1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[Insert title or sufficient description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Securities to be delivered]</w:t>
      </w:r>
    </w:p>
    <w:p>
      <w:pPr>
        <w:spacing w:after="0" w:line="21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Tarsus Pharmaceuticals,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2" w:lineRule="exact"/>
        <w:rPr>
          <w:sz w:val="20"/>
          <w:szCs w:val="20"/>
          <w:color w:val="auto"/>
        </w:rPr>
      </w:pPr>
    </w:p>
    <w:p>
      <w:pPr>
        <w:ind w:right="840" w:firstLine="991"/>
        <w:spacing w:after="0" w:line="342" w:lineRule="auto"/>
        <w:rPr>
          <w:sz w:val="20"/>
          <w:szCs w:val="20"/>
          <w:color w:val="auto"/>
        </w:rPr>
      </w:pPr>
      <w:r>
        <w:rPr>
          <w:rFonts w:ascii="Arial" w:cs="Arial" w:eastAsia="Arial" w:hAnsi="Arial"/>
          <w:sz w:val="16"/>
          <w:szCs w:val="16"/>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24"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80"/>
          </w:cols>
          <w:pgMar w:left="440" w:top="270" w:right="479" w:bottom="1440" w:gutter="0" w:footer="0" w:header="0"/>
        </w:sectPr>
      </w:pPr>
    </w:p>
    <w:bookmarkStart w:id="182" w:name="page183"/>
    <w:bookmarkEnd w:id="18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excepts and does not relate to [U.S.$]__________ of such interest in the above-captioned Securities in respect of which we</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15th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prior to (i) the Exchange Date or (ii)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relevant Interest Payment Date occurring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Exchange Date, as applicable]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Person Making Certification]</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80"/>
          </w:cols>
          <w:pgMar w:left="440" w:top="274" w:right="479" w:bottom="1440" w:gutter="0" w:footer="0" w:header="0"/>
        </w:sectPr>
      </w:pPr>
    </w:p>
    <w:bookmarkStart w:id="183" w:name="page184"/>
    <w:bookmarkEnd w:id="18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117" w:lineRule="exact"/>
        <w:rPr>
          <w:sz w:val="20"/>
          <w:szCs w:val="20"/>
          <w:color w:val="auto"/>
        </w:rPr>
      </w:pPr>
    </w:p>
    <w:p>
      <w:pPr>
        <w:ind w:left="3384"/>
        <w:spacing w:after="0"/>
        <w:rPr>
          <w:sz w:val="20"/>
          <w:szCs w:val="20"/>
          <w:color w:val="auto"/>
        </w:rPr>
      </w:pPr>
      <w:r>
        <w:rPr>
          <w:rFonts w:ascii="Arial" w:cs="Arial" w:eastAsia="Arial" w:hAnsi="Arial"/>
          <w:sz w:val="18"/>
          <w:szCs w:val="18"/>
          <w:b w:val="1"/>
          <w:bCs w:val="1"/>
          <w:color w:val="auto"/>
        </w:rPr>
        <w:t>FORM OF CERTIFICATE TO BE GIVEN BY [_____]</w:t>
      </w:r>
    </w:p>
    <w:p>
      <w:pPr>
        <w:spacing w:after="0" w:line="27"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AND [_________] IN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CONNECTION WITH THE EXCHANGE OF A PORTION OF 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TEMPORARY GLOBAL SECURITY OR TO OBTAIN INTEREST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PAYABLE PRIOR TO THE EXCHANGE DATE</w:t>
      </w:r>
    </w:p>
    <w:p>
      <w:pPr>
        <w:spacing w:after="0" w:line="99" w:lineRule="exact"/>
        <w:rPr>
          <w:sz w:val="20"/>
          <w:szCs w:val="20"/>
          <w:color w:val="auto"/>
        </w:rPr>
      </w:pPr>
    </w:p>
    <w:p>
      <w:pPr>
        <w:ind w:left="4884"/>
        <w:spacing w:after="0"/>
        <w:rPr>
          <w:sz w:val="20"/>
          <w:szCs w:val="20"/>
          <w:color w:val="auto"/>
        </w:rPr>
      </w:pPr>
      <w:r>
        <w:rPr>
          <w:rFonts w:ascii="Arial" w:cs="Arial" w:eastAsia="Arial" w:hAnsi="Arial"/>
          <w:sz w:val="18"/>
          <w:szCs w:val="18"/>
          <w:b w:val="1"/>
          <w:bCs w:val="1"/>
          <w:color w:val="auto"/>
        </w:rPr>
        <w:t>CERTIFICATE</w:t>
      </w:r>
    </w:p>
    <w:p>
      <w:pPr>
        <w:spacing w:after="0" w:line="121" w:lineRule="exact"/>
        <w:rPr>
          <w:sz w:val="20"/>
          <w:szCs w:val="20"/>
          <w:color w:val="auto"/>
        </w:rPr>
      </w:pPr>
    </w:p>
    <w:p>
      <w:pPr>
        <w:ind w:left="4224"/>
        <w:spacing w:after="0"/>
        <w:rPr>
          <w:sz w:val="20"/>
          <w:szCs w:val="20"/>
          <w:color w:val="auto"/>
        </w:rPr>
      </w:pPr>
      <w:r>
        <w:rPr>
          <w:rFonts w:ascii="Arial" w:cs="Arial" w:eastAsia="Arial" w:hAnsi="Arial"/>
          <w:sz w:val="18"/>
          <w:szCs w:val="18"/>
          <w:color w:val="auto"/>
        </w:rPr>
        <w:t>[Insert title or sufficient description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 Securities to be delivered]</w:t>
      </w:r>
    </w:p>
    <w:p>
      <w:pPr>
        <w:spacing w:after="0" w:line="211"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[U.S.$]__________ principal amount of the above-captioned Securities (i) is owned by</w:t>
      </w:r>
    </w:p>
    <w:p>
      <w:pPr>
        <w:spacing w:after="0" w:line="2"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person(s) that are not citizens or residents of the United States, domestic partnerships, domestic corporations or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Tarsus Pharmaceuticals,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6" w:lineRule="exact"/>
        <w:rPr>
          <w:sz w:val="20"/>
          <w:szCs w:val="20"/>
          <w:color w:val="auto"/>
        </w:rPr>
      </w:pPr>
    </w:p>
    <w:p>
      <w:pPr>
        <w:ind w:left="4" w:right="280" w:hanging="4"/>
        <w:spacing w:after="0" w:line="260" w:lineRule="auto"/>
        <w:tabs>
          <w:tab w:leader="none" w:pos="21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ind w:left="4" w:right="860" w:firstLine="991"/>
        <w:spacing w:after="0" w:line="342" w:lineRule="auto"/>
        <w:rPr>
          <w:sz w:val="20"/>
          <w:szCs w:val="20"/>
          <w:color w:val="auto"/>
        </w:rPr>
      </w:pPr>
      <w:r>
        <w:rPr>
          <w:rFonts w:ascii="Arial" w:cs="Arial" w:eastAsia="Arial" w:hAnsi="Arial"/>
          <w:sz w:val="16"/>
          <w:szCs w:val="16"/>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04"/>
          </w:cols>
          <w:pgMar w:left="436" w:top="270" w:right="459" w:bottom="1440" w:gutter="0" w:footer="0" w:header="0"/>
        </w:sectPr>
      </w:pPr>
    </w:p>
    <w:bookmarkStart w:id="184" w:name="page185"/>
    <w:bookmarkEnd w:id="184"/>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or the relevant Interest 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occurring prior to the Exchange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80"/>
          </w:cols>
          <w:pgMar w:left="440" w:top="274" w:right="4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582930</wp:posOffset>
            </wp:positionV>
            <wp:extent cx="2314575" cy="3346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2314575" cy="33464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171450</wp:posOffset>
            </wp:positionV>
            <wp:extent cx="805815" cy="1157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80581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15440 Laguna Canyon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color w:val="auto"/>
        </w:rPr>
        <w:t>We have acted as counsel to Tarsus Pharmaceuticals,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filing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 connection with the registration pursuant to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the Securities (as defined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Registration Statement relates to the proposed issuance and sale by the Company, from time to time, pursuant to Rule 415 under the Act,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Registration Statement, the prospectus contained therein (the “</w:t>
      </w:r>
      <w:r>
        <w:rPr>
          <w:rFonts w:ascii="Arial" w:cs="Arial" w:eastAsia="Arial" w:hAnsi="Arial"/>
          <w:sz w:val="16"/>
          <w:szCs w:val="16"/>
          <w:b w:val="1"/>
          <w:bCs w:val="1"/>
          <w:color w:val="auto"/>
        </w:rPr>
        <w:t>Prospectus</w:t>
      </w:r>
      <w:r>
        <w:rPr>
          <w:rFonts w:ascii="Arial" w:cs="Arial" w:eastAsia="Arial" w:hAnsi="Arial"/>
          <w:sz w:val="16"/>
          <w:szCs w:val="16"/>
          <w:color w:val="auto"/>
        </w:rPr>
        <w:t>”) and the supplements to the prospectus referred to therein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Supplement</w:t>
      </w:r>
      <w:r>
        <w:rPr>
          <w:rFonts w:ascii="Arial" w:cs="Arial" w:eastAsia="Arial" w:hAnsi="Arial"/>
          <w:sz w:val="16"/>
          <w:szCs w:val="16"/>
          <w:color w:val="auto"/>
        </w:rPr>
        <w:t>”), of up to an aggregate offering price of $300,000,000, or the equivalent thereof, of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shares of the Company’s preferred stock, $0.0001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warrants to purchase any of the securities described above (the “</w:t>
      </w:r>
      <w:r>
        <w:rPr>
          <w:rFonts w:ascii="Arial" w:cs="Arial" w:eastAsia="Arial" w:hAnsi="Arial"/>
          <w:sz w:val="16"/>
          <w:szCs w:val="16"/>
          <w:b w:val="1"/>
          <w:bCs w:val="1"/>
          <w:color w:val="auto"/>
        </w:rPr>
        <w:t>Warrants</w:t>
      </w:r>
      <w:r>
        <w:rPr>
          <w:rFonts w:ascii="Arial" w:cs="Arial" w:eastAsia="Arial" w:hAnsi="Arial"/>
          <w:sz w:val="16"/>
          <w:szCs w:val="16"/>
          <w:color w:val="auto"/>
        </w:rPr>
        <w:t>”), and Units comprised of one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more of the shares of Common Stock or Preferred Stock, Debt Securities or Warrants (the “</w:t>
      </w:r>
      <w:r>
        <w:rPr>
          <w:rFonts w:ascii="Arial" w:cs="Arial" w:eastAsia="Arial" w:hAnsi="Arial"/>
          <w:sz w:val="17"/>
          <w:szCs w:val="17"/>
          <w:b w:val="1"/>
          <w:bCs w:val="1"/>
          <w:color w:val="auto"/>
        </w:rPr>
        <w:t>Units</w:t>
      </w:r>
      <w:r>
        <w:rPr>
          <w:rFonts w:ascii="Arial" w:cs="Arial" w:eastAsia="Arial" w:hAnsi="Arial"/>
          <w:sz w:val="17"/>
          <w:szCs w:val="17"/>
          <w:color w:val="auto"/>
        </w:rPr>
        <w:t>”, together with the Common Stock, the Preferred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 the Debt Securities or the Warrants,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Securities are to be sold from time to time as set forth in the Registration Statement, the Prospectus contained therein and the Prospectus Supplements. The Debt Securities are to be issued in one or more series pursuant to an indenture (including any officer’s certificate or supplemental indenture used to issue the Debt Securities, the “</w:t>
      </w:r>
      <w:r>
        <w:rPr>
          <w:rFonts w:ascii="Arial" w:cs="Arial" w:eastAsia="Arial" w:hAnsi="Arial"/>
          <w:sz w:val="17"/>
          <w:szCs w:val="17"/>
          <w:b w:val="1"/>
          <w:bCs w:val="1"/>
          <w:color w:val="auto"/>
        </w:rPr>
        <w:t>Indenture</w:t>
      </w:r>
      <w:r>
        <w:rPr>
          <w:rFonts w:ascii="Arial" w:cs="Arial" w:eastAsia="Arial" w:hAnsi="Arial"/>
          <w:sz w:val="17"/>
          <w:szCs w:val="17"/>
          <w:color w:val="auto"/>
        </w:rPr>
        <w:t>”) to be entered into between the Company and a bank or trust company to be named in the Indenture and duly qualified under the Trust Indenture Act of 1939, as amended (the “</w:t>
      </w:r>
      <w:r>
        <w:rPr>
          <w:rFonts w:ascii="Arial" w:cs="Arial" w:eastAsia="Arial" w:hAnsi="Arial"/>
          <w:sz w:val="17"/>
          <w:szCs w:val="17"/>
          <w:b w:val="1"/>
          <w:bCs w:val="1"/>
          <w:color w:val="auto"/>
        </w:rPr>
        <w:t>Trust Indenture Act</w:t>
      </w:r>
      <w:r>
        <w:rPr>
          <w:rFonts w:ascii="Arial" w:cs="Arial" w:eastAsia="Arial" w:hAnsi="Arial"/>
          <w:sz w:val="17"/>
          <w:szCs w:val="17"/>
          <w:color w:val="auto"/>
        </w:rPr>
        <w:t>”),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form of which is filed as an exhibit to the Registration Statement. The Warrants will be issued pursuant to a warrant agreement (each, a “</w:t>
      </w:r>
      <w:r>
        <w:rPr>
          <w:rFonts w:ascii="Arial" w:cs="Arial" w:eastAsia="Arial" w:hAnsi="Arial"/>
          <w:sz w:val="17"/>
          <w:szCs w:val="17"/>
          <w:b w:val="1"/>
          <w:bCs w:val="1"/>
          <w:color w:val="auto"/>
        </w:rPr>
        <w:t>Warrant Agreement</w:t>
      </w:r>
      <w:r>
        <w:rPr>
          <w:rFonts w:ascii="Arial" w:cs="Arial" w:eastAsia="Arial" w:hAnsi="Arial"/>
          <w:sz w:val="17"/>
          <w:szCs w:val="17"/>
          <w:color w:val="auto"/>
        </w:rPr>
        <w:t>”) to be entered into between the Company and a bank or trust company, as warrant agent (each, a “</w:t>
      </w:r>
      <w:r>
        <w:rPr>
          <w:rFonts w:ascii="Arial" w:cs="Arial" w:eastAsia="Arial" w:hAnsi="Arial"/>
          <w:sz w:val="17"/>
          <w:szCs w:val="17"/>
          <w:b w:val="1"/>
          <w:bCs w:val="1"/>
          <w:color w:val="auto"/>
        </w:rPr>
        <w:t>Warrant Agent</w:t>
      </w:r>
      <w:r>
        <w:rPr>
          <w:rFonts w:ascii="Arial" w:cs="Arial" w:eastAsia="Arial" w:hAnsi="Arial"/>
          <w:sz w:val="17"/>
          <w:szCs w:val="17"/>
          <w:color w:val="auto"/>
        </w:rPr>
        <w:t>”), which will be in a form to be filed as an exhibit to a post-effective amendment to the Registration Statement or a Current Report on Form 8-K incorporated in such Registration Statement by reference.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Arial" w:cs="Arial" w:eastAsia="Arial" w:hAnsi="Arial"/>
          <w:sz w:val="17"/>
          <w:szCs w:val="17"/>
          <w:b w:val="1"/>
          <w:bCs w:val="1"/>
          <w:color w:val="auto"/>
        </w:rPr>
        <w:t>Certificate of Designation</w:t>
      </w:r>
      <w:r>
        <w:rPr>
          <w:rFonts w:ascii="Arial" w:cs="Arial" w:eastAsia="Arial" w:hAnsi="Arial"/>
          <w:sz w:val="17"/>
          <w:szCs w:val="17"/>
          <w:color w:val="auto"/>
        </w:rPr>
        <w:t>”), which will be in a form to be filed as an exhibit to a post-effective amendment to the Registration Statement or a Current Report on Form 8-K incorporated in such Registration Statement by reference.</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w:t>
      </w:r>
    </w:p>
    <w:p>
      <w:pPr>
        <w:sectPr>
          <w:pgSz w:w="11900" w:h="16838" w:orient="portrait"/>
          <w:cols w:equalWidth="0" w:num="1">
            <w:col w:w="11020"/>
          </w:cols>
          <w:pgMar w:left="440" w:top="121" w:right="439" w:bottom="1440" w:gutter="0" w:footer="0" w:header="0"/>
        </w:sectPr>
      </w:pPr>
    </w:p>
    <w:bookmarkStart w:id="186" w:name="page187"/>
    <w:bookmarkEnd w:id="18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Prospectus Supplement will have been filed with the Commission describing the Securities offered thereby; (vi) that the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that the Indenture will be the legal, valid and binding obligation of each party thereto, other than the Company, enforceable against each such party in accordance with its terms, and will be duly qualified under the Trust Indenture Act, and that the applicable Trustee will be duly eligible to serve as trustee; (x) with respect to shares of Common Stock or Preferred Stock offered, that there will be sufficient shares of Common Stock or Preferred Stock authorized under the Company’s organizational documents that are not otherwise reserved for issuance; and (xi)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on such examination, we are of the opinion that:</w:t>
      </w:r>
    </w:p>
    <w:p>
      <w:pPr>
        <w:spacing w:after="0" w:line="131" w:lineRule="exact"/>
        <w:rPr>
          <w:sz w:val="20"/>
          <w:szCs w:val="20"/>
          <w:color w:val="auto"/>
        </w:rPr>
      </w:pPr>
    </w:p>
    <w:p>
      <w:pPr>
        <w:ind w:left="424" w:right="580" w:hanging="424"/>
        <w:spacing w:after="0" w:line="287" w:lineRule="auto"/>
        <w:tabs>
          <w:tab w:leader="none" w:pos="42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 respect to shares of the Common Stock to be sold by the Company, when both: (a) the Board of Directors of the Company or a duly constituted and acting committee thereof (such Board of Directors or committee being hereinafter referred to as the “</w:t>
      </w:r>
      <w:r>
        <w:rPr>
          <w:rFonts w:ascii="Arial" w:cs="Arial" w:eastAsia="Arial" w:hAnsi="Arial"/>
          <w:sz w:val="16"/>
          <w:szCs w:val="16"/>
          <w:b w:val="1"/>
          <w:bCs w:val="1"/>
          <w:color w:val="auto"/>
        </w:rPr>
        <w:t>Board</w:t>
      </w:r>
      <w:r>
        <w:rPr>
          <w:rFonts w:ascii="Arial" w:cs="Arial" w:eastAsia="Arial" w:hAnsi="Arial"/>
          <w:sz w:val="16"/>
          <w:szCs w:val="16"/>
          <w:color w:val="auto"/>
        </w:rPr>
        <w:t>”) has taken all necessary corporate action to approve the issuance and the terms of the offering of the shares of Common Stock and related matters; and</w:t>
      </w:r>
    </w:p>
    <w:p>
      <w:pPr>
        <w:spacing w:after="0" w:line="2" w:lineRule="exact"/>
        <w:rPr>
          <w:rFonts w:ascii="Arial" w:cs="Arial" w:eastAsia="Arial" w:hAnsi="Arial"/>
          <w:sz w:val="16"/>
          <w:szCs w:val="16"/>
          <w:color w:val="auto"/>
        </w:rPr>
      </w:pPr>
    </w:p>
    <w:p>
      <w:pPr>
        <w:ind w:left="424" w:right="20"/>
        <w:spacing w:after="0" w:line="252" w:lineRule="auto"/>
        <w:rPr>
          <w:rFonts w:ascii="Arial" w:cs="Arial" w:eastAsia="Arial" w:hAnsi="Arial"/>
          <w:sz w:val="16"/>
          <w:szCs w:val="16"/>
          <w:color w:val="auto"/>
        </w:rPr>
      </w:pPr>
      <w:r>
        <w:rPr>
          <w:rFonts w:ascii="Arial" w:cs="Arial" w:eastAsia="Arial" w:hAnsi="Arial"/>
          <w:sz w:val="18"/>
          <w:szCs w:val="18"/>
          <w:color w:val="auto"/>
        </w:rPr>
        <w:t>(b)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99" w:lineRule="exact"/>
        <w:rPr>
          <w:rFonts w:ascii="Arial" w:cs="Arial" w:eastAsia="Arial" w:hAnsi="Arial"/>
          <w:sz w:val="16"/>
          <w:szCs w:val="16"/>
          <w:color w:val="auto"/>
        </w:rPr>
      </w:pPr>
    </w:p>
    <w:p>
      <w:pPr>
        <w:ind w:left="424" w:hanging="424"/>
        <w:spacing w:after="0" w:line="270" w:lineRule="auto"/>
        <w:tabs>
          <w:tab w:leader="none" w:pos="42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Arial" w:cs="Arial" w:eastAsia="Arial" w:hAnsi="Arial"/>
          <w:sz w:val="17"/>
          <w:szCs w:val="17"/>
          <w:b w:val="1"/>
          <w:bCs w:val="1"/>
          <w:color w:val="auto"/>
        </w:rPr>
        <w:t>Certificate</w:t>
      </w:r>
      <w:r>
        <w:rPr>
          <w:rFonts w:ascii="Arial" w:cs="Arial" w:eastAsia="Arial" w:hAnsi="Arial"/>
          <w:sz w:val="17"/>
          <w:szCs w:val="17"/>
          <w:color w:val="auto"/>
        </w:rPr>
        <w:t>”)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86" w:lineRule="exact"/>
        <w:rPr>
          <w:rFonts w:ascii="Arial" w:cs="Arial" w:eastAsia="Arial" w:hAnsi="Arial"/>
          <w:sz w:val="17"/>
          <w:szCs w:val="17"/>
          <w:color w:val="auto"/>
        </w:rPr>
      </w:pPr>
    </w:p>
    <w:p>
      <w:pPr>
        <w:ind w:left="424" w:right="80" w:hanging="424"/>
        <w:spacing w:after="0" w:line="277" w:lineRule="auto"/>
        <w:tabs>
          <w:tab w:leader="none" w:pos="4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the Indenture, when the Indenture has been duly authorized, executed and delivered by the Company, the Indenture will constitute a legal, valid and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424" w:right="220" w:hanging="424"/>
        <w:spacing w:after="0" w:line="254" w:lineRule="auto"/>
        <w:tabs>
          <w:tab w:leader="none" w:pos="4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the Debt Securities to be issued under the Indenture, when (a)(i) the terms of the Debt Securities have been duly established and authorized by the Company, (ii) the Indenture has been duly executed and delivered by the Company, (iii) the issuance and sale of the Debt Securities has been duly authorized by all necessary action (corporate or otherwise) and (iv) the Debt Securities have been duly executed by the Company and duly authenticated by the Trustee in accordance with the terms of the Indenture, and delivered to the purchasers thereof against payment of the consideration therefor duly approved by the Company, the Debt Securities will constitute legal, valid and binding obligations of the Company, enforceable against the Company in accordance with their terms and (b) when the Debt Securities to be offered and issued by the Company upon</w:t>
      </w:r>
    </w:p>
    <w:p>
      <w:pPr>
        <w:sectPr>
          <w:pgSz w:w="11900" w:h="16838" w:orient="portrait"/>
          <w:cols w:equalWidth="0" w:num="1">
            <w:col w:w="11004"/>
          </w:cols>
          <w:pgMar w:left="436" w:top="274" w:right="459" w:bottom="1440" w:gutter="0" w:footer="0" w:header="0"/>
        </w:sectPr>
      </w:pPr>
    </w:p>
    <w:bookmarkStart w:id="187" w:name="page188"/>
    <w:bookmarkEnd w:id="18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24" w:right="400"/>
        <w:spacing w:after="0" w:line="263" w:lineRule="auto"/>
        <w:rPr>
          <w:sz w:val="20"/>
          <w:szCs w:val="20"/>
          <w:color w:val="auto"/>
        </w:rPr>
      </w:pPr>
      <w:r>
        <w:rPr>
          <w:rFonts w:ascii="Arial" w:cs="Arial" w:eastAsia="Arial" w:hAnsi="Arial"/>
          <w:sz w:val="18"/>
          <w:szCs w:val="18"/>
          <w:color w:val="auto"/>
        </w:rPr>
        <w:t>exercise of the Warrants have been issued by the Company against payment in full of the consideration and in accordance with the applicable Warrant and the Indenture, the Debt Securities will be duly authorized and legal, valid and binding obligations of the Company, enforceable against the Company in accordance with their terms;</w:t>
      </w:r>
    </w:p>
    <w:p>
      <w:pPr>
        <w:spacing w:after="0" w:line="89" w:lineRule="exact"/>
        <w:rPr>
          <w:sz w:val="20"/>
          <w:szCs w:val="20"/>
          <w:color w:val="auto"/>
        </w:rPr>
      </w:pPr>
    </w:p>
    <w:p>
      <w:pPr>
        <w:ind w:left="424" w:right="120" w:hanging="424"/>
        <w:spacing w:after="0" w:line="296" w:lineRule="auto"/>
        <w:tabs>
          <w:tab w:leader="none" w:pos="42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w:t>
      </w:r>
    </w:p>
    <w:p>
      <w:pPr>
        <w:spacing w:after="0" w:line="66" w:lineRule="exact"/>
        <w:rPr>
          <w:rFonts w:ascii="Arial" w:cs="Arial" w:eastAsia="Arial" w:hAnsi="Arial"/>
          <w:sz w:val="16"/>
          <w:szCs w:val="16"/>
          <w:color w:val="auto"/>
        </w:rPr>
      </w:pPr>
    </w:p>
    <w:p>
      <w:pPr>
        <w:ind w:left="424" w:right="140" w:hanging="424"/>
        <w:spacing w:after="0" w:line="254" w:lineRule="auto"/>
        <w:tabs>
          <w:tab w:leader="none" w:pos="42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the Units, when both: (a) the Board has taken all necessary corporate action to approve the issuance and terms of the Units, the terms of the offering thereof, and related matters, including the adoption of a unit agreement, as applicable; and (b) the Units have been duly executed, authenticated, issued and delivered against payment therefor in accordance with the terms of the applicable unit agreement and in the manner contemplated by the applicable Prospectus Supplement and by such corporate action (assuming the securities issuable upon exercise of such Units have been duly authorized and reserved for issuance by all necessary corporate action and the applicable Indenture and Debt Securities have been duly executed by the Company and such Debt Securities have been authenticated by the applicable Trustee in accordance with the Indenture), then the Units will be legally valid and binding obligations of the Company, enforceable against the Company in accordance with their terms.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131" w:lineRule="exact"/>
        <w:rPr>
          <w:sz w:val="20"/>
          <w:szCs w:val="20"/>
          <w:color w:val="auto"/>
        </w:rPr>
      </w:pPr>
    </w:p>
    <w:p>
      <w:pPr>
        <w:ind w:left="964" w:right="140" w:hanging="532"/>
        <w:spacing w:after="0" w:line="277" w:lineRule="auto"/>
        <w:tabs>
          <w:tab w:leader="none" w:pos="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130" w:lineRule="exact"/>
        <w:rPr>
          <w:rFonts w:ascii="Arial" w:cs="Arial" w:eastAsia="Arial" w:hAnsi="Arial"/>
          <w:sz w:val="18"/>
          <w:szCs w:val="18"/>
          <w:color w:val="auto"/>
        </w:rPr>
      </w:pPr>
    </w:p>
    <w:p>
      <w:pPr>
        <w:jc w:val="both"/>
        <w:ind w:left="964" w:right="440" w:hanging="532"/>
        <w:spacing w:after="0" w:line="263" w:lineRule="auto"/>
        <w:tabs>
          <w:tab w:leader="none" w:pos="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4"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We express no opinion as to the laws of any other jurisdiction, other than the Federal laws of the United States of America, the laws of the State of New York (including in each case the rules or regulations promulgated thereunder or pursuant thereto) and the Delaware General Corporation Law.</w:t>
      </w:r>
    </w:p>
    <w:p>
      <w:pPr>
        <w:spacing w:after="0" w:line="124"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Gunderson Dettmer Stough Villeneuve Franklin &amp; Hachigian, LLP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GUNDERSON DETTMER STOUGH VILLENEUVE FRANKLIN &amp; HACHIGIAN, LLP</w:t>
      </w:r>
    </w:p>
    <w:p>
      <w:pPr>
        <w:sectPr>
          <w:pgSz w:w="11900" w:h="16838" w:orient="portrait"/>
          <w:cols w:equalWidth="0" w:num="1">
            <w:col w:w="11004"/>
          </w:cols>
          <w:pgMar w:left="436" w:top="274" w:right="4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2245995" cy="3340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2245995" cy="33401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171450</wp:posOffset>
            </wp:positionV>
            <wp:extent cx="763270" cy="10972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6327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acted as counsel to Tarsus Pharmaceuticals,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you have requested our opinion with respect to certain matters in connection with the offering by the Company of the number of authorized but unissued shares having aggregate sale proceeds of up to $100 million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par value $0.0001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to be issued pursuant to the Registration Statement on Form S-3 filed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related prospectus, included 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related at-the-market offering prospectus (the “</w:t>
      </w:r>
      <w:r>
        <w:rPr>
          <w:rFonts w:ascii="Arial" w:cs="Arial" w:eastAsia="Arial" w:hAnsi="Arial"/>
          <w:sz w:val="16"/>
          <w:szCs w:val="16"/>
          <w:b w:val="1"/>
          <w:bCs w:val="1"/>
          <w:i w:val="1"/>
          <w:iCs w:val="1"/>
          <w:color w:val="auto"/>
        </w:rPr>
        <w:t>ATM Prospectus</w:t>
      </w:r>
      <w:r>
        <w:rPr>
          <w:rFonts w:ascii="Arial" w:cs="Arial" w:eastAsia="Arial" w:hAnsi="Arial"/>
          <w:sz w:val="16"/>
          <w:szCs w:val="16"/>
          <w:color w:val="auto"/>
        </w:rPr>
        <w:t>”) and that certain Open Market Sale Agreement</w:t>
      </w:r>
      <w:r>
        <w:rPr>
          <w:rFonts w:ascii="Arial" w:cs="Arial" w:eastAsia="Arial" w:hAnsi="Arial"/>
          <w:sz w:val="13"/>
          <w:szCs w:val="13"/>
          <w:color w:val="auto"/>
        </w:rPr>
        <w:t>SM</w:t>
      </w:r>
      <w:r>
        <w:rPr>
          <w:rFonts w:ascii="Arial" w:cs="Arial" w:eastAsia="Arial" w:hAnsi="Arial"/>
          <w:sz w:val="16"/>
          <w:szCs w:val="16"/>
          <w:color w:val="auto"/>
        </w:rPr>
        <w:t>, dated November 1, 2021 by and between the Company and Jefferies LLC (the “</w:t>
      </w:r>
      <w:r>
        <w:rPr>
          <w:rFonts w:ascii="Arial" w:cs="Arial" w:eastAsia="Arial" w:hAnsi="Arial"/>
          <w:sz w:val="16"/>
          <w:szCs w:val="16"/>
          <w:b w:val="1"/>
          <w:bCs w:val="1"/>
          <w:i w:val="1"/>
          <w:iCs w:val="1"/>
          <w:color w:val="auto"/>
        </w:rPr>
        <w:t>Sale Agreement</w:t>
      </w:r>
      <w:r>
        <w:rPr>
          <w:rFonts w:ascii="Arial" w:cs="Arial" w:eastAsia="Arial" w:hAnsi="Arial"/>
          <w:sz w:val="16"/>
          <w:szCs w:val="16"/>
          <w:color w:val="auto"/>
        </w:rPr>
        <w:t>”). The Base Prospectus and the ATM Prospectus are collectively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in accordance with the Sale Agreement, as described in the ATM Prospectus.</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by all parties other than the Company of all documents where due execution and delivery are a prerequisite to the effectiveness thereof.</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General Corporation Law of the State of Delaware and we express no opinion with respect to any other laws.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6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Subject to the foregoing and the other matters set forth herein, it is our opinion that, when the Shares to be issued and sold by the Company are issued and paid for in accordance with the terms of the Sale Agreement,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119380</wp:posOffset>
            </wp:positionV>
            <wp:extent cx="3823335" cy="3257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3823335" cy="3257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89" w:name="page190"/>
    <w:bookmarkEnd w:id="18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consent to the reference to our firm under the caption “Legal Matters” in the ATM Prospectus and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Gunderson Dettmer Stough Villeneuve Franklin &amp; Hachigian,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GUNDERSON DETTMER STOUGH VILLENEUVE FRANKLIN &amp; HACHIGIAN, LLP</w:t>
      </w:r>
    </w:p>
    <w:p>
      <w:pPr>
        <w:sectPr>
          <w:pgSz w:w="11900" w:h="16838" w:orient="portrait"/>
          <w:cols w:equalWidth="0" w:num="1">
            <w:col w:w="10700"/>
          </w:cols>
          <w:pgMar w:left="440" w:top="274" w:right="7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reference of our firm under the caption “Experts” in the Registration Statement on Form S-3 and related Prospectus of Tarsus Pharmaceuticals, Inc. for the registration of up to $300,000,000 of its common stock, preferred stock, debt securities, warrants and units and to the incorporation by reference therein of our report dated March 31, 2021, with respect to the financial statements of Tarsus Pharmaceuticals, Inc. included in its Annual Report (Form 10-K) for the year ended December 31, 2020, filed with the Securities and Exchange Commission.</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1)"/>
      <w:numFmt w:val="lowerLetter"/>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decimal"/>
      <w:start w:val="949"/>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1)"/>
      <w:numFmt w:val="lowerRoman"/>
      <w:start w:val="2"/>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2DF6D648"/>
    <w:multiLevelType w:val="hybridMultilevel"/>
    <w:lvl w:ilvl="0">
      <w:lvlJc w:val="left"/>
      <w:lvlText w:val="(%1)"/>
      <w:numFmt w:val="decimal"/>
      <w:start w:val="2"/>
    </w:lvl>
    <w:lvl w:ilvl="1">
      <w:lvlJc w:val="left"/>
      <w:lvlText w:val="(%2)"/>
      <w:numFmt w:val="upperLetter"/>
      <w:start w:val="1"/>
    </w:lvl>
  </w:abstractNum>
  <w:abstractNum w:abstractNumId="35">
    <w:nsid w:val="46B7D447"/>
    <w:multiLevelType w:val="hybridMultilevel"/>
    <w:lvl w:ilvl="0">
      <w:lvlJc w:val="left"/>
      <w:lvlText w:val="(%1)"/>
      <w:numFmt w:val="decimal"/>
      <w:start w:val="5"/>
    </w:lvl>
    <w:lvl w:ilvl="1">
      <w:lvlJc w:val="left"/>
      <w:lvlText w:val="(%2)"/>
      <w:numFmt w:val="lowerRoman"/>
      <w:start w:val="1"/>
    </w:lvl>
  </w:abstractNum>
  <w:abstractNum w:abstractNumId="36">
    <w:nsid w:val="4A2AC315"/>
    <w:multiLevelType w:val="hybridMultilevel"/>
    <w:lvl w:ilvl="0">
      <w:lvlJc w:val="left"/>
      <w:lvlText w:val="(%1)"/>
      <w:numFmt w:val="lowerLetter"/>
      <w:start w:val="1"/>
    </w:lvl>
  </w:abstractNum>
  <w:abstractNum w:abstractNumId="37">
    <w:nsid w:val="39EE015C"/>
    <w:multiLevelType w:val="hybridMultilevel"/>
    <w:lvl w:ilvl="0">
      <w:lvlJc w:val="left"/>
      <w:lvlText w:val="(%1)"/>
      <w:numFmt w:val="lowerLetter"/>
      <w:start w:val="1"/>
    </w:lvl>
  </w:abstractNum>
  <w:abstractNum w:abstractNumId="38">
    <w:nsid w:val="57FC4FBB"/>
    <w:multiLevelType w:val="hybridMultilevel"/>
    <w:lvl w:ilvl="0">
      <w:lvlJc w:val="left"/>
      <w:lvlText w:val="(%1)"/>
      <w:numFmt w:val="lowerLetter"/>
      <w:start w:val="2"/>
    </w:lvl>
  </w:abstractNum>
  <w:abstractNum w:abstractNumId="39">
    <w:nsid w:val="CC1016F"/>
    <w:multiLevelType w:val="hybridMultilevel"/>
    <w:lvl w:ilvl="0">
      <w:lvlJc w:val="left"/>
      <w:lvlText w:val="(%1)"/>
      <w:numFmt w:val="lowerLetter"/>
      <w:start w:val="3"/>
    </w:lvl>
  </w:abstractNum>
  <w:abstractNum w:abstractNumId="40">
    <w:nsid w:val="43F18422"/>
    <w:multiLevelType w:val="hybridMultilevel"/>
    <w:lvl w:ilvl="0">
      <w:lvlJc w:val="left"/>
      <w:lvlText w:val="(%1)"/>
      <w:numFmt w:val="lowerLetter"/>
      <w:start w:val="4"/>
    </w:lvl>
  </w:abstractNum>
  <w:abstractNum w:abstractNumId="41">
    <w:nsid w:val="60EF0119"/>
    <w:multiLevelType w:val="hybridMultilevel"/>
    <w:lvl w:ilvl="0">
      <w:lvlJc w:val="left"/>
      <w:lvlText w:val="(%1)"/>
      <w:numFmt w:val="lowerLetter"/>
      <w:start w:val="9"/>
    </w:lvl>
  </w:abstractNum>
  <w:abstractNum w:abstractNumId="42">
    <w:nsid w:val="26F324BA"/>
    <w:multiLevelType w:val="hybridMultilevel"/>
    <w:lvl w:ilvl="0">
      <w:lvlJc w:val="left"/>
      <w:lvlText w:val="(%1)"/>
      <w:numFmt w:val="lowerLetter"/>
      <w:start w:val="12"/>
    </w:lvl>
  </w:abstractNum>
  <w:abstractNum w:abstractNumId="43">
    <w:nsid w:val="7F01579B"/>
    <w:multiLevelType w:val="hybridMultilevel"/>
    <w:lvl w:ilvl="0">
      <w:lvlJc w:val="left"/>
      <w:lvlText w:val="(%1)"/>
      <w:numFmt w:val="lowerLetter"/>
      <w:start w:val="18"/>
    </w:lvl>
  </w:abstractNum>
  <w:abstractNum w:abstractNumId="44">
    <w:nsid w:val="49DA307D"/>
    <w:multiLevelType w:val="hybridMultilevel"/>
    <w:lvl w:ilvl="0">
      <w:lvlJc w:val="left"/>
      <w:lvlText w:val="(%1)"/>
      <w:numFmt w:val="lowerLetter"/>
      <w:start w:val="21"/>
    </w:lvl>
  </w:abstractNum>
  <w:abstractNum w:abstractNumId="45">
    <w:nsid w:val="7055A5F5"/>
    <w:multiLevelType w:val="hybridMultilevel"/>
    <w:lvl w:ilvl="0">
      <w:lvlJc w:val="left"/>
      <w:lvlText w:val="(%1)"/>
      <w:numFmt w:val="lowerLetter"/>
      <w:start w:val="24"/>
    </w:lvl>
  </w:abstractNum>
  <w:abstractNum w:abstractNumId="46">
    <w:nsid w:val="5FB8370B"/>
    <w:multiLevelType w:val="hybridMultilevel"/>
    <w:lvl w:ilvl="0">
      <w:lvlJc w:val="left"/>
      <w:lvlText w:val="%1"/>
      <w:numFmt w:val="upperLetter"/>
      <w:start w:val="1"/>
    </w:lvl>
    <w:lvl w:ilvl="1">
      <w:lvlJc w:val="left"/>
      <w:lvlText w:val="(%2)"/>
      <w:numFmt w:val="lowerLetter"/>
      <w:start w:val="26"/>
    </w:lvl>
  </w:abstractNum>
  <w:abstractNum w:abstractNumId="47">
    <w:nsid w:val="50801EE1"/>
    <w:multiLevelType w:val="hybridMultilevel"/>
    <w:lvl w:ilvl="0">
      <w:lvlJc w:val="left"/>
      <w:lvlText w:val="(%1)"/>
      <w:numFmt w:val="upperLetter"/>
      <w:start w:val="1"/>
    </w:lvl>
    <w:lvl w:ilvl="1">
      <w:lvlJc w:val="left"/>
      <w:lvlText w:val="%2"/>
      <w:numFmt w:val="lowerLetter"/>
      <w:start w:val="1"/>
    </w:lvl>
  </w:abstractNum>
  <w:abstractNum w:abstractNumId="48">
    <w:nsid w:val="488AC1A"/>
    <w:multiLevelType w:val="hybridMultilevel"/>
    <w:lvl w:ilvl="0">
      <w:lvlJc w:val="left"/>
      <w:lvlText w:val="%1"/>
      <w:numFmt w:val="upperLetter"/>
      <w:start w:val="1"/>
    </w:lvl>
    <w:lvl w:ilvl="1">
      <w:lvlJc w:val="left"/>
      <w:lvlText w:val="(%2)"/>
      <w:numFmt w:val="lowerLetter"/>
      <w:start w:val="27"/>
    </w:lvl>
  </w:abstractNum>
  <w:abstractNum w:abstractNumId="49">
    <w:nsid w:val="5FB8011C"/>
    <w:multiLevelType w:val="hybridMultilevel"/>
    <w:lvl w:ilvl="0">
      <w:lvlJc w:val="left"/>
      <w:lvlText w:val="(%1)"/>
      <w:numFmt w:val="upperLetter"/>
      <w:start w:val="1"/>
    </w:lvl>
    <w:lvl w:ilvl="1">
      <w:lvlJc w:val="left"/>
      <w:lvlText w:val="(%2)"/>
      <w:numFmt w:val="lowerLetter"/>
      <w:start w:val="28"/>
    </w:lvl>
  </w:abstractNum>
  <w:abstractNum w:abstractNumId="50">
    <w:nsid w:val="6AA78F7F"/>
    <w:multiLevelType w:val="hybridMultilevel"/>
    <w:lvl w:ilvl="0">
      <w:lvlJc w:val="left"/>
      <w:lvlText w:val="(%1)"/>
      <w:numFmt w:val="lowerLetter"/>
      <w:start w:val="30"/>
    </w:lvl>
  </w:abstractNum>
  <w:abstractNum w:abstractNumId="51">
    <w:nsid w:val="7672BD23"/>
    <w:multiLevelType w:val="hybridMultilevel"/>
    <w:lvl w:ilvl="0">
      <w:lvlJc w:val="left"/>
      <w:lvlText w:val="(%1)"/>
      <w:numFmt w:val="lowerLetter"/>
      <w:start w:val="33"/>
    </w:lvl>
  </w:abstractNum>
  <w:abstractNum w:abstractNumId="52">
    <w:nsid w:val="6FC75AF8"/>
    <w:multiLevelType w:val="hybridMultilevel"/>
    <w:lvl w:ilvl="0">
      <w:lvlJc w:val="left"/>
      <w:lvlText w:val="(%1)"/>
      <w:numFmt w:val="lowerLetter"/>
      <w:start w:val="38"/>
    </w:lvl>
  </w:abstractNum>
  <w:abstractNum w:abstractNumId="53">
    <w:nsid w:val="6A5F7029"/>
    <w:multiLevelType w:val="hybridMultilevel"/>
    <w:lvl w:ilvl="0">
      <w:lvlJc w:val="left"/>
      <w:lvlText w:val="(%1)"/>
      <w:numFmt w:val="lowerLetter"/>
      <w:start w:val="39"/>
    </w:lvl>
  </w:abstractNum>
  <w:abstractNum w:abstractNumId="54">
    <w:nsid w:val="7D5E18F8"/>
    <w:multiLevelType w:val="hybridMultilevel"/>
    <w:lvl w:ilvl="0">
      <w:lvlJc w:val="left"/>
      <w:lvlText w:val="(%1)"/>
      <w:numFmt w:val="lowerLetter"/>
      <w:start w:val="41"/>
    </w:lvl>
  </w:abstractNum>
  <w:abstractNum w:abstractNumId="55">
    <w:nsid w:val="5F3534A4"/>
    <w:multiLevelType w:val="hybridMultilevel"/>
    <w:lvl w:ilvl="0">
      <w:lvlJc w:val="left"/>
      <w:lvlText w:val="(%1)"/>
      <w:numFmt w:val="lowerLetter"/>
      <w:start w:val="43"/>
    </w:lvl>
  </w:abstractNum>
  <w:abstractNum w:abstractNumId="56">
    <w:nsid w:val="73A1821B"/>
    <w:multiLevelType w:val="hybridMultilevel"/>
    <w:lvl w:ilvl="0">
      <w:lvlJc w:val="left"/>
      <w:lvlText w:val="(%1)"/>
      <w:numFmt w:val="lowerLetter"/>
      <w:start w:val="45"/>
    </w:lvl>
  </w:abstractNum>
  <w:abstractNum w:abstractNumId="57">
    <w:nsid w:val="7DE67713"/>
    <w:multiLevelType w:val="hybridMultilevel"/>
    <w:lvl w:ilvl="0">
      <w:lvlJc w:val="left"/>
      <w:lvlText w:val="(%1)"/>
      <w:numFmt w:val="lowerLetter"/>
      <w:start w:val="1"/>
    </w:lvl>
  </w:abstractNum>
  <w:abstractNum w:abstractNumId="58">
    <w:nsid w:val="555C55B5"/>
    <w:multiLevelType w:val="hybridMultilevel"/>
    <w:lvl w:ilvl="0">
      <w:lvlJc w:val="left"/>
      <w:lvlText w:val="%1"/>
      <w:numFmt w:val="upperLetter"/>
      <w:start w:val="1"/>
    </w:lvl>
    <w:lvl w:ilvl="1">
      <w:lvlJc w:val="left"/>
      <w:lvlText w:val="(%2)"/>
      <w:numFmt w:val="lowerRoman"/>
      <w:start w:val="1"/>
    </w:lvl>
  </w:abstractNum>
  <w:abstractNum w:abstractNumId="59">
    <w:nsid w:val="3FA62ACA"/>
    <w:multiLevelType w:val="hybridMultilevel"/>
    <w:lvl w:ilvl="0">
      <w:lvlJc w:val="left"/>
      <w:lvlText w:val="(%1)"/>
      <w:numFmt w:val="upperLetter"/>
      <w:start w:val="9"/>
    </w:lvl>
    <w:lvl w:ilvl="1">
      <w:lvlJc w:val="left"/>
      <w:lvlText w:val="(%2)"/>
      <w:numFmt w:val="lowerRoman"/>
      <w:start w:val="2"/>
    </w:lvl>
  </w:abstractNum>
  <w:abstractNum w:abstractNumId="60">
    <w:nsid w:val="14FCE74E"/>
    <w:multiLevelType w:val="hybridMultilevel"/>
    <w:lvl w:ilvl="0">
      <w:lvlJc w:val="left"/>
      <w:lvlText w:val="(%1)"/>
      <w:numFmt w:val="lowerRoman"/>
      <w:start w:val="6"/>
    </w:lvl>
  </w:abstractNum>
  <w:abstractNum w:abstractNumId="61">
    <w:nsid w:val="6A3DD3E8"/>
    <w:multiLevelType w:val="hybridMultilevel"/>
    <w:lvl w:ilvl="0">
      <w:lvlJc w:val="left"/>
      <w:lvlText w:val="(%1)"/>
      <w:numFmt w:val="lowerLetter"/>
      <w:start w:val="3"/>
    </w:lvl>
  </w:abstractNum>
  <w:abstractNum w:abstractNumId="62">
    <w:nsid w:val="71C91298"/>
    <w:multiLevelType w:val="hybridMultilevel"/>
    <w:lvl w:ilvl="0">
      <w:lvlJc w:val="left"/>
      <w:lvlText w:val="(%1)"/>
      <w:numFmt w:val="lowerLetter"/>
      <w:start w:val="1"/>
    </w:lvl>
  </w:abstractNum>
  <w:abstractNum w:abstractNumId="63">
    <w:nsid w:val="9DAF632"/>
    <w:multiLevelType w:val="hybridMultilevel"/>
    <w:lvl w:ilvl="0">
      <w:lvlJc w:val="left"/>
      <w:lvlText w:val="(%1)"/>
      <w:numFmt w:val="lowerRoman"/>
      <w:start w:val="4"/>
    </w:lvl>
    <w:lvl w:ilvl="1">
      <w:lvlJc w:val="left"/>
      <w:lvlText w:val="(%2)"/>
      <w:numFmt w:val="lowerLetter"/>
      <w:start w:val="3"/>
    </w:lvl>
  </w:abstractNum>
  <w:abstractNum w:abstractNumId="64">
    <w:nsid w:val="53299938"/>
    <w:multiLevelType w:val="hybridMultilevel"/>
    <w:lvl w:ilvl="0">
      <w:lvlJc w:val="left"/>
      <w:lvlText w:val="(%1)"/>
      <w:numFmt w:val="lowerLetter"/>
      <w:start w:val="6"/>
    </w:lvl>
  </w:abstractNum>
  <w:abstractNum w:abstractNumId="65">
    <w:nsid w:val="1FBFE8E0"/>
    <w:multiLevelType w:val="hybridMultilevel"/>
    <w:lvl w:ilvl="0">
      <w:lvlJc w:val="left"/>
      <w:lvlText w:val="(%1)"/>
      <w:numFmt w:val="lowerLetter"/>
      <w:start w:val="9"/>
    </w:lvl>
  </w:abstractNum>
  <w:abstractNum w:abstractNumId="66">
    <w:nsid w:val="5092CA79"/>
    <w:multiLevelType w:val="hybridMultilevel"/>
    <w:lvl w:ilvl="0">
      <w:lvlJc w:val="left"/>
      <w:lvlText w:val="(%1)"/>
      <w:numFmt w:val="lowerLetter"/>
      <w:start w:val="14"/>
    </w:lvl>
  </w:abstractNum>
  <w:abstractNum w:abstractNumId="67">
    <w:nsid w:val="1D545C4D"/>
    <w:multiLevelType w:val="hybridMultilevel"/>
    <w:lvl w:ilvl="0">
      <w:lvlJc w:val="left"/>
      <w:lvlText w:val="(%1)"/>
      <w:numFmt w:val="upperLetter"/>
      <w:start w:val="1"/>
    </w:lvl>
  </w:abstractNum>
  <w:abstractNum w:abstractNumId="68">
    <w:nsid w:val="59ADEA3D"/>
    <w:multiLevelType w:val="hybridMultilevel"/>
    <w:lvl w:ilvl="0">
      <w:lvlJc w:val="left"/>
      <w:lvlText w:val="(%1)"/>
      <w:numFmt w:val="upperLetter"/>
      <w:start w:val="3"/>
    </w:lvl>
  </w:abstractNum>
  <w:abstractNum w:abstractNumId="69">
    <w:nsid w:val="288F1A34"/>
    <w:multiLevelType w:val="hybridMultilevel"/>
    <w:lvl w:ilvl="0">
      <w:lvlJc w:val="left"/>
      <w:lvlText w:val="(%1)"/>
      <w:numFmt w:val="lowerLetter"/>
      <w:start w:val="16"/>
    </w:lvl>
  </w:abstractNum>
  <w:abstractNum w:abstractNumId="70">
    <w:nsid w:val="2A155DBC"/>
    <w:multiLevelType w:val="hybridMultilevel"/>
    <w:lvl w:ilvl="0">
      <w:lvlJc w:val="left"/>
      <w:lvlText w:val="%1"/>
      <w:numFmt w:val="lowerLetter"/>
      <w:start w:val="1"/>
    </w:lvl>
    <w:lvl w:ilvl="1">
      <w:lvlJc w:val="left"/>
      <w:lvlText w:val="(%2)"/>
      <w:numFmt w:val="lowerLetter"/>
      <w:start w:val="19"/>
    </w:lvl>
  </w:abstractNum>
  <w:abstractNum w:abstractNumId="71">
    <w:nsid w:val="1D9F6E5F"/>
    <w:multiLevelType w:val="hybridMultilevel"/>
    <w:lvl w:ilvl="0">
      <w:lvlJc w:val="left"/>
      <w:lvlText w:val="(%1)"/>
      <w:numFmt w:val="lowerLetter"/>
      <w:start w:val="9"/>
    </w:lvl>
    <w:lvl w:ilvl="1">
      <w:lvlJc w:val="left"/>
      <w:lvlText w:val="%2"/>
      <w:numFmt w:val="lowerLetter"/>
      <w:start w:val="1"/>
    </w:lvl>
  </w:abstractNum>
  <w:abstractNum w:abstractNumId="72">
    <w:nsid w:val="97E1B4E"/>
    <w:multiLevelType w:val="hybridMultilevel"/>
    <w:lvl w:ilvl="0">
      <w:lvlJc w:val="left"/>
      <w:lvlText w:val="(%1)"/>
      <w:numFmt w:val="lowerLetter"/>
      <w:start w:val="1"/>
    </w:lvl>
  </w:abstractNum>
  <w:abstractNum w:abstractNumId="73">
    <w:nsid w:val="51088277"/>
    <w:multiLevelType w:val="hybridMultilevel"/>
    <w:lvl w:ilvl="0">
      <w:lvlJc w:val="left"/>
      <w:lvlText w:val="(%1)"/>
      <w:numFmt w:val="lowerRoman"/>
      <w:start w:val="1"/>
    </w:lvl>
  </w:abstractNum>
  <w:abstractNum w:abstractNumId="74">
    <w:nsid w:val="1CA0C5FA"/>
    <w:multiLevelType w:val="hybridMultilevel"/>
    <w:lvl w:ilvl="0">
      <w:lvlJc w:val="left"/>
      <w:lvlText w:val="(%1)"/>
      <w:numFmt w:val="lowerLetter"/>
      <w:start w:val="61"/>
    </w:lvl>
    <w:lvl w:ilvl="1">
      <w:lvlJc w:val="left"/>
      <w:lvlText w:val="(%2)"/>
      <w:numFmt w:val="lowerLetter"/>
      <w:start w:val="2"/>
    </w:lvl>
  </w:abstractNum>
  <w:abstractNum w:abstractNumId="75">
    <w:nsid w:val="53584BCB"/>
    <w:multiLevelType w:val="hybridMultilevel"/>
    <w:lvl w:ilvl="0">
      <w:lvlJc w:val="left"/>
      <w:lvlText w:val="(%1)"/>
      <w:numFmt w:val="lowerLetter"/>
      <w:start w:val="1"/>
    </w:lvl>
  </w:abstractNum>
  <w:abstractNum w:abstractNumId="76">
    <w:nsid w:val="415E286C"/>
    <w:multiLevelType w:val="hybridMultilevel"/>
    <w:lvl w:ilvl="0">
      <w:lvlJc w:val="left"/>
      <w:lvlText w:val="(%1)"/>
      <w:numFmt w:val="lowerLetter"/>
      <w:start w:val="2"/>
    </w:lvl>
  </w:abstractNum>
  <w:abstractNum w:abstractNumId="77">
    <w:nsid w:val="7C58FD05"/>
    <w:multiLevelType w:val="hybridMultilevel"/>
    <w:lvl w:ilvl="0">
      <w:lvlJc w:val="left"/>
      <w:lvlText w:val="(%1)"/>
      <w:numFmt w:val="lowerLetter"/>
      <w:start w:val="3"/>
    </w:lvl>
  </w:abstractNum>
  <w:abstractNum w:abstractNumId="78">
    <w:nsid w:val="23D86AAC"/>
    <w:multiLevelType w:val="hybridMultilevel"/>
    <w:lvl w:ilvl="0">
      <w:lvlJc w:val="left"/>
      <w:lvlText w:val="(%1)"/>
      <w:numFmt w:val="lowerLetter"/>
      <w:start w:val="35"/>
    </w:lvl>
    <w:lvl w:ilvl="1">
      <w:lvlJc w:val="left"/>
      <w:lvlText w:val="(%2)"/>
      <w:numFmt w:val="lowerLetter"/>
      <w:start w:val="5"/>
    </w:lvl>
  </w:abstractNum>
  <w:abstractNum w:abstractNumId="79">
    <w:nsid w:val="45E6D486"/>
    <w:multiLevelType w:val="hybridMultilevel"/>
    <w:lvl w:ilvl="0">
      <w:lvlJc w:val="left"/>
      <w:lvlText w:val="(%1)"/>
      <w:numFmt w:val="lowerLetter"/>
      <w:start w:val="1"/>
    </w:lvl>
  </w:abstractNum>
  <w:abstractNum w:abstractNumId="80">
    <w:nsid w:val="5C10FE21"/>
    <w:multiLevelType w:val="hybridMultilevel"/>
    <w:lvl w:ilvl="0">
      <w:lvlJc w:val="left"/>
      <w:lvlText w:val="(%1)"/>
      <w:numFmt w:val="lowerRoman"/>
      <w:start w:val="1"/>
    </w:lvl>
  </w:abstractNum>
  <w:abstractNum w:abstractNumId="81">
    <w:nsid w:val="E7FFA2B"/>
    <w:multiLevelType w:val="hybridMultilevel"/>
    <w:lvl w:ilvl="0">
      <w:lvlJc w:val="left"/>
      <w:lvlText w:val="(%1)"/>
      <w:numFmt w:val="lowerLetter"/>
      <w:start w:val="1"/>
    </w:lvl>
  </w:abstractNum>
  <w:abstractNum w:abstractNumId="82">
    <w:nsid w:val="3C5991AA"/>
    <w:multiLevelType w:val="hybridMultilevel"/>
    <w:lvl w:ilvl="0">
      <w:lvlJc w:val="left"/>
      <w:lvlText w:val="(%1)"/>
      <w:numFmt w:val="lowerLetter"/>
      <w:start w:val="2"/>
    </w:lvl>
  </w:abstractNum>
  <w:abstractNum w:abstractNumId="83">
    <w:nsid w:val="4BD8591A"/>
    <w:multiLevelType w:val="hybridMultilevel"/>
    <w:lvl w:ilvl="0">
      <w:lvlJc w:val="left"/>
      <w:lvlText w:val="(%1)"/>
      <w:numFmt w:val="lowerLetter"/>
      <w:start w:val="5"/>
    </w:lvl>
  </w:abstractNum>
  <w:abstractNum w:abstractNumId="84">
    <w:nsid w:val="78DF6A55"/>
    <w:multiLevelType w:val="hybridMultilevel"/>
    <w:lvl w:ilvl="0">
      <w:lvlJc w:val="left"/>
      <w:lvlText w:val="(%1)"/>
      <w:numFmt w:val="lowerLetter"/>
      <w:start w:val="8"/>
    </w:lvl>
  </w:abstractNum>
  <w:abstractNum w:abstractNumId="85">
    <w:nsid w:val="39B7AAA2"/>
    <w:multiLevelType w:val="hybridMultilevel"/>
    <w:lvl w:ilvl="0">
      <w:lvlJc w:val="left"/>
      <w:lvlText w:val="(%1)"/>
      <w:numFmt w:val="lowerRoman"/>
      <w:start w:val="1"/>
    </w:lvl>
  </w:abstractNum>
  <w:abstractNum w:abstractNumId="86">
    <w:nsid w:val="2B0D8DBE"/>
    <w:multiLevelType w:val="hybridMultilevel"/>
    <w:lvl w:ilvl="0">
      <w:lvlJc w:val="left"/>
      <w:lvlText w:val="(%1)"/>
      <w:numFmt w:val="lowerRoman"/>
      <w:start w:val="4"/>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lowerLetter"/>
      <w:start w:val="1"/>
    </w:lvl>
  </w:abstractNum>
  <w:abstractNum w:abstractNumId="89">
    <w:nsid w:val="69E373"/>
    <w:multiLevelType w:val="hybridMultilevel"/>
    <w:lvl w:ilvl="0">
      <w:lvlJc w:val="left"/>
      <w:lvlText w:val="(%1)"/>
      <w:numFmt w:val="lowerLetter"/>
      <w:start w:val="5"/>
    </w:lvl>
  </w:abstractNum>
  <w:abstractNum w:abstractNumId="90">
    <w:nsid w:val="2C27173B"/>
    <w:multiLevelType w:val="hybridMultilevel"/>
    <w:lvl w:ilvl="0">
      <w:lvlJc w:val="left"/>
      <w:lvlText w:val="(%1)"/>
      <w:numFmt w:val="decimal"/>
      <w:start w:val="1"/>
    </w:lvl>
  </w:abstractNum>
  <w:abstractNum w:abstractNumId="91">
    <w:nsid w:val="4C9B0904"/>
    <w:multiLevelType w:val="hybridMultilevel"/>
    <w:lvl w:ilvl="0">
      <w:lvlJc w:val="left"/>
      <w:lvlText w:val="(%1)"/>
      <w:numFmt w:val="lowerRoman"/>
      <w:start w:val="1"/>
    </w:lvl>
  </w:abstractNum>
  <w:abstractNum w:abstractNumId="92">
    <w:nsid w:val="6AA7B75C"/>
    <w:multiLevelType w:val="hybridMultilevel"/>
    <w:lvl w:ilvl="0">
      <w:lvlJc w:val="left"/>
      <w:lvlText w:val="(%1)"/>
      <w:numFmt w:val="lowerRoman"/>
      <w:start w:val="4"/>
    </w:lvl>
  </w:abstractNum>
  <w:abstractNum w:abstractNumId="93">
    <w:nsid w:val="1DF029D3"/>
    <w:multiLevelType w:val="hybridMultilevel"/>
    <w:lvl w:ilvl="0">
      <w:lvlJc w:val="left"/>
      <w:lvlText w:val="(%1)"/>
      <w:numFmt w:val="lowerRoman"/>
      <w:start w:val="1"/>
    </w:lvl>
  </w:abstractNum>
  <w:abstractNum w:abstractNumId="94">
    <w:nsid w:val="5675FF36"/>
    <w:multiLevelType w:val="hybridMultilevel"/>
    <w:lvl w:ilvl="0">
      <w:lvlJc w:val="left"/>
      <w:lvlText w:val="(%1)"/>
      <w:numFmt w:val="lowerRoman"/>
      <w:start w:val="4"/>
    </w:lvl>
  </w:abstractNum>
  <w:abstractNum w:abstractNumId="95">
    <w:nsid w:val="3DD15094"/>
    <w:multiLevelType w:val="hybridMultilevel"/>
    <w:lvl w:ilvl="0">
      <w:lvlJc w:val="left"/>
      <w:lvlText w:val="(%1)"/>
      <w:numFmt w:val="decimal"/>
      <w:start w:val="1"/>
    </w:lvl>
  </w:abstractNum>
  <w:abstractNum w:abstractNumId="96">
    <w:nsid w:val="3DB012B3"/>
    <w:multiLevelType w:val="hybridMultilevel"/>
    <w:lvl w:ilvl="0">
      <w:lvlJc w:val="left"/>
      <w:lvlText w:val="(%1)"/>
      <w:numFmt w:val="decimal"/>
      <w:start w:val="4"/>
    </w:lvl>
  </w:abstractNum>
  <w:abstractNum w:abstractNumId="97">
    <w:nsid w:val="2708C9AF"/>
    <w:multiLevelType w:val="hybridMultilevel"/>
    <w:lvl w:ilvl="0">
      <w:lvlJc w:val="left"/>
      <w:lvlText w:val="(%1)"/>
      <w:numFmt w:val="decimal"/>
      <w:start w:val="11"/>
    </w:lvl>
  </w:abstractNum>
  <w:abstractNum w:abstractNumId="98">
    <w:nsid w:val="5B25ACE2"/>
    <w:multiLevelType w:val="hybridMultilevel"/>
    <w:lvl w:ilvl="0">
      <w:lvlJc w:val="left"/>
      <w:lvlText w:val="(%1)"/>
      <w:numFmt w:val="decimal"/>
      <w:start w:val="19"/>
    </w:lvl>
  </w:abstractNum>
  <w:abstractNum w:abstractNumId="99">
    <w:nsid w:val="175DFCF0"/>
    <w:multiLevelType w:val="hybridMultilevel"/>
    <w:lvl w:ilvl="0">
      <w:lvlJc w:val="left"/>
      <w:lvlText w:val="(%1)"/>
      <w:numFmt w:val="lowerRoman"/>
      <w:start w:val="1"/>
    </w:lvl>
  </w:abstractNum>
  <w:abstractNum w:abstractNumId="100">
    <w:nsid w:val="4F97E3E4"/>
    <w:multiLevelType w:val="hybridMultilevel"/>
    <w:lvl w:ilvl="0">
      <w:lvlJc w:val="left"/>
      <w:lvlText w:val="(%1)"/>
      <w:numFmt w:val="lowerRoman"/>
      <w:start w:val="5"/>
    </w:lvl>
  </w:abstractNum>
  <w:abstractNum w:abstractNumId="101">
    <w:nsid w:val="53B0A9E"/>
    <w:multiLevelType w:val="hybridMultilevel"/>
    <w:lvl w:ilvl="0">
      <w:lvlJc w:val="left"/>
      <w:lvlText w:val="(%1)"/>
      <w:numFmt w:val="upperLetter"/>
      <w:start w:val="2"/>
    </w:lvl>
  </w:abstractNum>
  <w:abstractNum w:abstractNumId="102">
    <w:nsid w:val="34FD6B4F"/>
    <w:multiLevelType w:val="hybridMultilevel"/>
    <w:lvl w:ilvl="0">
      <w:lvlJc w:val="left"/>
      <w:lvlText w:val="(%1)"/>
      <w:numFmt w:val="decimal"/>
      <w:start w:val="1"/>
    </w:lvl>
  </w:abstractNum>
  <w:abstractNum w:abstractNumId="103">
    <w:nsid w:val="5915FF32"/>
    <w:multiLevelType w:val="hybridMultilevel"/>
    <w:lvl w:ilvl="0">
      <w:lvlJc w:val="left"/>
      <w:lvlText w:val="(%1)"/>
      <w:numFmt w:val="decimal"/>
      <w:start w:val="2"/>
    </w:lvl>
  </w:abstractNum>
  <w:abstractNum w:abstractNumId="104">
    <w:nsid w:val="56438D15"/>
    <w:multiLevelType w:val="hybridMultilevel"/>
    <w:lvl w:ilvl="0">
      <w:lvlJc w:val="left"/>
      <w:lvlText w:val="(%1)"/>
      <w:numFmt w:val="lowerLetter"/>
      <w:start w:val="2"/>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lowerLetter"/>
      <w:start w:val="3"/>
    </w:lvl>
  </w:abstractNum>
  <w:abstractNum w:abstractNumId="107">
    <w:nsid w:val="17A1B582"/>
    <w:multiLevelType w:val="hybridMultilevel"/>
    <w:lvl w:ilvl="0">
      <w:lvlJc w:val="left"/>
      <w:lvlText w:val="(%1)"/>
      <w:numFmt w:val="lowerLetter"/>
      <w:start w:val="5"/>
    </w:lvl>
  </w:abstractNum>
  <w:abstractNum w:abstractNumId="108">
    <w:nsid w:val="4DF72E4E"/>
    <w:multiLevelType w:val="hybridMultilevel"/>
    <w:lvl w:ilvl="0">
      <w:lvlJc w:val="left"/>
      <w:lvlText w:val="(%1)"/>
      <w:numFmt w:val="lowerLetter"/>
      <w:start w:val="2"/>
    </w:lvl>
  </w:abstractNum>
  <w:abstractNum w:abstractNumId="109">
    <w:nsid w:val="5046B5A9"/>
    <w:multiLevelType w:val="hybridMultilevel"/>
    <w:lvl w:ilvl="0">
      <w:lvlJc w:val="left"/>
      <w:lvlText w:val="(%1)"/>
      <w:numFmt w:val="lowerLetter"/>
      <w:start w:val="3"/>
    </w:lvl>
  </w:abstractNum>
  <w:abstractNum w:abstractNumId="110">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lowerRoman"/>
    </w:lvl>
    <w:lvl w:ilvl="3">
      <w:lvlJc w:val="left"/>
      <w:lvlText w:val="(%4)"/>
      <w:numFmt w:val="upperLetter"/>
      <w:start w:val="1"/>
    </w:lvl>
  </w:abstractNum>
  <w:abstractNum w:abstractNumId="111">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upperLetter"/>
      <w:start w:val="2"/>
    </w:lvl>
  </w:abstractNum>
  <w:abstractNum w:abstractNumId="112">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13">
    <w:nsid w:val="19E21BB2"/>
    <w:multiLevelType w:val="hybridMultilevel"/>
    <w:lvl w:ilvl="0">
      <w:lvlJc w:val="left"/>
      <w:lvlText w:val="(%1)"/>
      <w:numFmt w:val="lowerRoman"/>
      <w:start w:val="2"/>
    </w:lvl>
  </w:abstractNum>
  <w:abstractNum w:abstractNumId="114">
    <w:nsid w:val="75E0858A"/>
    <w:multiLevelType w:val="hybridMultilevel"/>
    <w:lvl w:ilvl="0">
      <w:lvlJc w:val="left"/>
      <w:lvlText w:val="(%1)"/>
      <w:numFmt w:val="lowerLetter"/>
      <w:start w:val="2"/>
    </w:lvl>
  </w:abstractNum>
  <w:abstractNum w:abstractNumId="115">
    <w:nsid w:val="57A61A29"/>
    <w:multiLevelType w:val="hybridMultilevel"/>
    <w:lvl w:ilvl="0">
      <w:lvlJc w:val="left"/>
      <w:lvlText w:val="(%1)"/>
      <w:numFmt w:val="decimal"/>
      <w:start w:val="1"/>
    </w:lvl>
  </w:abstractNum>
  <w:abstractNum w:abstractNumId="116">
    <w:nsid w:val="5399C654"/>
    <w:multiLevelType w:val="hybridMultilevel"/>
    <w:lvl w:ilvl="0">
      <w:lvlJc w:val="left"/>
      <w:lvlText w:val="%1"/>
      <w:numFmt w:val="lowerLetter"/>
      <w:start w:val="1"/>
    </w:lvl>
    <w:lvl w:ilvl="1">
      <w:lvlJc w:val="left"/>
      <w:lvlText w:val="(%2)"/>
      <w:numFmt w:val="decimal"/>
      <w:start w:val="1"/>
    </w:lvl>
  </w:abstractNum>
  <w:abstractNum w:abstractNumId="117">
    <w:nsid w:val="20EE1348"/>
    <w:multiLevelType w:val="hybridMultilevel"/>
    <w:lvl w:ilvl="0">
      <w:lvlJc w:val="left"/>
      <w:lvlText w:val="(%1)"/>
      <w:numFmt w:val="lowerLetter"/>
      <w:start w:val="1"/>
    </w:lvl>
    <w:lvl w:ilvl="1">
      <w:lvlJc w:val="left"/>
      <w:lvlText w:val="(%2)"/>
      <w:numFmt w:val="decimal"/>
      <w:start w:val="2"/>
    </w:lvl>
  </w:abstractNum>
  <w:abstractNum w:abstractNumId="118">
    <w:nsid w:val="4427069A"/>
    <w:multiLevelType w:val="hybridMultilevel"/>
    <w:lvl w:ilvl="0">
      <w:lvlJc w:val="left"/>
      <w:lvlText w:val="(%1)"/>
      <w:numFmt w:val="lowerLetter"/>
      <w:start w:val="1"/>
    </w:lvl>
    <w:lvl w:ilvl="1">
      <w:lvlJc w:val="left"/>
      <w:lvlText w:val="(%2)"/>
      <w:numFmt w:val="decimal"/>
      <w:start w:val="4"/>
    </w:lvl>
  </w:abstractNum>
  <w:abstractNum w:abstractNumId="119">
    <w:nsid w:val="B37E80A"/>
    <w:multiLevelType w:val="hybridMultilevel"/>
    <w:lvl w:ilvl="0">
      <w:lvlJc w:val="left"/>
      <w:lvlText w:val="(%1)"/>
      <w:numFmt w:val="decimal"/>
      <w:start w:val="10"/>
    </w:lvl>
  </w:abstractNum>
  <w:abstractNum w:abstractNumId="120">
    <w:nsid w:val="2157F6BC"/>
    <w:multiLevelType w:val="hybridMultilevel"/>
    <w:lvl w:ilvl="0">
      <w:lvlJc w:val="left"/>
      <w:lvlText w:val="(%1)"/>
      <w:numFmt w:val="decimal"/>
      <w:start w:val="1"/>
    </w:lvl>
  </w:abstractNum>
  <w:abstractNum w:abstractNumId="121">
    <w:nsid w:val="704E1DD5"/>
    <w:multiLevelType w:val="hybridMultilevel"/>
    <w:lvl w:ilvl="0">
      <w:lvlJc w:val="left"/>
      <w:lvlText w:val="(%1)"/>
      <w:numFmt w:val="lowerLetter"/>
      <w:start w:val="1"/>
    </w:lvl>
  </w:abstractNum>
  <w:abstractNum w:abstractNumId="122">
    <w:nsid w:val="57D2F10E"/>
    <w:multiLevelType w:val="hybridMultilevel"/>
    <w:lvl w:ilvl="0">
      <w:lvlJc w:val="left"/>
      <w:lvlText w:val="(%1)"/>
      <w:numFmt w:val="lowerLetter"/>
      <w:start w:val="2"/>
    </w:lvl>
    <w:lvl w:ilvl="1">
      <w:lvlJc w:val="left"/>
      <w:lvlText w:val="(%2)"/>
      <w:numFmt w:val="decimal"/>
      <w:start w:val="1"/>
    </w:lvl>
  </w:abstractNum>
  <w:abstractNum w:abstractNumId="123">
    <w:nsid w:val="BFFAE18"/>
    <w:multiLevelType w:val="hybridMultilevel"/>
    <w:lvl w:ilvl="0">
      <w:lvlJc w:val="left"/>
      <w:lvlText w:val="(%1)"/>
      <w:numFmt w:val="lowerLetter"/>
      <w:start w:val="4"/>
    </w:lvl>
  </w:abstractNum>
  <w:abstractNum w:abstractNumId="124">
    <w:nsid w:val="E3E47A8"/>
    <w:multiLevelType w:val="hybridMultilevel"/>
    <w:lvl w:ilvl="0">
      <w:lvlJc w:val="left"/>
      <w:lvlText w:val="(%1)"/>
      <w:numFmt w:val="lowerLetter"/>
      <w:start w:val="5"/>
    </w:lvl>
  </w:abstractNum>
  <w:abstractNum w:abstractNumId="125">
    <w:nsid w:val="2E48F044"/>
    <w:multiLevelType w:val="hybridMultilevel"/>
    <w:lvl w:ilvl="0">
      <w:lvlJc w:val="left"/>
      <w:lvlText w:val="(%1)"/>
      <w:numFmt w:val="lowerLetter"/>
      <w:start w:val="1"/>
    </w:lvl>
  </w:abstractNum>
  <w:abstractNum w:abstractNumId="126">
    <w:nsid w:val="49D0FEAC"/>
    <w:multiLevelType w:val="hybridMultilevel"/>
    <w:lvl w:ilvl="0">
      <w:lvlJc w:val="left"/>
      <w:lvlText w:val="(%1)"/>
      <w:numFmt w:val="lowerLetter"/>
      <w:start w:val="2"/>
    </w:lvl>
  </w:abstractNum>
  <w:abstractNum w:abstractNumId="127">
    <w:nsid w:val="4BEE5A5B"/>
    <w:multiLevelType w:val="hybridMultilevel"/>
    <w:lvl w:ilvl="0">
      <w:lvlJc w:val="left"/>
      <w:lvlText w:val="(%1)"/>
      <w:numFmt w:val="decimal"/>
      <w:start w:val="1"/>
    </w:lvl>
  </w:abstractNum>
  <w:abstractNum w:abstractNumId="128">
    <w:nsid w:val="5551B9F3"/>
    <w:multiLevelType w:val="hybridMultilevel"/>
    <w:lvl w:ilvl="0">
      <w:lvlJc w:val="left"/>
      <w:lvlText w:val="(%1)"/>
      <w:numFmt w:val="decimal"/>
      <w:start w:val="2"/>
    </w:lvl>
  </w:abstractNum>
  <w:abstractNum w:abstractNumId="129">
    <w:nsid w:val="24F6AB8E"/>
    <w:multiLevelType w:val="hybridMultilevel"/>
    <w:lvl w:ilvl="0">
      <w:lvlJc w:val="left"/>
      <w:lvlText w:val="(%1)"/>
      <w:numFmt w:val="decimal"/>
      <w:start w:val="1"/>
    </w:lvl>
  </w:abstractNum>
  <w:abstractNum w:abstractNumId="130">
    <w:nsid w:val="634C574C"/>
    <w:multiLevelType w:val="hybridMultilevel"/>
    <w:lvl w:ilvl="0">
      <w:lvlJc w:val="left"/>
      <w:lvlText w:val="(%1)"/>
      <w:numFmt w:val="decimal"/>
      <w:start w:val="3"/>
    </w:lvl>
  </w:abstractNum>
  <w:abstractNum w:abstractNumId="131">
    <w:nsid w:val="24E99DD7"/>
    <w:multiLevelType w:val="hybridMultilevel"/>
    <w:lvl w:ilvl="0">
      <w:lvlJc w:val="left"/>
      <w:lvlText w:val="(%1)"/>
      <w:numFmt w:val="decimal"/>
      <w:start w:val="12"/>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1)"/>
      <w:numFmt w:val="decimal"/>
      <w:start w:val="3"/>
    </w:lvl>
  </w:abstractNum>
  <w:abstractNum w:abstractNumId="134">
    <w:nsid w:val="7DFF9D09"/>
    <w:multiLevelType w:val="hybridMultilevel"/>
    <w:lvl w:ilvl="0">
      <w:lvlJc w:val="left"/>
      <w:lvlText w:val="(%1)"/>
      <w:numFmt w:val="decimal"/>
      <w:start w:val="1"/>
    </w:lvl>
  </w:abstractNum>
  <w:abstractNum w:abstractNumId="135">
    <w:nsid w:val="754342"/>
    <w:multiLevelType w:val="hybridMultilevel"/>
    <w:lvl w:ilvl="0">
      <w:lvlJc w:val="left"/>
      <w:lvlText w:val="(%1)"/>
      <w:numFmt w:val="decimal"/>
      <w:start w:val="10"/>
    </w:lvl>
  </w:abstractNum>
  <w:abstractNum w:abstractNumId="136">
    <w:nsid w:val="69E7F3E5"/>
    <w:multiLevelType w:val="hybridMultilevel"/>
    <w:lvl w:ilvl="0">
      <w:lvlJc w:val="left"/>
      <w:lvlText w:val="(%1)"/>
      <w:numFmt w:val="decimal"/>
      <w:start w:val="1"/>
    </w:lvl>
  </w:abstractNum>
  <w:abstractNum w:abstractNumId="137">
    <w:nsid w:val="2A6DE806"/>
    <w:multiLevelType w:val="hybridMultilevel"/>
    <w:lvl w:ilvl="0">
      <w:lvlJc w:val="left"/>
      <w:lvlText w:val="%1"/>
      <w:numFmt w:val="lowerRoman"/>
      <w:start w:val="1"/>
    </w:lvl>
    <w:lvl w:ilvl="1">
      <w:lvlJc w:val="left"/>
      <w:lvlText w:val="(%2)"/>
      <w:numFmt w:val="decimal"/>
      <w:start w:val="2"/>
    </w:lvl>
  </w:abstractNum>
  <w:abstractNum w:abstractNumId="138">
    <w:nsid w:val="1816F8C4"/>
    <w:multiLevelType w:val="hybridMultilevel"/>
    <w:lvl w:ilvl="0">
      <w:lvlJc w:val="left"/>
      <w:lvlText w:val="(%1)"/>
      <w:numFmt w:val="lowerRoman"/>
      <w:start w:val="10"/>
    </w:lvl>
    <w:lvl w:ilvl="1">
      <w:lvlJc w:val="left"/>
      <w:lvlText w:val="(%2)"/>
      <w:numFmt w:val="decimal"/>
      <w:start w:val="5"/>
    </w:lvl>
  </w:abstractNum>
  <w:abstractNum w:abstractNumId="139">
    <w:nsid w:val="37DF2233"/>
    <w:multiLevelType w:val="hybridMultilevel"/>
    <w:lvl w:ilvl="0">
      <w:lvlJc w:val="left"/>
      <w:lvlText w:val="(%1)"/>
      <w:numFmt w:val="lowerLetter"/>
      <w:start w:val="1"/>
    </w:lvl>
  </w:abstractNum>
  <w:abstractNum w:abstractNumId="140">
    <w:nsid w:val="7AB49DAF"/>
    <w:multiLevelType w:val="hybridMultilevel"/>
    <w:lvl w:ilvl="0">
      <w:lvlJc w:val="left"/>
      <w:lvlText w:val="(%1)"/>
      <w:numFmt w:val="lowerRoman"/>
      <w:start w:val="1"/>
    </w:lvl>
  </w:abstractNum>
  <w:abstractNum w:abstractNumId="141">
    <w:nsid w:val="759F82CD"/>
    <w:multiLevelType w:val="hybridMultilevel"/>
    <w:lvl w:ilvl="0">
      <w:lvlJc w:val="left"/>
      <w:lvlText w:val="(%1)"/>
      <w:numFmt w:val="lowerLetter"/>
      <w:start w:val="1"/>
    </w:lvl>
  </w:abstractNum>
  <w:abstractNum w:abstractNumId="142">
    <w:nsid w:val="61E74EA3"/>
    <w:multiLevelType w:val="hybridMultilevel"/>
    <w:lvl w:ilvl="0">
      <w:lvlJc w:val="left"/>
      <w:lvlText w:val="(%1)"/>
      <w:numFmt w:val="lowerRoman"/>
      <w:start w:val="1"/>
    </w:lvl>
  </w:abstractNum>
  <w:abstractNum w:abstractNumId="143">
    <w:nsid w:val="597B4D84"/>
    <w:multiLevelType w:val="hybridMultilevel"/>
    <w:lvl w:ilvl="0">
      <w:lvlJc w:val="left"/>
      <w:lvlText w:val="%1."/>
      <w:numFmt w:val="decimal"/>
      <w:start w:val="1"/>
    </w:lvl>
  </w:abstractNum>
  <w:abstractNum w:abstractNumId="144">
    <w:nsid w:val="F819E7F"/>
    <w:multiLevelType w:val="hybridMultilevel"/>
    <w:lvl w:ilvl="0">
      <w:lvlJc w:val="left"/>
      <w:lvlText w:val="%1."/>
      <w:numFmt w:val="decimal"/>
      <w:start w:val="5"/>
    </w:lvl>
  </w:abstractNum>
  <w:abstractNum w:abstractNumId="145">
    <w:nsid w:val="57C7D42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jpe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jpe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jpe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jpeg"/><Relationship Id="rId282" Type="http://schemas.openxmlformats.org/officeDocument/2006/relationships/image" Target="media/image262.jpe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jpeg"/><Relationship Id="rId286" Type="http://schemas.openxmlformats.org/officeDocument/2006/relationships/image" Target="media/image266.jpeg"/><Relationship Id="rId287" Type="http://schemas.openxmlformats.org/officeDocument/2006/relationships/image" Target="media/image267.jpeg"/><Relationship Id="rId288" Type="http://schemas.openxmlformats.org/officeDocument/2006/relationships/image" Target="media/image268.png"/><Relationship Id="rId55" Type="http://schemas.openxmlformats.org/officeDocument/2006/relationships/hyperlink" Target="http://www.sec.gov/ix?doc=/Archives/edgar/data/1819790/000181979021000010/tars-20201231.htm" TargetMode="External"/><Relationship Id="rId56" Type="http://schemas.openxmlformats.org/officeDocument/2006/relationships/hyperlink" Target="http://www.sec.gov/ix?doc=/Archives/edgar/data/1819790/000181979021000020/tars-20210331.htm" TargetMode="External"/><Relationship Id="rId57" Type="http://schemas.openxmlformats.org/officeDocument/2006/relationships/hyperlink" Target="http://www.sec.gov/ix?doc=/Archives/edgar/data/1819790/000181979021000027/tars-20210630.htm" TargetMode="External"/><Relationship Id="rId58" Type="http://schemas.openxmlformats.org/officeDocument/2006/relationships/hyperlink" Target="http://www.sec.gov/Archives/edgar/data/1819790/000119312521098627/d165080d8k.htm" TargetMode="External"/><Relationship Id="rId59" Type="http://schemas.openxmlformats.org/officeDocument/2006/relationships/hyperlink" Target="http://www.sec.gov/ix?doc=/Archives/edgar/data/1819790/000119312521194371/d194646d8k.htm" TargetMode="External"/><Relationship Id="rId60" Type="http://schemas.openxmlformats.org/officeDocument/2006/relationships/hyperlink" Target="http://www.sec.gov/ix?doc=/Archives/edgar/data/1819790/000119312521196290/d155208d8k.htm" TargetMode="External"/><Relationship Id="rId61" Type="http://schemas.openxmlformats.org/officeDocument/2006/relationships/hyperlink" Target="http://www.sec.gov/ix?doc=/Archives/edgar/data/1819790/000119312521244642/d166164d8k.htm" TargetMode="External"/><Relationship Id="rId62" Type="http://schemas.openxmlformats.org/officeDocument/2006/relationships/hyperlink" Target="http://www.sec.gov/Archives/edgar/data/1819790/000119312521144962/d150509ddef14a.htm" TargetMode="External"/><Relationship Id="rId63" Type="http://schemas.openxmlformats.org/officeDocument/2006/relationships/hyperlink" Target="http://www.sec.gov/Archives/edgar/data/1819790/000119312520267409/d68419d8a12b.htm" TargetMode="External"/><Relationship Id="rId114" Type="http://schemas.openxmlformats.org/officeDocument/2006/relationships/hyperlink" Target="http://www.sec.gov/Archives/edgar/data/1819790/000119312520272900/d11649dex31.htm" TargetMode="External"/><Relationship Id="rId115" Type="http://schemas.openxmlformats.org/officeDocument/2006/relationships/hyperlink" Target="http://www.sec.gov/Archives/edgar/data/1819790/000119312520272900/d11649dex32.htm" TargetMode="External"/><Relationship Id="rId116" Type="http://schemas.openxmlformats.org/officeDocument/2006/relationships/hyperlink" Target="http://www.sec.gov/Archives/edgar/data/1819790/000119312520267327/d30607dex41.htm" TargetMode="External"/><Relationship Id="rId117" Type="http://schemas.openxmlformats.org/officeDocument/2006/relationships/hyperlink" Target="http://www.sec.gov/Archives/edgar/data/1819790/000119312520267327/d306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2021-11-01T16:12:47Z</dcterms:created>
  <dcterms:modified xsi:type="dcterms:W3CDTF">2021-11-01T16:12:47Z</dcterms:modified>
</cp:coreProperties>
</file>