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28575</wp:posOffset>
            </wp:positionH>
            <wp:positionV relativeFrom="paragraph">
              <wp:posOffset>-6350</wp:posOffset>
            </wp:positionV>
            <wp:extent cx="99060" cy="990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" cy="99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80" w:right="140" w:firstLine="4"/>
        <w:spacing w:after="0" w:line="267" w:lineRule="auto"/>
        <w:tabs>
          <w:tab w:leader="none" w:pos="43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576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6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60" w:type="dxa"/>
            <w:vAlign w:val="bottom"/>
            <w:vMerge w:val="restart"/>
          </w:tcPr>
          <w:p>
            <w:pPr>
              <w:jc w:val="center"/>
              <w:ind w:right="814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5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576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4948555</wp:posOffset>
            </wp:positionH>
            <wp:positionV relativeFrom="paragraph">
              <wp:posOffset>-508000</wp:posOffset>
            </wp:positionV>
            <wp:extent cx="52070" cy="521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" cy="521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3639820</wp:posOffset>
            </wp:positionH>
            <wp:positionV relativeFrom="paragraph">
              <wp:posOffset>-508000</wp:posOffset>
            </wp:positionV>
            <wp:extent cx="52070" cy="521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" cy="521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-1991360</wp:posOffset>
            </wp:positionH>
            <wp:positionV relativeFrom="paragraph">
              <wp:posOffset>20320</wp:posOffset>
            </wp:positionV>
            <wp:extent cx="7018655" cy="33966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655" cy="3396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00" w:space="720"/>
            <w:col w:w="790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LINK WILLIAM J PHD</w:t>
        </w:r>
      </w:hyperlink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C/O TARSUS PHARMACEUTICALS,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15440 LAGUNA CANYON ROAD, SUITE 160</w:t>
            </w: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9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IRVINE</w:t>
            </w:r>
          </w:p>
        </w:tc>
        <w:tc>
          <w:tcPr>
            <w:tcW w:w="1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CA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92618</w:t>
            </w: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1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2.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3.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06/13/2024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4.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260" w:right="580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9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  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4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 Option (right to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33.14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06/13/2024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06/12/2034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buy)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06/13/2024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3,350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3,350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3,350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280" w:hanging="5"/>
        <w:spacing w:after="0" w:line="280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Annual option granted in connection with the Reporting Person's service as a non-employee director as of the Company's 2024 annual meeting of stockholders. The option will vest in full on the one-year anniversary of the date of grant, subject to the non-employee director's continuous service.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5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40" w:hanging="5"/>
        <w:spacing w:after="0" w:line="280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RSUs granted in connection with the Reporting Person's service as a non-employee director as of the Company's 2024 annual meeting of stockholders. The RSUs vest in full on the one-year anniversary of the date of grant, subject to the non-employee director's continuous service.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Remarks: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24 - Power of Attorney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/s/ Scott Sieckert, Attorney-in-Fact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3"/>
              </w:rPr>
              <w:t>06/14/2024</w:t>
            </w:r>
          </w:p>
        </w:tc>
      </w:tr>
      <w:tr>
        <w:trPr>
          <w:trHeight w:val="17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6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6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6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6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2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384175</wp:posOffset>
            </wp:positionH>
            <wp:positionV relativeFrom="page">
              <wp:posOffset>300355</wp:posOffset>
            </wp:positionV>
            <wp:extent cx="6943725" cy="91446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725" cy="914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8684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2024-06-14T16:46:12Z</dcterms:created>
  <dcterms:modified xsi:type="dcterms:W3CDTF">2024-06-14T16:46:12Z</dcterms:modified>
</cp:coreProperties>
</file>