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64"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ans-serif" w:hAnsi="Times New Roman;sans-serif"/>
          <w:b/>
          <w:color w:val="000000"/>
          <w:sz w:val="40"/>
        </w:rPr>
      </w:pPr>
      <w:r>
        <w:rPr>
          <w:rFonts w:ascii="Times New Roman;sans-serif" w:hAnsi="Times New Roman;sans-serif"/>
          <w:b/>
          <w:color w:val="000000"/>
          <w:sz w:val="40"/>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64" w:before="300" w:after="283"/>
        <w:ind w:left="0" w:right="0" w:firstLine="54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2023</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64" w:before="180" w:after="283"/>
        <w:ind w:left="0" w:right="0" w:firstLine="540"/>
        <w:jc w:val="center"/>
        <w:rPr/>
      </w:pPr>
      <w:r>
        <w:rPr>
          <w:rFonts w:ascii="Times New Roman;sans-serif" w:hAnsi="Times New Roman;sans-serif"/>
          <w:b/>
          <w:color w:val="000000"/>
          <w:sz w:val="18"/>
        </w:rPr>
        <w:t>For the transition period from _____</w:t>
      </w:r>
      <w:r>
        <w:rPr>
          <w:color w:val="000000"/>
          <w:u w:val="single"/>
        </w:rPr>
        <w:t> </w:t>
      </w:r>
      <w:r>
        <w:rPr>
          <w:rFonts w:ascii="Times New Roman;sans-serif" w:hAnsi="Times New Roman;sans-serif"/>
          <w:b/>
          <w:color w:val="000000"/>
          <w:sz w:val="18"/>
        </w:rPr>
        <w:t>to ____</w:t>
      </w:r>
      <w:r>
        <w:rPr>
          <w:color w:val="000000"/>
          <w:u w:val="single"/>
        </w:rPr>
        <w:t> </w:t>
      </w:r>
      <w:r>
        <w:rPr>
          <w:rFonts w:ascii="Times New Roman;sans-serif" w:hAnsi="Times New Roman;sans-serif"/>
          <w:b/>
          <w:color w:val="000000"/>
          <w:sz w:val="18"/>
        </w:rPr>
        <w:t>.</w:t>
      </w:r>
      <w:r>
        <w:rPr>
          <w:color w:val="000000"/>
        </w:rPr>
        <w:t> </w:t>
      </w:r>
    </w:p>
    <w:p>
      <w:pPr>
        <w:pStyle w:val="TextBody"/>
        <w:bidi w:val="0"/>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Commission File Number: 001-39614</w:t>
      </w:r>
    </w:p>
    <w:p>
      <w:pPr>
        <w:pStyle w:val="TextBody"/>
        <w:bidi w:val="0"/>
        <w:spacing w:lineRule="auto" w:line="264" w:before="0" w:after="0"/>
        <w:jc w:val="center"/>
        <w:rPr>
          <w:rFonts w:ascii="Times New Roman;sans-serif" w:hAnsi="Times New Roman;sans-serif"/>
          <w:b/>
          <w:color w:val="000000"/>
          <w:sz w:val="36"/>
        </w:rPr>
      </w:pPr>
      <w:r>
        <w:rPr>
          <w:rFonts w:ascii="Times New Roman;sans-serif" w:hAnsi="Times New Roman;sans-serif"/>
          <w:b/>
          <w:color w:val="000000"/>
          <w:sz w:val="36"/>
        </w:rPr>
        <w:t>TARSUS PHARMACEUTICALS, INC.</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332" w:type="dxa"/>
        <w:jc w:val="center"/>
        <w:tblInd w:w="0" w:type="dxa"/>
        <w:tblLayout w:type="fixed"/>
        <w:tblCellMar>
          <w:top w:w="28" w:type="dxa"/>
          <w:left w:w="28" w:type="dxa"/>
          <w:bottom w:w="28" w:type="dxa"/>
          <w:right w:w="28" w:type="dxa"/>
        </w:tblCellMar>
      </w:tblPr>
      <w:tblGrid>
        <w:gridCol w:w="883"/>
        <w:gridCol w:w="779"/>
        <w:gridCol w:w="783"/>
        <w:gridCol w:w="109"/>
        <w:gridCol w:w="109"/>
        <w:gridCol w:w="109"/>
        <w:gridCol w:w="455"/>
        <w:gridCol w:w="455"/>
        <w:gridCol w:w="650"/>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81-4717861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No.)</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52" w:type="dxa"/>
        <w:jc w:val="center"/>
        <w:tblInd w:w="0" w:type="dxa"/>
        <w:tblLayout w:type="fixed"/>
        <w:tblCellMar>
          <w:top w:w="28" w:type="dxa"/>
          <w:left w:w="28" w:type="dxa"/>
          <w:bottom w:w="28" w:type="dxa"/>
          <w:right w:w="28" w:type="dxa"/>
        </w:tblCellMar>
      </w:tblPr>
      <w:tblGrid>
        <w:gridCol w:w="1133"/>
        <w:gridCol w:w="997"/>
        <w:gridCol w:w="1005"/>
        <w:gridCol w:w="109"/>
        <w:gridCol w:w="109"/>
        <w:gridCol w:w="109"/>
        <w:gridCol w:w="290"/>
        <w:gridCol w:w="290"/>
        <w:gridCol w:w="410"/>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ans-serif" w:hAnsi="Times New Roman;sans-serif"/>
                <w:b/>
                <w:color w:val="000000"/>
                <w:sz w:val="18"/>
              </w:rPr>
            </w:pPr>
            <w:r>
              <w:rPr>
                <w:rFonts w:ascii="Times New Roman;sans-serif" w:hAnsi="Times New Roman;sans-serif"/>
                <w:b/>
                <w:color w:val="000000"/>
                <w:sz w:val="18"/>
              </w:rPr>
              <w:t>15440 Laguna Canyon Road, Suite 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92618</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(949) 409-9820</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4"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708" w:type="dxa"/>
        <w:jc w:val="center"/>
        <w:tblInd w:w="0" w:type="dxa"/>
        <w:tblLayout w:type="fixed"/>
        <w:tblCellMar>
          <w:top w:w="28" w:type="dxa"/>
          <w:left w:w="28" w:type="dxa"/>
          <w:bottom w:w="28" w:type="dxa"/>
          <w:right w:w="28" w:type="dxa"/>
        </w:tblCellMar>
      </w:tblPr>
      <w:tblGrid>
        <w:gridCol w:w="1174"/>
        <w:gridCol w:w="1025"/>
        <w:gridCol w:w="1040"/>
        <w:gridCol w:w="414"/>
        <w:gridCol w:w="414"/>
        <w:gridCol w:w="416"/>
        <w:gridCol w:w="945"/>
        <w:gridCol w:w="945"/>
        <w:gridCol w:w="1335"/>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per share</w:t>
            </w:r>
          </w:p>
        </w:tc>
        <w:tc>
          <w:tcPr>
            <w:tcW w:w="12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TARS</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 LLC</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Yes ☒ No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8"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3"/>
        <w:gridCol w:w="673"/>
        <w:gridCol w:w="680"/>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990"/>
        <w:jc w:val="both"/>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bidi w:val="0"/>
        <w:spacing w:before="0" w:after="0"/>
        <w:ind w:left="0" w:right="0" w:firstLine="99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August 4, 2023, the number of outstanding shares of the registrant's common stock, par value $0.0001 per share, was 32,616,517.</w:t>
      </w:r>
    </w:p>
    <w:p>
      <w:pPr>
        <w:pStyle w:val="TextBody"/>
        <w:bidi w:val="0"/>
        <w:spacing w:before="0" w:after="0"/>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321" w:type="dxa"/>
        <w:jc w:val="center"/>
        <w:tblInd w:w="0" w:type="dxa"/>
        <w:tblLayout w:type="fixed"/>
        <w:tblCellMar>
          <w:top w:w="28" w:type="dxa"/>
          <w:left w:w="28" w:type="dxa"/>
          <w:bottom w:w="28" w:type="dxa"/>
          <w:right w:w="28" w:type="dxa"/>
        </w:tblCellMar>
      </w:tblPr>
      <w:tblGrid>
        <w:gridCol w:w="2877"/>
        <w:gridCol w:w="2529"/>
        <w:gridCol w:w="2543"/>
        <w:gridCol w:w="109"/>
        <w:gridCol w:w="109"/>
        <w:gridCol w:w="154"/>
      </w:tblGrid>
      <w:tr>
        <w:trPr/>
        <w:tc>
          <w:tcPr>
            <w:tcW w:w="2877"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10">
              <w:r>
                <w:rPr>
                  <w:rStyle w:val="InternetLink"/>
                  <w:rFonts w:ascii="Times New Roman;sans-serif" w:hAnsi="Times New Roman;sans-serif"/>
                  <w:b w:val="false"/>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10">
              <w:r>
                <w:rPr>
                  <w:rStyle w:val="InternetLink"/>
                  <w:rFonts w:ascii="Times New Roman;sans-serif" w:hAnsi="Times New Roman;sans-serif"/>
                  <w:b w:val="false"/>
                  <w:strike w:val="false"/>
                  <w:dstrike w:val="false"/>
                  <w:color w:val="000000"/>
                  <w:sz w:val="20"/>
                  <w:u w:val="none"/>
                  <w:effect w:val="none"/>
                </w:rPr>
                <w:t>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13">
              <w:r>
                <w:rPr>
                  <w:rStyle w:val="InternetLink"/>
                  <w:rFonts w:ascii="Times New Roman;sans-serif" w:hAnsi="Times New Roman;sans-serif"/>
                  <w:b w:val="false"/>
                  <w:color w:val="0000FF"/>
                  <w:sz w:val="20"/>
                  <w:u w:val="single"/>
                </w:rPr>
                <w:t>Item 1.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13">
              <w:r>
                <w:rPr>
                  <w:rStyle w:val="InternetLink"/>
                  <w:rFonts w:ascii="Times New Roman;sans-serif" w:hAnsi="Times New Roman;sans-serif"/>
                  <w:b w:val="false"/>
                  <w:strike w:val="false"/>
                  <w:dstrike w:val="false"/>
                  <w:color w:val="000000"/>
                  <w:sz w:val="20"/>
                  <w:u w:val="none"/>
                  <w:effect w:val="none"/>
                </w:rPr>
                <w:t>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73">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73">
              <w:r>
                <w:rPr>
                  <w:rStyle w:val="InternetLink"/>
                  <w:rFonts w:ascii="Times New Roman;sans-serif" w:hAnsi="Times New Roman;sans-serif"/>
                  <w:b w:val="false"/>
                  <w:strike w:val="false"/>
                  <w:dstrike w:val="false"/>
                  <w:color w:val="000000"/>
                  <w:sz w:val="20"/>
                  <w:u w:val="none"/>
                  <w:effect w:val="none"/>
                </w:rPr>
                <w:t>25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79">
              <w:r>
                <w:rPr>
                  <w:rStyle w:val="InternetLink"/>
                  <w:rFonts w:ascii="Times New Roman;sans-serif" w:hAnsi="Times New Roman;sans-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79">
              <w:r>
                <w:rPr>
                  <w:rStyle w:val="InternetLink"/>
                  <w:rFonts w:ascii="Times New Roman;sans-serif" w:hAnsi="Times New Roman;sans-serif"/>
                  <w:b w:val="false"/>
                  <w:strike w:val="false"/>
                  <w:dstrike w:val="false"/>
                  <w:color w:val="000000"/>
                  <w:sz w:val="20"/>
                  <w:u w:val="none"/>
                  <w:effect w:val="none"/>
                </w:rPr>
                <w:t>37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82">
              <w:r>
                <w:rPr>
                  <w:rStyle w:val="InternetLink"/>
                  <w:rFonts w:ascii="Times New Roman;sans-serif" w:hAnsi="Times New Roman;sans-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82">
              <w:r>
                <w:rPr>
                  <w:rStyle w:val="InternetLink"/>
                  <w:rFonts w:ascii="Times New Roman;sans-serif" w:hAnsi="Times New Roman;sans-serif"/>
                  <w:b w:val="false"/>
                  <w:strike w:val="false"/>
                  <w:dstrike w:val="false"/>
                  <w:color w:val="000000"/>
                  <w:sz w:val="20"/>
                  <w:u w:val="none"/>
                  <w:effect w:val="none"/>
                </w:rPr>
                <w:t>37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85">
              <w:r>
                <w:rPr>
                  <w:rStyle w:val="InternetLink"/>
                  <w:rFonts w:ascii="Times New Roman;sans-serif" w:hAnsi="Times New Roman;sans-serif"/>
                  <w:b w:val="false"/>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85">
              <w:r>
                <w:rPr>
                  <w:rStyle w:val="InternetLink"/>
                  <w:rFonts w:ascii="Times New Roman;sans-serif" w:hAnsi="Times New Roman;sans-serif"/>
                  <w:b w:val="false"/>
                  <w:strike w:val="false"/>
                  <w:dstrike w:val="false"/>
                  <w:color w:val="000000"/>
                  <w:sz w:val="20"/>
                  <w:u w:val="none"/>
                  <w:effect w:val="none"/>
                </w:rPr>
                <w:t>39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88">
              <w:r>
                <w:rPr>
                  <w:rStyle w:val="InternetLink"/>
                  <w:rFonts w:ascii="Times New Roman;sans-serif" w:hAnsi="Times New Roman;sans-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88">
              <w:r>
                <w:rPr>
                  <w:rStyle w:val="InternetLink"/>
                  <w:rFonts w:ascii="Times New Roman;sans-serif" w:hAnsi="Times New Roman;sans-serif"/>
                  <w:b w:val="false"/>
                  <w:strike w:val="false"/>
                  <w:dstrike w:val="false"/>
                  <w:color w:val="000000"/>
                  <w:sz w:val="20"/>
                  <w:u w:val="none"/>
                  <w:effect w:val="none"/>
                </w:rPr>
                <w:t>39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91">
              <w:r>
                <w:rPr>
                  <w:rStyle w:val="InternetLink"/>
                  <w:rFonts w:ascii="Times New Roman;sans-serif" w:hAnsi="Times New Roman;sans-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91">
              <w:r>
                <w:rPr>
                  <w:rStyle w:val="InternetLink"/>
                  <w:rFonts w:ascii="Times New Roman;sans-serif" w:hAnsi="Times New Roman;sans-serif"/>
                  <w:b w:val="false"/>
                  <w:strike w:val="false"/>
                  <w:dstrike w:val="false"/>
                  <w:color w:val="000000"/>
                  <w:sz w:val="20"/>
                  <w:u w:val="none"/>
                  <w:effect w:val="none"/>
                </w:rPr>
                <w:t>39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94">
              <w:r>
                <w:rPr>
                  <w:rStyle w:val="InternetLink"/>
                  <w:rFonts w:ascii="Times New Roman;sans-serif" w:hAnsi="Times New Roman;sans-serif"/>
                  <w:b w:val="false"/>
                  <w:color w:val="0000FF"/>
                  <w:sz w:val="20"/>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94">
              <w:r>
                <w:rPr>
                  <w:rStyle w:val="InternetLink"/>
                  <w:rFonts w:ascii="Times New Roman;sans-serif" w:hAnsi="Times New Roman;sans-serif"/>
                  <w:b w:val="false"/>
                  <w:strike w:val="false"/>
                  <w:dstrike w:val="false"/>
                  <w:color w:val="000000"/>
                  <w:sz w:val="20"/>
                  <w:u w:val="none"/>
                  <w:effect w:val="none"/>
                </w:rPr>
                <w:t>40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97">
              <w:r>
                <w:rPr>
                  <w:rStyle w:val="InternetLink"/>
                  <w:rFonts w:ascii="Times New Roman;sans-serif" w:hAnsi="Times New Roman;sans-serif"/>
                  <w:b w:val="false"/>
                  <w:color w:val="0000FF"/>
                  <w:sz w:val="20"/>
                  <w:u w:val="singl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97">
              <w:r>
                <w:rPr>
                  <w:rStyle w:val="InternetLink"/>
                  <w:rFonts w:ascii="Times New Roman;sans-serif" w:hAnsi="Times New Roman;sans-serif"/>
                  <w:b w:val="false"/>
                  <w:strike w:val="false"/>
                  <w:dstrike w:val="false"/>
                  <w:color w:val="000000"/>
                  <w:sz w:val="20"/>
                  <w:u w:val="none"/>
                  <w:effect w:val="none"/>
                </w:rPr>
                <w:t>40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100">
              <w:r>
                <w:rPr>
                  <w:rStyle w:val="InternetLink"/>
                  <w:rFonts w:ascii="Times New Roman;sans-serif" w:hAnsi="Times New Roman;sans-serif"/>
                  <w:b w:val="false"/>
                  <w:color w:val="0000FF"/>
                  <w:sz w:val="20"/>
                  <w:u w:val="singl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100">
              <w:r>
                <w:rPr>
                  <w:rStyle w:val="InternetLink"/>
                  <w:rFonts w:ascii="Times New Roman;sans-serif" w:hAnsi="Times New Roman;sans-serif"/>
                  <w:b w:val="false"/>
                  <w:strike w:val="false"/>
                  <w:dstrike w:val="false"/>
                  <w:color w:val="000000"/>
                  <w:sz w:val="20"/>
                  <w:u w:val="none"/>
                  <w:effect w:val="none"/>
                </w:rPr>
                <w:t>40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103">
              <w:r>
                <w:rPr>
                  <w:rStyle w:val="InternetLink"/>
                  <w:rFonts w:ascii="Times New Roman;sans-serif" w:hAnsi="Times New Roman;sans-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103">
              <w:r>
                <w:rPr>
                  <w:rStyle w:val="InternetLink"/>
                  <w:rFonts w:ascii="Times New Roman;sans-serif" w:hAnsi="Times New Roman;sans-serif"/>
                  <w:b w:val="false"/>
                  <w:strike w:val="false"/>
                  <w:dstrike w:val="false"/>
                  <w:color w:val="000000"/>
                  <w:sz w:val="20"/>
                  <w:u w:val="none"/>
                  <w:effect w:val="none"/>
                </w:rPr>
                <w:t>40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106">
              <w:r>
                <w:rPr>
                  <w:rStyle w:val="InternetLink"/>
                  <w:rFonts w:ascii="Times New Roman;sans-serif" w:hAnsi="Times New Roman;sans-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106">
              <w:r>
                <w:rPr>
                  <w:rStyle w:val="InternetLink"/>
                  <w:rFonts w:ascii="Times New Roman;sans-serif" w:hAnsi="Times New Roman;sans-serif"/>
                  <w:b w:val="false"/>
                  <w:strike w:val="false"/>
                  <w:dstrike w:val="false"/>
                  <w:color w:val="000000"/>
                  <w:sz w:val="20"/>
                  <w:u w:val="none"/>
                  <w:effect w:val="none"/>
                </w:rPr>
                <w:t>42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109">
              <w:r>
                <w:rPr>
                  <w:rStyle w:val="InternetLink"/>
                  <w:rFonts w:ascii="Times New Roman;sans-serif" w:hAnsi="Times New Roman;sans-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109">
              <w:r>
                <w:rPr>
                  <w:rStyle w:val="InternetLink"/>
                  <w:rFonts w:ascii="Times New Roman;sans-serif" w:hAnsi="Times New Roman;sans-serif"/>
                  <w:b w:val="false"/>
                  <w:strike w:val="false"/>
                  <w:dstrike w:val="false"/>
                  <w:color w:val="000000"/>
                  <w:sz w:val="20"/>
                  <w:u w:val="none"/>
                  <w:effect w:val="none"/>
                </w:rPr>
                <w:t>43</w:t>
              </w:r>
            </w:hyperlink>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Item I.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THE FINANCIAL STATEMENTS</w:t>
      </w:r>
    </w:p>
    <w:tbl>
      <w:tblPr>
        <w:tblW w:w="5760" w:type="dxa"/>
        <w:jc w:val="center"/>
        <w:tblInd w:w="0" w:type="dxa"/>
        <w:tblLayout w:type="fixed"/>
        <w:tblCellMar>
          <w:top w:w="28" w:type="dxa"/>
          <w:left w:w="28" w:type="dxa"/>
          <w:bottom w:w="28" w:type="dxa"/>
          <w:right w:w="28" w:type="dxa"/>
        </w:tblCellMar>
      </w:tblPr>
      <w:tblGrid>
        <w:gridCol w:w="1878"/>
        <w:gridCol w:w="1653"/>
        <w:gridCol w:w="1658"/>
        <w:gridCol w:w="167"/>
        <w:gridCol w:w="167"/>
        <w:gridCol w:w="237"/>
      </w:tblGrid>
      <w:tr>
        <w:trPr/>
        <w:tc>
          <w:tcPr>
            <w:tcW w:w="187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Pages</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19">
              <w:r>
                <w:rPr>
                  <w:rStyle w:val="InternetLink"/>
                  <w:rFonts w:ascii="Times New Roman;sans-serif" w:hAnsi="Times New Roman;sans-serif"/>
                  <w:b w:val="false"/>
                  <w:color w:val="0000FF"/>
                  <w:sz w:val="20"/>
                  <w:u w:val="single"/>
                </w:rPr>
                <w:t>Condensed Balance Sheets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F-2</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22">
              <w:r>
                <w:rPr>
                  <w:rStyle w:val="InternetLink"/>
                  <w:rFonts w:ascii="Times New Roman;sans-serif" w:hAnsi="Times New Roman;sans-serif"/>
                  <w:b w:val="false"/>
                  <w:color w:val="0000FF"/>
                  <w:sz w:val="20"/>
                  <w:u w:val="single"/>
                </w:rPr>
                <w:t>Condensed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F-3</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25">
              <w:r>
                <w:rPr>
                  <w:rStyle w:val="InternetLink"/>
                  <w:rFonts w:ascii="Times New Roman;sans-serif" w:hAnsi="Times New Roman;sans-serif"/>
                  <w:b w:val="false"/>
                  <w:color w:val="0000FF"/>
                  <w:sz w:val="20"/>
                  <w:u w:val="single"/>
                </w:rPr>
                <w:t>Condensed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F-4</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28">
              <w:r>
                <w:rPr>
                  <w:rStyle w:val="InternetLink"/>
                  <w:rFonts w:ascii="Times New Roman;sans-serif" w:hAnsi="Times New Roman;sans-serif"/>
                  <w:b w:val="false"/>
                  <w:color w:val="0000FF"/>
                  <w:sz w:val="20"/>
                  <w:u w:val="single"/>
                </w:rPr>
                <w:t>Condensed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F-5</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e6feeaa6004a7bba69df77eedbb5dc_34">
              <w:r>
                <w:rPr>
                  <w:rStyle w:val="InternetLink"/>
                  <w:rFonts w:ascii="Times New Roman;sans-serif" w:hAnsi="Times New Roman;sans-serif"/>
                  <w:b w:val="false"/>
                  <w:color w:val="0000FF"/>
                  <w:sz w:val="20"/>
                  <w:u w:val="single"/>
                </w:rPr>
                <w:t>Notes to Condensed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F-6</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97"/>
        <w:gridCol w:w="2362"/>
        <w:gridCol w:w="2246"/>
        <w:gridCol w:w="203"/>
        <w:gridCol w:w="763"/>
        <w:gridCol w:w="112"/>
        <w:gridCol w:w="109"/>
        <w:gridCol w:w="109"/>
        <w:gridCol w:w="109"/>
        <w:gridCol w:w="233"/>
        <w:gridCol w:w="875"/>
        <w:gridCol w:w="187"/>
      </w:tblGrid>
      <w:tr>
        <w:trPr/>
        <w:tc>
          <w:tcPr>
            <w:tcW w:w="2897"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183,476 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225,375 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188,927 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227,863 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41,198 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Commitments and contingencies (</w:t>
            </w:r>
            <w:r>
              <w:rPr>
                <w:rFonts w:ascii="Times New Roman;sans-serif" w:hAnsi="Times New Roman;sans-serif"/>
                <w:b/>
                <w:i/>
                <w:color w:val="000000"/>
                <w:sz w:val="18"/>
              </w:rPr>
              <w:t>Note 8</w:t>
            </w:r>
            <w:r>
              <w:rPr>
                <w:rFonts w:ascii="Times New Roman;sans-serif" w:hAnsi="Times New Roman;sans-serif"/>
                <w:b/>
                <w:color w:val="000000"/>
                <w:sz w:val="18"/>
              </w:rPr>
              <w:t>)</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10,000,000 authorized; no shares issued and outstanding</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200,000,000 shares authorized; 26,899,572 shares issued and outstanding at June 30, 2023 (unaudited); 26,727,458 shares issued and outstanding at December 31, 2022</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301,732 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(108,763)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147,729 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192,900 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188,927 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227,863 </w:t>
            </w:r>
          </w:p>
        </w:tc>
        <w:tc>
          <w:tcPr>
            <w:tcW w:w="1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84"/>
        <w:gridCol w:w="1550"/>
        <w:gridCol w:w="1564"/>
        <w:gridCol w:w="219"/>
        <w:gridCol w:w="742"/>
        <w:gridCol w:w="109"/>
        <w:gridCol w:w="109"/>
        <w:gridCol w:w="109"/>
        <w:gridCol w:w="109"/>
        <w:gridCol w:w="223"/>
        <w:gridCol w:w="738"/>
        <w:gridCol w:w="109"/>
        <w:gridCol w:w="109"/>
        <w:gridCol w:w="109"/>
        <w:gridCol w:w="109"/>
        <w:gridCol w:w="219"/>
        <w:gridCol w:w="742"/>
        <w:gridCol w:w="109"/>
        <w:gridCol w:w="109"/>
        <w:gridCol w:w="109"/>
        <w:gridCol w:w="109"/>
        <w:gridCol w:w="219"/>
        <w:gridCol w:w="742"/>
        <w:gridCol w:w="155"/>
      </w:tblGrid>
      <w:tr>
        <w:trPr/>
        <w:tc>
          <w:tcPr>
            <w:tcW w:w="178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 and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equity investments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(expense), net </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marketable securities and cash equivalents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diluted</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 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26,815,733 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22,531,384 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 diluted</w:t>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26,815,733 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24,332,531 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26,779,203 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22,531,384 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before="0" w:after="0"/>
        <w:jc w:val="center"/>
        <w:rPr/>
      </w:pPr>
      <w:r>
        <w:rPr/>
      </w:r>
    </w:p>
    <w:tbl>
      <w:tblPr>
        <w:tblW w:w="10825" w:type="dxa"/>
        <w:jc w:val="center"/>
        <w:tblInd w:w="0" w:type="dxa"/>
        <w:tblLayout w:type="fixed"/>
        <w:tblCellMar>
          <w:top w:w="28" w:type="dxa"/>
          <w:left w:w="28" w:type="dxa"/>
          <w:bottom w:w="28" w:type="dxa"/>
          <w:right w:w="28" w:type="dxa"/>
        </w:tblCellMar>
      </w:tblPr>
      <w:tblGrid>
        <w:gridCol w:w="621"/>
        <w:gridCol w:w="282"/>
        <w:gridCol w:w="283"/>
        <w:gridCol w:w="203"/>
        <w:gridCol w:w="203"/>
        <w:gridCol w:w="181"/>
        <w:gridCol w:w="109"/>
        <w:gridCol w:w="109"/>
        <w:gridCol w:w="109"/>
        <w:gridCol w:w="196"/>
        <w:gridCol w:w="406"/>
        <w:gridCol w:w="109"/>
        <w:gridCol w:w="109"/>
        <w:gridCol w:w="109"/>
        <w:gridCol w:w="109"/>
        <w:gridCol w:w="480"/>
        <w:gridCol w:w="481"/>
        <w:gridCol w:w="181"/>
        <w:gridCol w:w="109"/>
        <w:gridCol w:w="109"/>
        <w:gridCol w:w="109"/>
        <w:gridCol w:w="226"/>
        <w:gridCol w:w="278"/>
        <w:gridCol w:w="127"/>
        <w:gridCol w:w="109"/>
        <w:gridCol w:w="109"/>
        <w:gridCol w:w="109"/>
        <w:gridCol w:w="196"/>
        <w:gridCol w:w="736"/>
        <w:gridCol w:w="109"/>
        <w:gridCol w:w="109"/>
        <w:gridCol w:w="109"/>
        <w:gridCol w:w="109"/>
        <w:gridCol w:w="329"/>
        <w:gridCol w:w="582"/>
        <w:gridCol w:w="185"/>
        <w:gridCol w:w="109"/>
        <w:gridCol w:w="109"/>
        <w:gridCol w:w="109"/>
        <w:gridCol w:w="196"/>
        <w:gridCol w:w="751"/>
        <w:gridCol w:w="109"/>
        <w:gridCol w:w="109"/>
        <w:gridCol w:w="109"/>
        <w:gridCol w:w="109"/>
        <w:gridCol w:w="196"/>
        <w:gridCol w:w="73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26,727,458 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Recognition of stock-based compensation expense </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26,800,512 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(31,424)</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Recognition of stock-based compensation expense </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in connection with the employee stock purchase plan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26,899,572 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45"/>
        <w:gridCol w:w="492"/>
        <w:gridCol w:w="493"/>
        <w:gridCol w:w="203"/>
        <w:gridCol w:w="203"/>
        <w:gridCol w:w="196"/>
        <w:gridCol w:w="109"/>
        <w:gridCol w:w="109"/>
        <w:gridCol w:w="109"/>
        <w:gridCol w:w="196"/>
        <w:gridCol w:w="406"/>
        <w:gridCol w:w="109"/>
        <w:gridCol w:w="109"/>
        <w:gridCol w:w="109"/>
        <w:gridCol w:w="109"/>
        <w:gridCol w:w="480"/>
        <w:gridCol w:w="481"/>
        <w:gridCol w:w="196"/>
        <w:gridCol w:w="109"/>
        <w:gridCol w:w="109"/>
        <w:gridCol w:w="109"/>
        <w:gridCol w:w="248"/>
        <w:gridCol w:w="305"/>
        <w:gridCol w:w="138"/>
        <w:gridCol w:w="109"/>
        <w:gridCol w:w="109"/>
        <w:gridCol w:w="109"/>
        <w:gridCol w:w="217"/>
        <w:gridCol w:w="818"/>
        <w:gridCol w:w="121"/>
        <w:gridCol w:w="109"/>
        <w:gridCol w:w="109"/>
        <w:gridCol w:w="109"/>
        <w:gridCol w:w="213"/>
        <w:gridCol w:w="719"/>
        <w:gridCol w:w="119"/>
        <w:gridCol w:w="109"/>
        <w:gridCol w:w="109"/>
        <w:gridCol w:w="109"/>
        <w:gridCol w:w="205"/>
        <w:gridCol w:w="773"/>
        <w:gridCol w:w="167"/>
      </w:tblGrid>
      <w:tr>
        <w:trPr/>
        <w:tc>
          <w:tcPr>
            <w:tcW w:w="74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4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20,698,737 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213,398 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Lapse of repurchase obligation for stock option exercises, prior to vesting</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20,718,528 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(66,910)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149,197 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(5,743)</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(5,743)</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follow-on public offering, net of issuance costs of $5,246</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5,889,832 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in connection with the employee stock purchase plan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Lapse of repurchase obligation for stock option exercises, prior to vesting</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2022</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26,644,252 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294,153 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(72,653)</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221,505 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TARSUS PHARMACEUTICALS, INC.</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9668" w:type="dxa"/>
        <w:jc w:val="center"/>
        <w:tblInd w:w="0" w:type="dxa"/>
        <w:tblLayout w:type="fixed"/>
        <w:tblCellMar>
          <w:top w:w="28" w:type="dxa"/>
          <w:left w:w="28" w:type="dxa"/>
          <w:bottom w:w="28" w:type="dxa"/>
          <w:right w:w="28" w:type="dxa"/>
        </w:tblCellMar>
      </w:tblPr>
      <w:tblGrid>
        <w:gridCol w:w="2611"/>
        <w:gridCol w:w="2298"/>
        <w:gridCol w:w="2305"/>
        <w:gridCol w:w="196"/>
        <w:gridCol w:w="736"/>
        <w:gridCol w:w="109"/>
        <w:gridCol w:w="109"/>
        <w:gridCol w:w="109"/>
        <w:gridCol w:w="109"/>
        <w:gridCol w:w="196"/>
        <w:gridCol w:w="736"/>
        <w:gridCol w:w="154"/>
      </w:tblGrid>
      <w:tr>
        <w:trPr/>
        <w:tc>
          <w:tcPr>
            <w:tcW w:w="2611"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term loan-related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equity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amortization/accretion on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from transactions denominated in a foreign currency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upon follow-on public offering, net of paid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common stock under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term loan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deferred offering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beginning of period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Noncash Investing and Financing Activities: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 obtained in exchange for operating lease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paid in cash</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of property and equipment included within accounts payable and other accrued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offering costs included within additional-paid in capital</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BUSINESS AND PRESENTATION OF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Tarsus Pharmaceuticals, Inc. (“Tarsus” or the “Company”) is a commercial stage biopharmaceutical company focused on the development and commercialization of therapeutics, starting with eye care. The Company’s operations currently consist of its preclinical and clinical studies, and corporate administration supporting planned business growth.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pPr>
      <w:r>
        <w:rPr>
          <w:rFonts w:ascii="Times New Roman;sans-serif" w:hAnsi="Times New Roman;sans-serif"/>
          <w:b w:val="false"/>
          <w:color w:val="000000"/>
          <w:sz w:val="20"/>
        </w:rPr>
        <w:t>On July 24, 2023, the United States ("U.S.") Food and Drug Administration ("FDA") approved XDEMVY</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(lotilaner ophthalmic solution) 0.25%, formerly known as TP-03, for the treatment of Demodex blepharitis. </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Follow-On Public Offerings</w:t>
      </w:r>
    </w:p>
    <w:p>
      <w:pPr>
        <w:pStyle w:val="TextBody"/>
        <w:bidi w:val="0"/>
        <w:spacing w:lineRule="auto" w:line="27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August 4, 2023, the Company completed a follow-on public offering under its shelf registration statement on Form S-3 that was declared effective by the SEC on November 5, 2021 of 5,714,285 shares of common stock at a public offering price of $17.50 per share (the "August 2023 Public Offering"). The aggregate net proceeds received by the Company were approximately $93.6 million, after deducting underwriting discounts, commissions, and other estimated offering-related expenses. The Company also granted the underwriters a 30-day option to purchase up to 857,142 additional shares of its common stock at the public offering price.</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August 2023 Public Offering, the Company terminated the prospectus (the “ATM Prospectus”) filed with Shelf Registration Statement, issuable pursuant to the terms of an Open Market Sale AgreementSM, dated November 1, 2021 by and between the Company and Jefferies LLC. The Company has not made any sales pursuant to the ATM Prospectus. Further, the Company will not make any sales of our common stock pursuant to the Sales Agreement, unless and until a new prospectus, prospectus supplement or a new registration statement is filed. Other than the termination of the ATM Prospectus, the Sales Agreement remains in full force and effect.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the Company completed a follow-on public offering under its Shelf Registration Statement for an initial underwritten sale of 5,600,000 shares of its common stock at a public offering price of $13.50 per share. The Company also granted the underwriters a 30-day option to purchase up to 840,000 additional shares of its common stock at the public offering price. In June 2022, the underwriters partially exercised this option and the Company's sale of an additional 289,832 shares at $13.50 per share was concurrently completed. Total aggregate net proceeds received by the Company were approximately $74.3 million, after deducting underwriting discounts, commissions, and other estimated offering-related expenses.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limited operating history, no product sales and has accumulated losses and negative cash flows from operations since inception. The Company has funded its inception-to-date operations through equity capital raises; including the Company's initial public offering in 2020 and the follow-on public offerings completed in May 2022 and August 2023, proceeds from its out-license agreement, and draws from its credit facility. The Company estimates that its existing capital resources will be sufficient to meet projected operating expense requirements for at least 12 months from the filing date of the accompanying Condensed Financial Statements in this Form 10-Q, which have been prepared on a going-concern basis.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expects the Company to continue to incur operating losses for the foreseeable future and may be required to raise additional capital to fund its ongoing operations. However, no assurance can be given as to whether financing will be available on terms acceptable to the Company, or at all. If the Company is unable to raise additional funds as required, it may need to delay, reduce, or terminate some or all of its commercialization efforts,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the Company has operated, managed and organized its business and financial information on an aggregate basis for the purposes of evaluating financial performance and the allocation of capital and personnel resources. The Company’s chief operating decision-maker (CODM), its Chief Executive Officer, reviews its operating results for the purpose of allocating resources and evaluating financial performance. Accordingly, the Company’s management determined that it operates one reportable operating segment.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Emerging Growth Company Status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As a result, it will adopt new or revised accounting standards on the relevant effective dates on which adoption of such standards is required for other public companies that are not emerging growth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USE OF ESTIMATES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Company’s Condensed Financial Statements have been prepared in conformity with generally accepted accounting principles ("GAAP") in the U.S. for interim financial information pursuant to Form 10-Q and with the rules and regulations</w:t>
      </w:r>
      <w:r>
        <w:rPr>
          <w:color w:val="000000"/>
        </w:rPr>
        <w:t xml:space="preserve"> </w:t>
      </w:r>
      <w:r>
        <w:rPr>
          <w:rFonts w:ascii="Times New Roman;sans-serif" w:hAnsi="Times New Roman;sans-serif"/>
          <w:b w:val="false"/>
          <w:color w:val="000000"/>
          <w:sz w:val="20"/>
        </w:rPr>
        <w:t>of the Securities and Exchange Commission ("SEC"). Accordingly, the accompanying Condensed Financial Statements do not include all of the information and footnotes required by GAAP for complete financial statements and should be read in conjunction with the audited financial statements and the related notes thereto in the Company’s Annual Report on Form 10-K for the year ended December 31, 2022, as filed with the SEC on March 17,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interim Condensed Balance Sheet as of June 30, 2023, the interim Condensed Statements of Operations and Comprehensive Loss, and the interim Condensed Statements of Stockholders’ Equity for the three and six months ended June 30, 2023 and 2022, and the interim Condensed Statements of Cash Flows for the six months ended June 30, 2023 and 2022 are unaudited. These unaudited interim financial statements have been prepared on the same basis as the Company’s annual financial statements and, in the opinion of management, reflect all adjustments, which consist of only normal and recurring adjustments for the fair presentation of its financial information.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data and other information disclosed in these notes related to the three and six-month periods are also unaudited. The Condensed Balance Sheet as of December 31, 2022 has been derived from the audited financial statements at that date but does not include all information and footnotes required by GAAP for annual financial statements. The condensed interim operating results for three and six months ended June 30, 2023 are not necessarily indicative of results to be expected for the year ending December 31, 2023 or any other interim or annual period.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and with the rules and regulations of the SEC requires management to make informed estimates and assumptions that affect the amounts reported in these financial statements and accompanying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 not readily apparent from other sources and involve judgments with respect to numerous factors that are difficult to predict and may materially differ from the amounts ultimately realized and reported due to the inherent uncertainty of any estimate or assumption. Actual results could differ materially from those estimates.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financial statements as of and for the three and six months ended June 30, 2023, reflect the Company’s estimates of the impact of the macroeconomic environment, including the impact of inflation, higher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issuance date of the accompanying Condensed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the Company’s significant accounting policies during the three and six months ended June 30, 2023, as compared with those disclosed in its Annual Report on Form 10-K for the year ended December 31, 2022, filed with the SEC on March 17, 2023, except as discussed below. The accounting policies and estimates that most significantly impact the presented amounts within the accompanying Condensed Financial Statements are further described below.</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Condensed Balance Sheets for cash and cash equivalents are valued at cost, which approximate their fair value.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Marketable Securities and Long-Term Investments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Marketable securities consist primarily of short-term fixed income investments carried at estimated fair value as determined based upon quoted market prices or pricing models for similar securities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Condensed Balance Sheets due to their highly liquid nature and availability for use in current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are recorded at fair value with unrealized losses and gains reported as a component of accumulated other comprehensive loss within the accompanying Condensed Statements of Stockholders' Equity until realized. 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The cost of debt securities is adjusted for amortization of premiums and accretion of discounts to maturity. Such amortization and accretion, as well as interest and dividends, are included in interest income. Realized losses and gains as well as credit losses, if any, on marketable securities identified on a specific identification basis and are included in other income (expense), net on the accompanying Condensed Statement of Operations and Comprehensive Loss. The Company evaluated the underlying credit quality and credit ratings of the issuers during the period. To date, the Company has not identified any other than temporary declines in fair value of its investments and no credit losses associated with credit risk have occurred or have been recorded. Interest earned on marketable securities is included in interest income within the accompanying Condensed Statements of Operations and Comprehensive Loss.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investments consist of holdings of common stock in the publicly-traded parent company of LianBio Ophthalmology Limited ("LianBio"), reflecting the intent to hold these shares for at least one year from the balance sheet date. These equity securities are designated as available-for-sale with associated gains or losses reported in other income (expense), net within the Condensed Statements of Operations and Comprehensive Loss for each reported period.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1:</w:t>
      </w:r>
      <w:r>
        <w:rPr>
          <w:color w:val="000000"/>
        </w:rPr>
        <w:t xml:space="preserve"> </w:t>
      </w:r>
      <w:r>
        <w:rPr>
          <w:rFonts w:ascii="Times New Roman;sans-serif" w:hAnsi="Times New Roman;sans-serif"/>
          <w:b w:val="false"/>
          <w:color w:val="000000"/>
          <w:sz w:val="20"/>
        </w:rPr>
        <w:t>Quoted prices (unadjusted) in active markets for identical assets or liabilities that are publicly accessible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2:</w:t>
      </w:r>
      <w:r>
        <w:rPr>
          <w:color w:val="000000"/>
        </w:rPr>
        <w:t xml:space="preserve"> </w:t>
      </w:r>
      <w:r>
        <w:rPr>
          <w:rFonts w:ascii="Times New Roman;sans-serif" w:hAnsi="Times New Roman;sans-serif"/>
          <w:b w:val="false"/>
          <w:color w:val="000000"/>
          <w:sz w:val="20"/>
        </w:rPr>
        <w:t>Observable prices that are based on inputs not quoted on active markets, but that are corroborated by market data. These inputs may include quoted prices for similar assets or liabilities or quoted market prices in markets that are not active to the general public.</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3:</w:t>
      </w:r>
      <w:r>
        <w:rPr>
          <w:color w:val="000000"/>
        </w:rPr>
        <w:t xml:space="preserve"> </w:t>
      </w:r>
      <w:r>
        <w:rPr>
          <w:rFonts w:ascii="Times New Roman;sans-serif" w:hAnsi="Times New Roman;sans-serif"/>
          <w:b w:val="false"/>
          <w:color w:val="000000"/>
          <w:sz w:val="20"/>
        </w:rPr>
        <w:t>Unobservable inputs that are supported by little or no market activity and that are significant to the fair value of the assets or liabilities.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carrying amounts for financial instruments consisting of cash, cash equivalents, short-term marketable securities, long-term investments, accounts payable and accrued liabilities approximate fair value due to the short maturities for each. The Company's equity warrant holdings disclosed as other assets are carried at fair value based on unobservable market inputs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 xml:space="preserv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years presented.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are stated at historical cost less accumulated depreciation. Depreciation is calculated using the straight-line method over the estimated useful lives of the assets that range from three to five years. Leasehold improvements are amortized on a straight-line basis over the shorter of the remaining lease term or the estimated useful lives of related improvements. The Company evaluates the recoverability of its property and equipment, net whenever events or 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There were no impairments recognized during the three and six months ended June 30, 2023 and 2022.</w:t>
      </w:r>
    </w:p>
    <w:p>
      <w:pPr>
        <w:pStyle w:val="TextBody"/>
        <w:bidi w:val="0"/>
        <w:spacing w:before="0" w:after="0"/>
        <w:ind w:left="0" w:right="0" w:firstLine="99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5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or contains a lease at inception. Right-of-Use assets (“ROU assets”) represent the Company’s right to control an underlying asset for the lease term and lease liabilities represent the Company’s obligation to make lease payments arising from the lease. ROU assets and liabilities are recognized at the commencement date based on the present value of lease payments over the initial non-cancelable lease term, unless there is a renewal option that is reasonably certain to be exercised. The Company uses its incremental borrowing rate at the lease commencement date in determining the discount rate utilized to present value the future minimum lease payments since an implicit interest rate in each at-market lease agreement was not determinable. The Company has lease agreements with both lease and non-lease components, which are accounted for as a single component for all asset classes. Lease expense for the Company's operating leases are recognized on a straight-line basis over the lease term.</w:t>
      </w:r>
    </w:p>
    <w:p>
      <w:pPr>
        <w:pStyle w:val="TextBody"/>
        <w:bidi w:val="0"/>
        <w:spacing w:before="0" w:after="0"/>
        <w:jc w:val="left"/>
        <w:rPr/>
      </w:pPr>
      <w:r>
        <w:rPr/>
      </w:r>
    </w:p>
    <w:p>
      <w:pPr>
        <w:pStyle w:val="TextBody"/>
        <w:bidi w:val="0"/>
        <w:spacing w:lineRule="auto" w:line="25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variable lease costs, consisting primarily of real estate taxes, insurance costs, and common area maintenance, are expensed as incurred and excluded from the reported ROU asset and lease liability amounts presented in the accompanying Condensed Balance Sheets. Rent expense is allocated to research and development and general and administrative expenses in the accompanying Condensed Statements of Operations and Comprehensive Loss.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 and Other Risks and Uncertainties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significant concentrations of credit risk consist primarily of cash, cash equivalents and marketable securities. The Company maintains cash held in deposit at financial institutions in the U.S., including Silicon Valley Bank ("SVB"), a division of First Citizens Bank. These deposits are insured by the Federal Deposit Insurance Corporation ("FDIC") in an amount up to $250,000 for any depositor. To the extent the Company holds cash deposits in amounts that exceed the FDIC insurance limitation, it may incur a loss in the event of a failure of any of the financial institutions where it maintains deposits. The Company invests its excess cash in highly liquid investments, including money market fund accounts, that are readily convertible into cash without penalty.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the Company is not exposed to significant credit risk due to the financial position of the depository institution, but will continue to monitor regularly and adjust, if needed, to mitigate risk, including any ongoing or new events involving limited liquidity, defaults, non-performance or other adverse developments that affect financial institutions. The Company has established guidelines regarding diversification of its investments and their maturities, which are designed to maintain principal and maximize liquidity. To date, the Company has not experienced any losses associated with this credit risk and continues to assess that this exposure is not significant.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 for Out-License Arrangements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Overview </w:t>
      </w:r>
    </w:p>
    <w:p>
      <w:pPr>
        <w:pStyle w:val="TextBody"/>
        <w:bidi w:val="0"/>
        <w:spacing w:before="0" w:after="0"/>
        <w:jc w:val="left"/>
        <w:rPr/>
      </w:pPr>
      <w:r>
        <w:rPr/>
      </w:r>
    </w:p>
    <w:p>
      <w:pPr>
        <w:pStyle w:val="TextBody"/>
        <w:bidi w:val="0"/>
        <w:spacing w:lineRule="auto" w:line="288" w:before="0" w:after="0"/>
        <w:ind w:left="0" w:right="0" w:firstLine="990"/>
        <w:jc w:val="left"/>
        <w:rPr/>
      </w:pPr>
      <w:r>
        <w:rPr>
          <w:rFonts w:ascii="Times New Roman;sans-serif" w:hAnsi="Times New Roman;sans-serif"/>
          <w:b w:val="false"/>
          <w:color w:val="000000"/>
          <w:sz w:val="20"/>
        </w:rPr>
        <w:t xml:space="preserve">The Company currently has no product revenue. Reported revenue in the accompanying Condensed Statements of Operations and Comprehensive Loss is associated with one out-license agreement (the "China Out-License") that allows the third-party licensee to market the Company's TP-03 product candidate (representing functional intellectual property) in the People's Republic of China, Hong Kong, Macau, and Taiwan (the "China territory")— see </w:t>
      </w:r>
      <w:r>
        <w:rPr>
          <w:rFonts w:ascii="Times New Roman;sans-serif" w:hAnsi="Times New Roman;sans-serif"/>
          <w:b w:val="false"/>
          <w:i/>
          <w:color w:val="000000"/>
          <w:sz w:val="20"/>
        </w:rPr>
        <w:t>Note 9</w:t>
      </w:r>
      <w:r>
        <w:rPr>
          <w:rFonts w:ascii="Times New Roman;sans-serif" w:hAnsi="Times New Roman;sans-serif"/>
          <w:b w:val="false"/>
          <w:color w:val="000000"/>
          <w:sz w:val="20"/>
        </w:rPr>
        <w:t xml:space="preserve">.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China Out-License arrangement included the following forms of consideration: (i) non-refundable upfront license payment; (ii) equity-based consideration; (iii) sales-based royalties; (iv) sales-based threshold milestones; (v) one-time payments for executing drug supply agreements; (vi) development milestone payments; and (vii) regulatory milestone payments.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progress, and thereby periods over which revenue is recognized, is subject to estimates by management and may change over the course of the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Contractual Terms for Receipt of Payments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contractual terms that establish the Company’s right to collect specified amounts from its customers and that require contemporaneous evaluation and documentation under GAAP for the corresponding timing and amount of revenue recognition, are as follows: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(1) </w:t>
      </w:r>
      <w:r>
        <w:rPr>
          <w:rFonts w:ascii="Times New Roman;sans-serif" w:hAnsi="Times New Roman;sans-serif"/>
          <w:b/>
          <w:i/>
          <w:color w:val="000000"/>
          <w:sz w:val="20"/>
        </w:rPr>
        <w:t>Upfront License Fees:</w:t>
      </w:r>
      <w:r>
        <w:rPr>
          <w:color w:val="000000"/>
        </w:rPr>
        <w:t xml:space="preserve"> </w:t>
      </w:r>
      <w:r>
        <w:rPr>
          <w:rFonts w:ascii="Times New Roman;sans-serif" w:hAnsi="Times New Roman;sans-serif"/>
          <w:b w:val="false"/>
          <w:color w:val="000000"/>
          <w:sz w:val="20"/>
        </w:rPr>
        <w:t>The Company determines whether non-refundable license fee consideration is recognized at the time of contract execution (i.e., when the license is transferred to the customer and the customer is able to use and benefit from the license) or over the actual (or implied) contractual period of the China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(2) </w:t>
      </w:r>
      <w:r>
        <w:rPr>
          <w:rFonts w:ascii="Times New Roman;sans-serif" w:hAnsi="Times New Roman;sans-serif"/>
          <w:b/>
          <w:i/>
          <w:color w:val="000000"/>
          <w:sz w:val="20"/>
        </w:rPr>
        <w:t>Development Milestones:</w:t>
      </w:r>
      <w:r>
        <w:rPr>
          <w:color w:val="000000"/>
        </w:rPr>
        <w:t xml:space="preserve"> </w:t>
      </w:r>
      <w:r>
        <w:rPr>
          <w:rFonts w:ascii="Times New Roman;sans-serif" w:hAnsi="Times New Roman;sans-serif"/>
          <w:b w:val="false"/>
          <w:color w:val="000000"/>
          <w:sz w:val="20"/>
        </w:rPr>
        <w:t xml:space="preserve">The Company utilizes the most likely amount method to estimate the amount of consideration to which it will be entitled 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(3) </w:t>
      </w:r>
      <w:r>
        <w:rPr>
          <w:rFonts w:ascii="Times New Roman;sans-serif" w:hAnsi="Times New Roman;sans-serif"/>
          <w:b/>
          <w:i/>
          <w:color w:val="000000"/>
          <w:sz w:val="20"/>
        </w:rPr>
        <w:t>Regulatory Milestones:</w:t>
      </w:r>
      <w:r>
        <w:rPr>
          <w:color w:val="000000"/>
        </w:rPr>
        <w:t xml:space="preserve"> </w:t>
      </w:r>
      <w:r>
        <w:rPr>
          <w:rFonts w:ascii="Times New Roman;sans-serif" w:hAnsi="Times New Roman;sans-serif"/>
          <w:b w:val="false"/>
          <w:color w:val="000000"/>
          <w:sz w:val="20"/>
        </w:rPr>
        <w:t>The Company utilizes the most likely amount method to estimate the consideration to which it will be entitled and 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(4) </w:t>
      </w:r>
      <w:r>
        <w:rPr>
          <w:rFonts w:ascii="Times New Roman;sans-serif" w:hAnsi="Times New Roman;sans-serif"/>
          <w:b/>
          <w:i/>
          <w:color w:val="000000"/>
          <w:sz w:val="20"/>
        </w:rPr>
        <w:t>Royalties:</w:t>
      </w:r>
      <w:r>
        <w:rPr>
          <w:color w:val="000000"/>
        </w:rPr>
        <w:t xml:space="preserve"> </w:t>
      </w:r>
      <w:r>
        <w:rPr>
          <w:rFonts w:ascii="Times New Roman;sans-serif" w:hAnsi="Times New Roman;sans-serif"/>
          <w:b w:val="false"/>
          <w:color w:val="000000"/>
          <w:sz w:val="20"/>
        </w:rPr>
        <w:t>Under the sales-or-usage-based royalty exception the Company recognizes revenue based on the contractual percentage of the 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(5) </w:t>
      </w:r>
      <w:r>
        <w:rPr>
          <w:rFonts w:ascii="Times New Roman;sans-serif" w:hAnsi="Times New Roman;sans-serif"/>
          <w:b/>
          <w:i/>
          <w:color w:val="000000"/>
          <w:sz w:val="20"/>
        </w:rPr>
        <w:t>Sales Threshold Milestones:</w:t>
      </w:r>
      <w:r>
        <w:rPr>
          <w:color w:val="000000"/>
        </w:rPr>
        <w:t xml:space="preserve"> </w:t>
      </w:r>
      <w:r>
        <w:rPr>
          <w:rFonts w:ascii="Times New Roman;sans-serif" w:hAnsi="Times New Roman;sans-serif"/>
          <w:b w:val="false"/>
          <w:color w:val="000000"/>
          <w:sz w:val="20"/>
        </w:rPr>
        <w:t xml:space="preserve">Similar to royalties, applying the sales-or-usage-based royalty exception, the Company recognizes revenue from 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the China Out-License.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re-evaluates the measure of progress to each performance obligation in each reporting period as uncertain events are resolved and other changes in circumstances occur. </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Costs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costs of certain salaries and other employee-related costs (including stock-based compensation), and costs to conduct nonclinical studies, clinical trials and contract manufacturing activities. The Company accrues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 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contract research organizations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To date, there have been no material differences between estimates of such expenses and the amounts actually incurred.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stock on the date preceding the award grant date.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awards granted typically have one to four-year service conditions and a contractual term of 10 years. Any performance conditions for vesting are explicitly stated in each award agreement and are associated with clinical, business 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recognizes related expense on an accelerated attribution method, if and when it concludes that it is highly probable that the performance condition will be achieved. At each reporting period, the Company reassesses the probability of the achievement of the performance vesting conditions. As applicable, the Company reverses previously recognized expense for unvested awards in the same period of forfeiture.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stock-based compensation expense is reported in the accompanying Condensed Statements of Operations and Comprehensive Loss within research and development expense or general and administrative expense, based upon the assigned department of the award recipient. The measurement of the fair value of stock option awards and recognition of stock-based compensation expense requires assumptions to be estimated by management that involve inherent uncertainties and the application of management’s judgment, including:</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Fair Value of Common Stock</w:t>
      </w:r>
      <w:r>
        <w:rPr>
          <w:color w:val="000000"/>
        </w:rPr>
        <w:t xml:space="preserve"> — </w:t>
      </w:r>
      <w:r>
        <w:rPr>
          <w:rFonts w:ascii="Times New Roman;sans-serif" w:hAnsi="Times New Roman;sans-serif"/>
          <w:b w:val="false"/>
          <w:color w:val="000000"/>
          <w:sz w:val="20"/>
        </w:rPr>
        <w:t xml:space="preserve">Subsequent to the IPO, the fair value of the Company’s common stock is based on the closing quoted market price of its common stock as reported by the Nasdaq Global Select Market on the date of the option grant.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The Company’s expected term represents the period that the Company’s stock option awards are expected to be outstanding. Management estimates the expected term of awarded stock options utilizing the simplified method (based on the mid-point between the vesting date and the end of the contractual term) to determine the expected term since the Company does not yet have sufficient exercise history.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Prior to 2023, the Company did not have sufficient trading history for its common stock to use its own historical volatility. Management estimated the expected volatility based on a designated peer-group of publicly-traded companies for a look-back period (from the date of grant) that corresponded with the expected term of the awarded stock option. Beginning in January 2023, the Company began using its own historical stock price for expected volatility.</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The Company estimates the risk-free interest rate based upon the U.S. Department of Treasury yield curve in effect at award grant date for the time period that corresponds with the expected term of the awarded stock option.</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Dividend Yield</w:t>
      </w:r>
      <w:r>
        <w:rPr>
          <w:color w:val="000000"/>
        </w:rPr>
        <w:t xml:space="preserve"> — </w:t>
      </w:r>
      <w:r>
        <w:rPr>
          <w:rFonts w:ascii="Times New Roman;sans-serif" w:hAnsi="Times New Roman;sans-serif"/>
          <w:b w:val="false"/>
          <w:color w:val="000000"/>
          <w:sz w:val="20"/>
        </w:rPr>
        <w:t xml:space="preserve">The Company’s expected dividend yield is zero because it has never paid cash dividends and does not expect to for the foreseeable future.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99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Due to a net loss for the three and six months ended June 30, 2023 and 2022, all otherwise potentially dilutive securities are antidilutive, and accordingly, the reported basic net loss per share equals the reported diluted net loss per share in each period presented.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Comprehensive Loss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represents (i) net loss for the periods presented, and (ii) unrealized gains or losses on the Company's reported available-for-sale debt securities.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or Effective Accounting Standards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Recently issued or effective accounting pronouncements that impact, or may have an impact, on the Company’s financial statements have been discussed within the footnote to which each relates. Other recent accounting pronouncements not disclosed in these Condensed Financial Statements have been determined by the Company’s management to have no impact, or an immaterial impact, on its current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table below summarizes certain financial instruments measured at fair value that are included within the accompanying balance sheets, and their designation among the three fair value measurement categories (see </w:t>
      </w:r>
      <w:r>
        <w:rPr>
          <w:rFonts w:ascii="Times New Roman;sans-serif" w:hAnsi="Times New Roman;sans-serif"/>
          <w:b w:val="false"/>
          <w:i/>
          <w:color w:val="000000"/>
          <w:sz w:val="20"/>
        </w:rPr>
        <w:t>Note 2</w:t>
      </w:r>
      <w:r>
        <w:rPr>
          <w:color w:val="000000"/>
        </w:rPr>
        <w:t xml:space="preserve"> </w:t>
      </w:r>
      <w:r>
        <w:rPr>
          <w:rFonts w:ascii="Times New Roman;sans-serif" w:hAnsi="Times New Roman;sans-serif"/>
          <w:b w:val="false"/>
          <w:i/>
          <w:color w:val="000000"/>
          <w:sz w:val="20"/>
        </w:rPr>
        <w:t>- Fair Value Measurements</w:t>
      </w:r>
      <w:r>
        <w:rPr>
          <w:rFonts w:ascii="Times New Roman;sans-serif" w:hAnsi="Times New Roman;sans-serif"/>
          <w:b w:val="false"/>
          <w:color w:val="000000"/>
          <w:sz w:val="20"/>
        </w:rPr>
        <w:t>):</w:t>
      </w:r>
    </w:p>
    <w:tbl>
      <w:tblPr>
        <w:tblW w:w="7515" w:type="dxa"/>
        <w:jc w:val="left"/>
        <w:tblInd w:w="0" w:type="dxa"/>
        <w:tblLayout w:type="fixed"/>
        <w:tblCellMar>
          <w:top w:w="28" w:type="dxa"/>
          <w:left w:w="28" w:type="dxa"/>
          <w:bottom w:w="28" w:type="dxa"/>
          <w:right w:w="28" w:type="dxa"/>
        </w:tblCellMar>
      </w:tblPr>
      <w:tblGrid>
        <w:gridCol w:w="986"/>
        <w:gridCol w:w="870"/>
        <w:gridCol w:w="874"/>
        <w:gridCol w:w="196"/>
        <w:gridCol w:w="736"/>
        <w:gridCol w:w="109"/>
        <w:gridCol w:w="109"/>
        <w:gridCol w:w="109"/>
        <w:gridCol w:w="109"/>
        <w:gridCol w:w="196"/>
        <w:gridCol w:w="646"/>
        <w:gridCol w:w="109"/>
        <w:gridCol w:w="109"/>
        <w:gridCol w:w="109"/>
        <w:gridCol w:w="109"/>
        <w:gridCol w:w="196"/>
        <w:gridCol w:w="421"/>
        <w:gridCol w:w="109"/>
        <w:gridCol w:w="109"/>
        <w:gridCol w:w="109"/>
        <w:gridCol w:w="109"/>
        <w:gridCol w:w="196"/>
        <w:gridCol w:w="736"/>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warrants (for LianBio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15" w:type="dxa"/>
            <w:gridSpan w:val="24"/>
            <w:tcBorders/>
            <w:tcMar>
              <w:top w:w="0" w:type="dxa"/>
              <w:left w:w="0" w:type="dxa"/>
              <w:bottom w:w="0" w:type="dxa"/>
              <w:right w:w="0" w:type="dxa"/>
            </w:tcMar>
            <w:vAlign w:val="center"/>
          </w:tcPr>
          <w:p>
            <w:pPr>
              <w:pStyle w:val="TableContents"/>
              <w:bidi w:val="0"/>
              <w:spacing w:lineRule="auto" w:line="240" w:before="240" w:after="283"/>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This balance includes cash requirements settled on a nightly basis.</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warrants (for LianBio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This balance includes cash requirements settled on a nightly basis.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Money Market Funds and U.S. Treasury Securities</w:t>
      </w:r>
    </w:p>
    <w:p>
      <w:pPr>
        <w:pStyle w:val="TextBody"/>
        <w:bidi w:val="0"/>
        <w:spacing w:before="0" w:after="0"/>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Commercial Paper, Corporate Debt Securities and Government-related Debt Securities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LianBio Common Stock and Equity Warrants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March 2021, contemporaneous with the China Out-License transaction (see </w:t>
      </w:r>
      <w:r>
        <w:rPr>
          <w:rFonts w:ascii="Times New Roman;sans-serif" w:hAnsi="Times New Roman;sans-serif"/>
          <w:b w:val="false"/>
          <w:i/>
          <w:color w:val="000000"/>
          <w:sz w:val="20"/>
        </w:rPr>
        <w:t>Note 9</w:t>
      </w:r>
      <w:r>
        <w:rPr>
          <w:rFonts w:ascii="Times New Roman;sans-serif" w:hAnsi="Times New Roman;sans-serif"/>
          <w:b w:val="false"/>
          <w:color w:val="000000"/>
          <w:sz w:val="20"/>
        </w:rPr>
        <w:t xml:space="preserve">), the Company and LianBio, executed a warrant agreement for the Company to purchase, in three tranches, common shares in LianBio at an exercise price equal to common stock par value, which converted into warrants of the parent company of LianBio (LianBio, a pharmaceutical company focused on the Greater China and other Asian markets; Nasdaq: LIAN; any references to common stock or warrants of LianBio shall refer to common stock or warrants of the publicly-traded parent of LianBio) in connection with LianBio's previous Initial Public Offering. The first two tranches were vested and exercised as of December 31, 2022 and converted into 156,746 shares of LianBio common stock as recognized at fair value within long-term investments on the Condensed Balance Sheets as of June 30, 2023 and December 31, 2022. LianBio common stock is classified within Level 1 of the fair value hierarchy, given its publicly reported price on the Nasdaq Global Market.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third warrant tranche will vest upon the achievement of a regulatory event and is presented within other assets in the accompanying Condensed Balance Sheets as of June 30, 2023 and December 31, 2022. This warrant tranche remains classified as Level 3 in the fair value hierarchy. The most significant assumptions used in the option pricing valuation model as of each balance sheet date to determine its fair value included observable and unobservable inputs: LianBio common stock volatility (based on the historical volatility of similar companies); the probability of regulatory milestone achievement for vesting; and the application of an assumed discount rate.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equity warrants are reported within other assets on the accompanying Condensed Balance Sheets and will be remeasured each reporting period with adjustments reported within other income (expense), net on the accompanying Condensed Statements of Operations and Comprehensive Loss, until exercised or expired. These equity warrants are valued in the accompanying Condensed Financial Statements as follows:</w:t>
      </w:r>
    </w:p>
    <w:tbl>
      <w:tblPr>
        <w:tblW w:w="4739" w:type="dxa"/>
        <w:jc w:val="center"/>
        <w:tblInd w:w="0" w:type="dxa"/>
        <w:tblLayout w:type="fixed"/>
        <w:tblCellMar>
          <w:top w:w="28" w:type="dxa"/>
          <w:left w:w="28" w:type="dxa"/>
          <w:bottom w:w="28" w:type="dxa"/>
          <w:right w:w="28" w:type="dxa"/>
        </w:tblCellMar>
      </w:tblPr>
      <w:tblGrid>
        <w:gridCol w:w="1005"/>
        <w:gridCol w:w="883"/>
        <w:gridCol w:w="886"/>
        <w:gridCol w:w="499"/>
        <w:gridCol w:w="1071"/>
        <w:gridCol w:w="395"/>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equity warrants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December 31, 2022</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 of equity warrants</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March 31, 2023</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 of equity warrants</w:t>
            </w:r>
          </w:p>
        </w:tc>
        <w:tc>
          <w:tcPr>
            <w:tcW w:w="1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June 30, 2023</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bl>
    <w:tbl>
      <w:tblPr>
        <w:tblW w:w="4739" w:type="dxa"/>
        <w:jc w:val="center"/>
        <w:tblInd w:w="0" w:type="dxa"/>
        <w:tblLayout w:type="fixed"/>
        <w:tblCellMar>
          <w:top w:w="28" w:type="dxa"/>
          <w:left w:w="28" w:type="dxa"/>
          <w:bottom w:w="28" w:type="dxa"/>
          <w:right w:w="28" w:type="dxa"/>
        </w:tblCellMar>
      </w:tblPr>
      <w:tblGrid>
        <w:gridCol w:w="1005"/>
        <w:gridCol w:w="883"/>
        <w:gridCol w:w="886"/>
        <w:gridCol w:w="499"/>
        <w:gridCol w:w="1071"/>
        <w:gridCol w:w="395"/>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equity warrants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December 31, 2021</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 of equity warrants</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March 31, 2022</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equity warrants</w:t>
            </w:r>
          </w:p>
        </w:tc>
        <w:tc>
          <w:tcPr>
            <w:tcW w:w="1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 of equity warrants</w:t>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June 30, 2022</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and amortized cost of cash equivalents and available-for-sale investments by major security type are presented in the following table:</w:t>
      </w:r>
    </w:p>
    <w:tbl>
      <w:tblPr>
        <w:tblW w:w="9002" w:type="dxa"/>
        <w:jc w:val="left"/>
        <w:tblInd w:w="0" w:type="dxa"/>
        <w:tblLayout w:type="fixed"/>
        <w:tblCellMar>
          <w:top w:w="28" w:type="dxa"/>
          <w:left w:w="28" w:type="dxa"/>
          <w:bottom w:w="28" w:type="dxa"/>
          <w:right w:w="28" w:type="dxa"/>
        </w:tblCellMar>
      </w:tblPr>
      <w:tblGrid>
        <w:gridCol w:w="936"/>
        <w:gridCol w:w="819"/>
        <w:gridCol w:w="824"/>
        <w:gridCol w:w="226"/>
        <w:gridCol w:w="849"/>
        <w:gridCol w:w="125"/>
        <w:gridCol w:w="109"/>
        <w:gridCol w:w="109"/>
        <w:gridCol w:w="109"/>
        <w:gridCol w:w="359"/>
        <w:gridCol w:w="744"/>
        <w:gridCol w:w="201"/>
        <w:gridCol w:w="109"/>
        <w:gridCol w:w="109"/>
        <w:gridCol w:w="109"/>
        <w:gridCol w:w="348"/>
        <w:gridCol w:w="776"/>
        <w:gridCol w:w="195"/>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106,773 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106,773 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106,773 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71,478 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71,455 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investments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This balance includes cash requirements settled on a nightly basis.</w:t>
      </w:r>
    </w:p>
    <w:tbl>
      <w:tblPr>
        <w:tblW w:w="9003" w:type="dxa"/>
        <w:jc w:val="left"/>
        <w:tblInd w:w="0" w:type="dxa"/>
        <w:tblLayout w:type="fixed"/>
        <w:tblCellMar>
          <w:top w:w="28" w:type="dxa"/>
          <w:left w:w="28" w:type="dxa"/>
          <w:bottom w:w="28" w:type="dxa"/>
          <w:right w:w="28" w:type="dxa"/>
        </w:tblCellMar>
      </w:tblPr>
      <w:tblGrid>
        <w:gridCol w:w="936"/>
        <w:gridCol w:w="819"/>
        <w:gridCol w:w="825"/>
        <w:gridCol w:w="226"/>
        <w:gridCol w:w="849"/>
        <w:gridCol w:w="125"/>
        <w:gridCol w:w="109"/>
        <w:gridCol w:w="109"/>
        <w:gridCol w:w="109"/>
        <w:gridCol w:w="359"/>
        <w:gridCol w:w="744"/>
        <w:gridCol w:w="201"/>
        <w:gridCol w:w="109"/>
        <w:gridCol w:w="109"/>
        <w:gridCol w:w="109"/>
        <w:gridCol w:w="348"/>
        <w:gridCol w:w="776"/>
        <w:gridCol w:w="195"/>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64,685 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69,644 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58,358 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145,440 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145,366 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investments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This balance includes cash requirements settled on a nightly basis.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substantially all available-for-sale debt securities had a maturity of 12 months or less. Four securities have a contractual maturity between one and four years, with an estimated fair market value of $4.6 million and amortized cost of $4.7 million. As of December 31, 2022, substantially all available-for-sale debt securities had a maturity of 12 months or less. Three securities have a contractual maturity between one and five years, with an estimated fair market value of $4.6 million and amortized cost of $4.6 million. As of June 30, 2023 and December 31, 2022, all available-for-sale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have gross unrealized losses in a continuous loss position for less than one year. As of June 30, 2023 and December 31, 2022, unrealized credit losses on these securities were not material, and accordingly, the Company did not recognize any other-than-temporary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BALANCE SHEET ACCOUNT DETAIL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composition of selected captions within the accompanying Condensed Balance Sheets are summarized below: </w:t>
      </w:r>
    </w:p>
    <w:p>
      <w:pPr>
        <w:pStyle w:val="TextBody"/>
        <w:bidi w:val="0"/>
        <w:spacing w:lineRule="auto" w:line="288" w:before="240" w:after="283"/>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w:t>
      </w:r>
    </w:p>
    <w:tbl>
      <w:tblPr>
        <w:tblW w:w="6701" w:type="dxa"/>
        <w:jc w:val="center"/>
        <w:tblInd w:w="0" w:type="dxa"/>
        <w:tblLayout w:type="fixed"/>
        <w:tblCellMar>
          <w:top w:w="28" w:type="dxa"/>
          <w:left w:w="28" w:type="dxa"/>
          <w:bottom w:w="28" w:type="dxa"/>
          <w:right w:w="28" w:type="dxa"/>
        </w:tblCellMar>
      </w:tblPr>
      <w:tblGrid>
        <w:gridCol w:w="1340"/>
        <w:gridCol w:w="1178"/>
        <w:gridCol w:w="1186"/>
        <w:gridCol w:w="256"/>
        <w:gridCol w:w="727"/>
        <w:gridCol w:w="142"/>
        <w:gridCol w:w="109"/>
        <w:gridCol w:w="109"/>
        <w:gridCol w:w="109"/>
        <w:gridCol w:w="392"/>
        <w:gridCol w:w="843"/>
        <w:gridCol w:w="310"/>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equipment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Laboratory equipment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at cost</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and equipment, net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three months ended June 30, 2023 and 2022 was $0.2 million and $0.1 million, respectively, and for the six months ended June 30, 2023 and 2022 was $0.3 million and $0.1 million,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Accounts Payable and Other Accrued Liabilities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liabilities consists of the following:</w:t>
      </w:r>
    </w:p>
    <w:tbl>
      <w:tblPr>
        <w:tblW w:w="6341" w:type="dxa"/>
        <w:jc w:val="center"/>
        <w:tblInd w:w="0" w:type="dxa"/>
        <w:tblLayout w:type="fixed"/>
        <w:tblCellMar>
          <w:top w:w="28" w:type="dxa"/>
          <w:left w:w="28" w:type="dxa"/>
          <w:bottom w:w="28" w:type="dxa"/>
          <w:right w:w="28" w:type="dxa"/>
        </w:tblCellMar>
      </w:tblPr>
      <w:tblGrid>
        <w:gridCol w:w="1209"/>
        <w:gridCol w:w="1064"/>
        <w:gridCol w:w="1072"/>
        <w:gridCol w:w="256"/>
        <w:gridCol w:w="727"/>
        <w:gridCol w:w="142"/>
        <w:gridCol w:w="109"/>
        <w:gridCol w:w="109"/>
        <w:gridCol w:w="109"/>
        <w:gridCol w:w="334"/>
        <w:gridCol w:w="948"/>
        <w:gridCol w:w="262"/>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payable and other</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clinical studies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9,459 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9,910 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5. STOCKHOLDERS’ EQUITY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Common Stock Outstanding and Reserves for Future Issuance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the Company had 26.9 million and 26.7 million, respectively, of common stock issued and outstanding. Each share of common stock is entitled to one vote.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equity awards and shares reserved for future issuance under its 2020 and 2016 Equity Incentive Plans and 2020 Employee Stock Purchase Plan are summarized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39"/>
        <w:gridCol w:w="2212"/>
        <w:gridCol w:w="2230"/>
        <w:gridCol w:w="479"/>
        <w:gridCol w:w="482"/>
        <w:gridCol w:w="356"/>
        <w:gridCol w:w="109"/>
        <w:gridCol w:w="109"/>
        <w:gridCol w:w="109"/>
        <w:gridCol w:w="498"/>
        <w:gridCol w:w="463"/>
        <w:gridCol w:w="619"/>
      </w:tblGrid>
      <w:tr>
        <w:trPr/>
        <w:tc>
          <w:tcPr>
            <w:tcW w:w="2539"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6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awards reserved for future issuance under 2020 and 2016 Equity Incentive Plans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7,620,574 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8,346,738 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awards reserved for future issuance under the 2020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2,893,305 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2,663,319 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issued and outstanding (unvested and vested) under 2020 and 2016 Equity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4,719,149 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3,899,342 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 issued and outstanding (unvested) under 2020 Equity Incentive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1,391,888 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551,258 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shares of common stock reserved</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16,624,916 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15,460,657 </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STOCK-BASED COMPENSATION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was recognized in the accompanying Condensed Statements of Operations and Comprehensive Loss for the three and six months ended June 30, 2023 and 2022 as follows:</w:t>
      </w:r>
    </w:p>
    <w:tbl>
      <w:tblPr>
        <w:tblW w:w="7085" w:type="dxa"/>
        <w:jc w:val="center"/>
        <w:tblInd w:w="0" w:type="dxa"/>
        <w:tblLayout w:type="fixed"/>
        <w:tblCellMar>
          <w:top w:w="28" w:type="dxa"/>
          <w:left w:w="28" w:type="dxa"/>
          <w:bottom w:w="28" w:type="dxa"/>
          <w:right w:w="28" w:type="dxa"/>
        </w:tblCellMar>
      </w:tblPr>
      <w:tblGrid>
        <w:gridCol w:w="864"/>
        <w:gridCol w:w="759"/>
        <w:gridCol w:w="762"/>
        <w:gridCol w:w="216"/>
        <w:gridCol w:w="614"/>
        <w:gridCol w:w="120"/>
        <w:gridCol w:w="120"/>
        <w:gridCol w:w="120"/>
        <w:gridCol w:w="120"/>
        <w:gridCol w:w="216"/>
        <w:gridCol w:w="614"/>
        <w:gridCol w:w="120"/>
        <w:gridCol w:w="109"/>
        <w:gridCol w:w="109"/>
        <w:gridCol w:w="109"/>
        <w:gridCol w:w="198"/>
        <w:gridCol w:w="561"/>
        <w:gridCol w:w="110"/>
        <w:gridCol w:w="110"/>
        <w:gridCol w:w="110"/>
        <w:gridCol w:w="110"/>
        <w:gridCol w:w="198"/>
        <w:gridCol w:w="561"/>
        <w:gridCol w:w="155"/>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granted stock options was estimated as of the date of grant using the Black-Scholes option-pricing model, based on the following inputs:</w:t>
      </w:r>
    </w:p>
    <w:p>
      <w:pPr>
        <w:pStyle w:val="TextBody"/>
        <w:bidi w:val="0"/>
        <w:spacing w:before="0" w:after="0"/>
        <w:jc w:val="left"/>
        <w:rPr/>
      </w:pPr>
      <w:r>
        <w:rPr/>
      </w:r>
    </w:p>
    <w:tbl>
      <w:tblPr>
        <w:tblW w:w="9419" w:type="dxa"/>
        <w:jc w:val="left"/>
        <w:tblInd w:w="0" w:type="dxa"/>
        <w:tblLayout w:type="fixed"/>
        <w:tblCellMar>
          <w:top w:w="28" w:type="dxa"/>
          <w:left w:w="28" w:type="dxa"/>
          <w:bottom w:w="28" w:type="dxa"/>
          <w:right w:w="28" w:type="dxa"/>
        </w:tblCellMar>
      </w:tblPr>
      <w:tblGrid>
        <w:gridCol w:w="1460"/>
        <w:gridCol w:w="1282"/>
        <w:gridCol w:w="1292"/>
        <w:gridCol w:w="109"/>
        <w:gridCol w:w="109"/>
        <w:gridCol w:w="109"/>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196"/>
        <w:gridCol w:w="556"/>
        <w:gridCol w:w="301"/>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grant-date fair value per stock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Option Activity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during the six months ended June 30, 2023 was as follows: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148" w:type="dxa"/>
        <w:jc w:val="left"/>
        <w:tblInd w:w="0" w:type="dxa"/>
        <w:tblLayout w:type="fixed"/>
        <w:tblCellMar>
          <w:top w:w="28" w:type="dxa"/>
          <w:left w:w="28" w:type="dxa"/>
          <w:bottom w:w="28" w:type="dxa"/>
          <w:right w:w="28" w:type="dxa"/>
        </w:tblCellMar>
      </w:tblPr>
      <w:tblGrid>
        <w:gridCol w:w="918"/>
        <w:gridCol w:w="806"/>
        <w:gridCol w:w="811"/>
        <w:gridCol w:w="109"/>
        <w:gridCol w:w="109"/>
        <w:gridCol w:w="109"/>
        <w:gridCol w:w="435"/>
        <w:gridCol w:w="436"/>
        <w:gridCol w:w="296"/>
        <w:gridCol w:w="109"/>
        <w:gridCol w:w="109"/>
        <w:gridCol w:w="109"/>
        <w:gridCol w:w="215"/>
        <w:gridCol w:w="610"/>
        <w:gridCol w:w="119"/>
        <w:gridCol w:w="109"/>
        <w:gridCol w:w="109"/>
        <w:gridCol w:w="109"/>
        <w:gridCol w:w="359"/>
        <w:gridCol w:w="359"/>
        <w:gridCol w:w="361"/>
        <w:gridCol w:w="109"/>
        <w:gridCol w:w="109"/>
        <w:gridCol w:w="109"/>
        <w:gridCol w:w="223"/>
        <w:gridCol w:w="738"/>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0" w:after="0"/>
              <w:jc w:val="center"/>
              <w:rPr/>
            </w:pPr>
            <w:r>
              <w:rPr>
                <w:rFonts w:ascii="Times New Roman;sans-serif" w:hAnsi="Times New Roman;sans-serif"/>
                <w:b/>
                <w:color w:val="000000"/>
                <w:sz w:val="16"/>
              </w:rPr>
              <w:t>Value</w:t>
            </w:r>
            <w:r>
              <w:rPr>
                <w:rFonts w:ascii="Times New Roman;sans-serif" w:hAnsi="Times New Roman;sans-serif"/>
                <w:b/>
                <w:color w:val="000000"/>
                <w:sz w:val="10"/>
              </w:rPr>
              <w:t>(1)</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3,899,342 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728,169 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4,596,414 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283,367 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(144,514)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4,719,149 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28,319,000 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2,338,165 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21,291,000 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2,380,984 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7,027,000 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The aggregate intrinsic value is calculated as the difference between the exercise price of the options and the fair value of the Company’s common stock as of June 30, 2023.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there was approximately $27.6 million of unrecorded compensation expense related to unvested stock options, which the Company expects to recognize over a weighted average period of 2.3 years.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Restricted Stock Unit Activity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during the six months ended June 30, 2023 was as follows:</w:t>
      </w:r>
    </w:p>
    <w:tbl>
      <w:tblPr>
        <w:tblW w:w="5346" w:type="dxa"/>
        <w:jc w:val="left"/>
        <w:tblInd w:w="0" w:type="dxa"/>
        <w:tblLayout w:type="fixed"/>
        <w:tblCellMar>
          <w:top w:w="28" w:type="dxa"/>
          <w:left w:w="28" w:type="dxa"/>
          <w:bottom w:w="28" w:type="dxa"/>
          <w:right w:w="28" w:type="dxa"/>
        </w:tblCellMar>
      </w:tblPr>
      <w:tblGrid>
        <w:gridCol w:w="918"/>
        <w:gridCol w:w="806"/>
        <w:gridCol w:w="811"/>
        <w:gridCol w:w="109"/>
        <w:gridCol w:w="109"/>
        <w:gridCol w:w="109"/>
        <w:gridCol w:w="435"/>
        <w:gridCol w:w="436"/>
        <w:gridCol w:w="296"/>
        <w:gridCol w:w="109"/>
        <w:gridCol w:w="109"/>
        <w:gridCol w:w="109"/>
        <w:gridCol w:w="214"/>
        <w:gridCol w:w="608"/>
        <w:gridCol w:w="168"/>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Price/Share</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551,258 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647,768 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(66,611)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1,128,373 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380,196 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(71,028)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1,391,888 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there was approximately $20.2 million of unrecorded compensation expense related to unvested restricted stock units, which the Company expects to recognize over a weighted average period of 3.5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NET LOSS PER SHARE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shd w:fill="FFFFFF" w:val="clear"/>
        </w:rPr>
        <w:t>The following</w:t>
      </w:r>
      <w:r>
        <w:rPr>
          <w:color w:val="000000"/>
        </w:rPr>
        <w:t xml:space="preserve"> </w:t>
      </w:r>
      <w:r>
        <w:rPr>
          <w:rFonts w:ascii="Times New Roman;sans-serif" w:hAnsi="Times New Roman;sans-serif"/>
          <w:b w:val="false"/>
          <w:color w:val="000000"/>
          <w:sz w:val="20"/>
        </w:rPr>
        <w:t>table sets forth the computation of basic and diluted net loss per share:</w:t>
      </w:r>
    </w:p>
    <w:tbl>
      <w:tblPr>
        <w:tblW w:w="9431" w:type="dxa"/>
        <w:jc w:val="center"/>
        <w:tblInd w:w="0" w:type="dxa"/>
        <w:tblLayout w:type="fixed"/>
        <w:tblCellMar>
          <w:top w:w="28" w:type="dxa"/>
          <w:left w:w="28" w:type="dxa"/>
          <w:bottom w:w="28" w:type="dxa"/>
          <w:right w:w="28" w:type="dxa"/>
        </w:tblCellMar>
      </w:tblPr>
      <w:tblGrid>
        <w:gridCol w:w="1492"/>
        <w:gridCol w:w="1309"/>
        <w:gridCol w:w="1324"/>
        <w:gridCol w:w="219"/>
        <w:gridCol w:w="742"/>
        <w:gridCol w:w="109"/>
        <w:gridCol w:w="109"/>
        <w:gridCol w:w="109"/>
        <w:gridCol w:w="109"/>
        <w:gridCol w:w="245"/>
        <w:gridCol w:w="716"/>
        <w:gridCol w:w="109"/>
        <w:gridCol w:w="109"/>
        <w:gridCol w:w="109"/>
        <w:gridCol w:w="109"/>
        <w:gridCol w:w="219"/>
        <w:gridCol w:w="742"/>
        <w:gridCol w:w="109"/>
        <w:gridCol w:w="109"/>
        <w:gridCol w:w="109"/>
        <w:gridCol w:w="109"/>
        <w:gridCol w:w="219"/>
        <w:gridCol w:w="742"/>
        <w:gridCol w:w="154"/>
      </w:tblGrid>
      <w:tr>
        <w:trPr/>
        <w:tc>
          <w:tcPr>
            <w:tcW w:w="149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outstanding—basic and 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26,779,203 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22,531,384 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share—basic and diluted</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and potentially dilutive securities were excluded from the calculation of diluted net loss per share because their impact under the treasury stock method and if-converted method would have been anti-dilutive for each period presented:</w:t>
      </w:r>
    </w:p>
    <w:p>
      <w:pPr>
        <w:pStyle w:val="TextBody"/>
        <w:bidi w:val="0"/>
        <w:spacing w:before="0" w:after="0"/>
        <w:jc w:val="left"/>
        <w:rPr/>
      </w:pPr>
      <w:r>
        <w:rPr/>
      </w:r>
    </w:p>
    <w:tbl>
      <w:tblPr>
        <w:tblW w:w="7015" w:type="dxa"/>
        <w:jc w:val="left"/>
        <w:tblInd w:w="0" w:type="dxa"/>
        <w:tblLayout w:type="fixed"/>
        <w:tblCellMar>
          <w:top w:w="28" w:type="dxa"/>
          <w:left w:w="28" w:type="dxa"/>
          <w:bottom w:w="28" w:type="dxa"/>
          <w:right w:w="28" w:type="dxa"/>
        </w:tblCellMar>
      </w:tblPr>
      <w:tblGrid>
        <w:gridCol w:w="1641"/>
        <w:gridCol w:w="1441"/>
        <w:gridCol w:w="1447"/>
        <w:gridCol w:w="435"/>
        <w:gridCol w:w="436"/>
        <w:gridCol w:w="156"/>
        <w:gridCol w:w="125"/>
        <w:gridCol w:w="125"/>
        <w:gridCol w:w="125"/>
        <w:gridCol w:w="435"/>
        <w:gridCol w:w="436"/>
        <w:gridCol w:w="213"/>
      </w:tblGrid>
      <w:tr>
        <w:trPr/>
        <w:tc>
          <w:tcPr>
            <w:tcW w:w="16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unexercised—vested and unvested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4,719,149 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3,739,078 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units—unvested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1,391,888 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440,737 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exercised prior to vesting— remaining unvested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6,111,037 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4,185,641 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COMMITMENTS &amp; CONTINGENCIES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 Agreements</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lease agreements with unaffiliated third parties for its facilities and office equipment. As of June 30, 2023, the Company had five active leases for adjacent office and laboratory suites in Irvine, California. On May 1, 2023 the Company amended the existing facilities lease, extending the term for three years through January 31, 2027. </w:t>
      </w:r>
    </w:p>
    <w:p>
      <w:pPr>
        <w:pStyle w:val="TextBody"/>
        <w:bidi w:val="0"/>
        <w:spacing w:lineRule="auto" w:line="25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the components of total lease expense:</w:t>
      </w:r>
    </w:p>
    <w:tbl>
      <w:tblPr>
        <w:tblW w:w="6855" w:type="dxa"/>
        <w:jc w:val="left"/>
        <w:tblInd w:w="0" w:type="dxa"/>
        <w:tblLayout w:type="fixed"/>
        <w:tblCellMar>
          <w:top w:w="28" w:type="dxa"/>
          <w:left w:w="28" w:type="dxa"/>
          <w:bottom w:w="28" w:type="dxa"/>
          <w:right w:w="28" w:type="dxa"/>
        </w:tblCellMar>
      </w:tblPr>
      <w:tblGrid>
        <w:gridCol w:w="662"/>
        <w:gridCol w:w="582"/>
        <w:gridCol w:w="585"/>
        <w:gridCol w:w="109"/>
        <w:gridCol w:w="109"/>
        <w:gridCol w:w="109"/>
        <w:gridCol w:w="249"/>
        <w:gridCol w:w="536"/>
        <w:gridCol w:w="138"/>
        <w:gridCol w:w="138"/>
        <w:gridCol w:w="138"/>
        <w:gridCol w:w="138"/>
        <w:gridCol w:w="249"/>
        <w:gridCol w:w="536"/>
        <w:gridCol w:w="138"/>
        <w:gridCol w:w="109"/>
        <w:gridCol w:w="109"/>
        <w:gridCol w:w="109"/>
        <w:gridCol w:w="227"/>
        <w:gridCol w:w="488"/>
        <w:gridCol w:w="126"/>
        <w:gridCol w:w="126"/>
        <w:gridCol w:w="126"/>
        <w:gridCol w:w="126"/>
        <w:gridCol w:w="227"/>
        <w:gridCol w:w="488"/>
        <w:gridCol w:w="178"/>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38"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38"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26"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78" w:type="dxa"/>
            <w:tcBorders>
              <w:top w:val="single" w:sz="8" w:space="0" w:color="000000"/>
              <w:bottom w:val="double" w:sz="13"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Company's facility leases had a remaining lease term of 3.6 years and a weighted-average incremental borrowing rate of 10%.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the (i) minimum lease payments over the next five years and thereafter, (ii) lease arrangement imputed interest, and (iii) present value of future lease payments:</w:t>
      </w:r>
    </w:p>
    <w:tbl>
      <w:tblPr>
        <w:tblW w:w="4586" w:type="dxa"/>
        <w:jc w:val="left"/>
        <w:tblInd w:w="0" w:type="dxa"/>
        <w:tblLayout w:type="fixed"/>
        <w:tblCellMar>
          <w:top w:w="28" w:type="dxa"/>
          <w:left w:w="28" w:type="dxa"/>
          <w:bottom w:w="28" w:type="dxa"/>
          <w:right w:w="28" w:type="dxa"/>
        </w:tblCellMar>
      </w:tblPr>
      <w:tblGrid>
        <w:gridCol w:w="1117"/>
        <w:gridCol w:w="982"/>
        <w:gridCol w:w="990"/>
        <w:gridCol w:w="109"/>
        <w:gridCol w:w="109"/>
        <w:gridCol w:w="109"/>
        <w:gridCol w:w="253"/>
        <w:gridCol w:w="718"/>
        <w:gridCol w:w="199"/>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Leases - Future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lease payments,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Tenant improvement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In-License Agreements for Lotilaner</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January 2019 Agreement for Skin and Eye Disease or Conditions in Humans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2019, the Company executed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a clinical milestone was triggered to Elanco under the Eye and Derm Agreement upon enrollment of the first patient in the Phase 2a Galatea trial, evaluating the potential treatment of rosacea. The related milestone payment of $1.0 million was included in research and development expense in the accompanying Condensed Statements of Operations and Comprehensive Loss for the six months ended June 30, 2023. This milestone achievement was paid in full as of June 30, 2023.</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made cash payments to Elanco under the Eye and Derm Agreement comprised of $1.0 million upfront upon contract execution in January 2019 and a total of $4.0 million for three specified clinical milestone achievements in September 2020, April 2021, and March 2023, respectively.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 is obligated to make further cash payments to Elanco of $2.0 million under the Eye and Derm Elanco Agreement upon achievement of the last clinical milestone in the treatment of human skin diseases using lotilaner and a maximum of $79.0 million for various commercial and sales threshold milestones for the treatment of human skin diseases and the treatment of blepharitis in humans using lotilaner. In addition, the Company will be obligated to pay tiered contractual royalties to Elanco in the mid to high single digits of its net sales. If the Company receives certain types of payments from its sublicensees, it will be obligated to pay Elanco a variable percentage in the low to mid double-digits of such proceeds, until achievement of the first applicable regulatory approval of a product covered under the license.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September 2020 Agreement for All Other Diseases or Conditions in Humans</w:t>
      </w:r>
    </w:p>
    <w:p>
      <w:pPr>
        <w:pStyle w:val="TextBody"/>
        <w:bidi w:val="0"/>
        <w:spacing w:before="0" w:after="0"/>
        <w:ind w:left="0" w:right="0" w:firstLine="1131"/>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2020, the Company executed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In September 2020, the Company issued Elanco 222,460 shares of its common stock with an estimated fair value of $3.1 million ($14.0003 per share, approximating the issuance price of the Company's Series C preferred stock in September 2020). </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made cash payments under the All Human Uses Elanco Agreement of $0.5 million related to a clinical milestone that was triggered in December 2022 upon enrollment of the first patient in the Phase 2a Carpo trial, for the treatment of Lyme disease. The Company is required to make further cash payments under this agreement upon the achievement of various clinical milestones for an aggregate maximum of $4.0 million and various commercial and sales threshold milestones for an aggregate maximum of $77.0 million. In addition, the Company will be obligated to pay contractual royalties to Elanco in the single digits of its net product sales. If the Company receives certain types of payments from its sublicensees, it will also be obligated to pay Elanco a variable percentage in the low to mid double-digits of such proceeds, until achievement of the first applicable regulatory approval of a product covered under the license.</w:t>
      </w:r>
    </w:p>
    <w:p>
      <w:pPr>
        <w:pStyle w:val="TextBody"/>
        <w:bidi w:val="0"/>
        <w:spacing w:before="0" w:after="0"/>
        <w:ind w:left="0" w:right="0" w:firstLine="99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employment agreements with seven of its executive officers. These agreements provide for the payment of certain benefits upon separation of employment under specified circumstances, such as termination without cause, or termination in connection with a change in control event.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Separation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4, 2023, the Company entered into a separation and severance agreement with its former Chief Financial Officer, which provides for the following benefits effective upon and after June 15, 2023: severance payments equal to nine months of base salary and 10 months of company-paid continued benefits coverage, a lump sum bonus payment payable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equal to one-third of the former Chief Financial Officer's 2023 annual target bonus adjusted based on the 2023 Company performance score; accelerated vesting of options for 40,744 shares of the Company’s common stock; and an option exercise period extension for certain options, in exchange for a release and waiver of claims and continued compliance with his confidentiality obligations.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Litigation Contingencies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Indemnities and Guarantees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certain indemnity commitments, under which it may be required to make payments to its officers and directors in relation to certain transactions to the maximum extent permitted under applicable laws. The duration of these indemnities vary, and in certain cases, are indefinite and do not provide for any limitation of maximum payments. The Company has not been obligated to make any such payments to date and no liabilities have been recorded for this contingency in the accompanying Condensed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OUT-LICENSE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Out-License of TP-03 Commercial Rights in the China Territory in March 2021</w:t>
      </w:r>
    </w:p>
    <w:p>
      <w:pPr>
        <w:pStyle w:val="TextBody"/>
        <w:bidi w:val="0"/>
        <w:spacing w:before="0" w:after="0"/>
        <w:jc w:val="left"/>
        <w:rPr/>
      </w:pPr>
      <w:r>
        <w:rPr/>
      </w:r>
    </w:p>
    <w:p>
      <w:pPr>
        <w:pStyle w:val="TextBody"/>
        <w:bidi w:val="0"/>
        <w:spacing w:lineRule="auto" w:line="276" w:before="0" w:after="0"/>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entered into the China Out-License agreement with LianBio for its exclusive development and commercialization rights of TP-03 (lotilaner ophthalmic solution, 0.25%) in the China Territory, as defined in the agreement, for the treatment of Demodex blepharitis and Meibomian Gland Disease. LianBio is contractually responsible for all clinical development and commercialization activities and costs within the China Territory.</w:t>
      </w:r>
    </w:p>
    <w:p>
      <w:pPr>
        <w:pStyle w:val="TextBody"/>
        <w:bidi w:val="0"/>
        <w:spacing w:before="0" w:after="0"/>
        <w:ind w:left="0" w:right="0" w:firstLine="1131"/>
        <w:jc w:val="left"/>
        <w:rPr/>
      </w:pPr>
      <w:r>
        <w:rPr/>
      </w:r>
    </w:p>
    <w:p>
      <w:pPr>
        <w:pStyle w:val="TextBody"/>
        <w:bidi w:val="0"/>
        <w:spacing w:lineRule="auto" w:line="268" w:before="0" w:after="0"/>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assessed this arrangement in accordance with ASC 606 and identified the following material promises under the arrangement: (i) the exclusive license to research, develop, manufacture, commercialize, make, offer for sale, sell, and import TP-03 in the China Territory; and (ii) the research and development services in the form of clinical study materials for the respective Phase 2b/3 trial (Saturn-1) and Phase 3 (Saturn-2) TP-03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pStyle w:val="TextBody"/>
        <w:bidi w:val="0"/>
        <w:spacing w:before="0" w:after="0"/>
        <w:jc w:val="left"/>
        <w:rPr/>
      </w:pPr>
      <w:r>
        <w:rPr/>
      </w:r>
    </w:p>
    <w:p>
      <w:pPr>
        <w:pStyle w:val="TextBody"/>
        <w:bidi w:val="0"/>
        <w:spacing w:lineRule="auto" w:line="268" w:before="0" w:after="0"/>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assessment of the initial transaction price for the China Out-License agreement included an analysis of amounts the Company expected to receive, which at contract inception consisted of: (i) the upfront cash payment of $15.0 million; (ii) a second cash payment of $10.0 million; (iii) a $10.0 million milestone that was determined to be within the control of the Company; and (iv) $1.2 million representing the initial fair value of the equity warrant. </w:t>
      </w:r>
    </w:p>
    <w:p>
      <w:pPr>
        <w:pStyle w:val="TextBody"/>
        <w:bidi w:val="0"/>
        <w:spacing w:before="0" w:after="0"/>
        <w:ind w:left="0" w:right="0" w:firstLine="1131"/>
        <w:jc w:val="left"/>
        <w:rPr/>
      </w:pPr>
      <w:r>
        <w:rPr/>
      </w:r>
    </w:p>
    <w:p>
      <w:pPr>
        <w:pStyle w:val="TextBody"/>
        <w:bidi w:val="0"/>
        <w:spacing w:lineRule="auto" w:line="268" w:before="0" w:after="0"/>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each performance obligation as follows: </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Out-License</w:t>
      </w:r>
    </w:p>
    <w:p>
      <w:pPr>
        <w:pStyle w:val="TextBody"/>
        <w:bidi w:val="0"/>
        <w:spacing w:before="0" w:after="0"/>
        <w:jc w:val="left"/>
        <w:rPr/>
      </w:pPr>
      <w:r>
        <w:rPr/>
      </w:r>
    </w:p>
    <w:p>
      <w:pPr>
        <w:pStyle w:val="TextBody"/>
        <w:bidi w:val="0"/>
        <w:spacing w:lineRule="auto" w:line="268" w:before="0" w:after="0"/>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agreement. The Company determined the standalone selling price of this license using a discounted projected sales model and recognized as license fees and collaboration revenue the total allocated transaction price at contract inception, upon delivery of the license.</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Services </w:t>
      </w:r>
    </w:p>
    <w:p>
      <w:pPr>
        <w:pStyle w:val="TextBody"/>
        <w:bidi w:val="0"/>
        <w:spacing w:before="0" w:after="0"/>
        <w:jc w:val="left"/>
        <w:rPr/>
      </w:pPr>
      <w:r>
        <w:rPr/>
      </w:r>
    </w:p>
    <w:p>
      <w:pPr>
        <w:pStyle w:val="TextBody"/>
        <w:bidi w:val="0"/>
        <w:spacing w:lineRule="auto" w:line="268" w:before="0" w:after="0"/>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Saturn-1 and Saturn-2 as the research and development services were 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pStyle w:val="TextBody"/>
        <w:bidi w:val="0"/>
        <w:spacing w:before="0" w:after="0"/>
        <w:jc w:val="left"/>
        <w:rPr/>
      </w:pPr>
      <w:r>
        <w:rPr/>
      </w:r>
    </w:p>
    <w:p>
      <w:pPr>
        <w:pStyle w:val="TextBody"/>
        <w:bidi w:val="0"/>
        <w:spacing w:lineRule="auto" w:line="276"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a specified milestone event was triggered resulting in $2.5 million recognized as license fees and collaboration revenue in the Condensed Statements of Operations for the six months ended June 30, 2023. This cash payment was received in the second quarter of 2023. Through June 30, 2023, the Company had received payments from LianBio totaling $82.5 million, comprised of initial consideration of $15.0 million and $67.5 million for the achievement of specified milestones. </w:t>
      </w:r>
    </w:p>
    <w:p>
      <w:pPr>
        <w:pStyle w:val="TextBody"/>
        <w:bidi w:val="0"/>
        <w:spacing w:lineRule="auto" w:line="26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 is eligible to receive further consideration from LianBio upon the achievement of additional TP-03 events, including: (i) additional regulatory milestone and one-time payments of up to an aggregate of $22.5 million; (ii) China-Based TP-03 sales threshold milestone payments of up to an aggregate of $100.0 million; (iii) tiered low-to-high-teen royalties for China Territory TP-03 product sales; and (iv) vesting of a LianBio equity warrant upon certain regulatory milestones. </w:t>
      </w:r>
    </w:p>
    <w:p>
      <w:pPr>
        <w:pStyle w:val="TextBody"/>
        <w:bidi w:val="0"/>
        <w:spacing w:lineRule="auto" w:line="27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in the accompanying Condensed Statements of Operations and Comprehensive Loss relates to the satisfaction of performance obligations including (i) the transfer of TP-03 license rights in the China Territory to LianBio and (ii) the completion of U.S. clinical activities and then providing LianBio with the related data to supplement its local pivotal trial package for TP-03 in the treatment of Demodex blepharitis. </w:t>
      </w:r>
    </w:p>
    <w:p>
      <w:pPr>
        <w:pStyle w:val="TextBody"/>
        <w:bidi w:val="0"/>
        <w:spacing w:lineRule="auto" w:line="27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China Out-License with LianBio the Company granted Elanco an additional 187,500 shares of the Company's common stock that otherwise would have been issuable no later than the 18-month anniversary of the All Human Uses Elanco Agreement for its continued license exclusivity. These issued shares were valued at $5.5 million, based on the Company's closing stock price of $29.30 per share on the date this issuance became contractually required.</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made a contractual payment in the amount of $2.5 million to Elanco following the receipt of $25 million of proceeds from LianBio during the second quarter of 2021. During the fourth quarter of 2022, the Company recognized $0.4 million of cost of license fees and collaboration revenue upon receipt of $10 million of cash proceeds from LianBio for the achievement of a clinical development milestone.</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expenses recognized under the China-Out License were not material for the three and six months ended June 30, 2023 and 2022.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CREDIT FACILITY AGREEMENT</w:t>
      </w:r>
    </w:p>
    <w:p>
      <w:pPr>
        <w:pStyle w:val="TextBody"/>
        <w:bidi w:val="0"/>
        <w:spacing w:before="0" w:after="0"/>
        <w:jc w:val="left"/>
        <w:rPr/>
      </w:pPr>
      <w:r>
        <w:rPr/>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 2022, the Company executed the Credit Facility with Hercules Capital, Inc. ("Hercules") and SVB that expires on February 2, 2027. Concurrent with the execution of the Credit Facility, the Company made a $20.0 million draw.</w:t>
      </w:r>
    </w:p>
    <w:p>
      <w:pPr>
        <w:pStyle w:val="TextBody"/>
        <w:bidi w:val="0"/>
        <w:spacing w:before="0" w:after="0"/>
        <w:ind w:left="0" w:right="0" w:firstLine="1080"/>
        <w:jc w:val="left"/>
        <w:rPr/>
      </w:pPr>
      <w:r>
        <w:rPr/>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5, 2023, the Company entered into an amendment to the loan and security agreement (the "First Amendment"). The First Amendment set a maximum interest rate, and updated the terms of prepayment under the Credit Facility and other certain specific conditions, including an extended period for the Company to draw down the $25.0 million tranche associated with the New Drug Application ("NDA") submission, from March 15, 2023 to March 15, 2024, provided at least $5.0 million was drawn on or before March 15, 2023 and at least an additional $5 million is drawn on or before September 15, 2023. The Company did not incur any lender fees as part of this First Amendment. </w:t>
      </w:r>
    </w:p>
    <w:p>
      <w:pPr>
        <w:pStyle w:val="TextBody"/>
        <w:bidi w:val="0"/>
        <w:spacing w:before="0" w:after="0"/>
        <w:ind w:left="0" w:right="0" w:firstLine="1080"/>
        <w:jc w:val="left"/>
        <w:rPr/>
      </w:pPr>
      <w:r>
        <w:rPr/>
      </w:r>
    </w:p>
    <w:p>
      <w:pPr>
        <w:pStyle w:val="TextBody"/>
        <w:bidi w:val="0"/>
        <w:spacing w:lineRule="auto" w:line="276"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15, 2023, the Company made a $5.0 million draw (including SVB's commitment of $1.25 million) from the $25.0 million tranche that became available upon submission of the NDA. As of June 30, 2023, the Credit Facility provides for a remaining aggregate principal amount of up to $130.0 million with tranched availability as follows: $20.0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currently available related to the Company's NDA submission with the FDA for TP-03 in September 2022; $35.0 million currently available with the FDA approval of XDEMVY on July 24, 2023; $50.0 million available upon achievement of product net revenue thresholds; and $25.0 million available upon lender approval.</w:t>
      </w:r>
    </w:p>
    <w:p>
      <w:pPr>
        <w:pStyle w:val="TextBody"/>
        <w:bidi w:val="0"/>
        <w:spacing w:before="0" w:after="0"/>
        <w:ind w:left="0" w:right="0" w:firstLine="1080"/>
        <w:jc w:val="left"/>
        <w:rPr/>
      </w:pPr>
      <w:r>
        <w:rPr/>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these tranches may be drawn down in $5.0 million increments at the Company's election. The Credit Facility requires interest-only payments through February 1, 2026, followed by 12 months of principal amortization, unless extended for one year to its maturity, upon meeting certain contractual conditions. All unpaid amounts under the Credit Facility become due on its February 2, 2027 expiry. </w:t>
      </w:r>
    </w:p>
    <w:p>
      <w:pPr>
        <w:pStyle w:val="TextBody"/>
        <w:bidi w:val="0"/>
        <w:spacing w:before="0" w:after="0"/>
        <w:ind w:left="0" w:right="0" w:firstLine="1080"/>
        <w:jc w:val="left"/>
        <w:rPr/>
      </w:pPr>
      <w:r>
        <w:rPr/>
      </w:r>
    </w:p>
    <w:p>
      <w:pPr>
        <w:pStyle w:val="TextBody"/>
        <w:bidi w:val="0"/>
        <w:spacing w:lineRule="auto" w:line="26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Under the First Amendment, the outstanding principal draws accrue interest at a floating interest rate per annum equal to the greater of either (i) The Wall Street Journal ("WSJ") prime rate plus 4.45% with an aggregate cap of 11.45%, or (ii) 8.45%. At the execution date of the Credit Facility, the WSJ prime rate was 3.25% and increased to 8.25% as of June 30, 2023.</w:t>
      </w:r>
    </w:p>
    <w:p>
      <w:pPr>
        <w:pStyle w:val="TextBody"/>
        <w:bidi w:val="0"/>
        <w:spacing w:before="0" w:after="0"/>
        <w:ind w:left="0" w:right="0" w:firstLine="1080"/>
        <w:jc w:val="left"/>
        <w:rPr/>
      </w:pPr>
      <w:r>
        <w:rPr/>
      </w:r>
    </w:p>
    <w:p>
      <w:pPr>
        <w:pStyle w:val="TextBody"/>
        <w:bidi w:val="0"/>
        <w:spacing w:lineRule="auto" w:line="256"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pay a specified fee upon the earlier of (i) February 2, 2027 or (ii) the date the Company prepays, in full or in part, the outstanding principal balance of the Credit Facility ("End of Term Charge"). The current End of Term Charge of $1.2 million was derived by multiplying 4.75% by the $25.0 million outstanding principal balance as of June 30, 2023 and is accreted to interest expense through maturity.</w:t>
      </w:r>
    </w:p>
    <w:p>
      <w:pPr>
        <w:pStyle w:val="TextBody"/>
        <w:bidi w:val="0"/>
        <w:spacing w:before="0" w:after="0"/>
        <w:ind w:left="0" w:right="0" w:firstLine="1080"/>
        <w:jc w:val="left"/>
        <w:rPr/>
      </w:pPr>
      <w:r>
        <w:rPr/>
      </w:r>
    </w:p>
    <w:p>
      <w:pPr>
        <w:pStyle w:val="TextBody"/>
        <w:bidi w:val="0"/>
        <w:spacing w:lineRule="auto" w:line="256"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2022, the effective interest rate for the full term of the Credit Facility was 12.12% and 10.90%, respectively. </w:t>
      </w:r>
    </w:p>
    <w:p>
      <w:pPr>
        <w:pStyle w:val="TextBody"/>
        <w:bidi w:val="0"/>
        <w:spacing w:before="0" w:after="0"/>
        <w:ind w:left="0" w:right="0" w:firstLine="1080"/>
        <w:jc w:val="left"/>
        <w:rPr/>
      </w:pPr>
      <w:r>
        <w:rPr/>
      </w:r>
    </w:p>
    <w:p>
      <w:pPr>
        <w:pStyle w:val="TextBody"/>
        <w:bidi w:val="0"/>
        <w:spacing w:lineRule="auto" w:line="256"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and 2022, the Company recognized interest expense on the accompanying Condensed Statements of Operations and Comprehensive Loss in connection with the Credit Facility as follows: </w:t>
      </w:r>
    </w:p>
    <w:p>
      <w:pPr>
        <w:pStyle w:val="TextBody"/>
        <w:bidi w:val="0"/>
        <w:spacing w:before="0" w:after="0"/>
        <w:ind w:left="0" w:right="0" w:firstLine="1080"/>
        <w:jc w:val="left"/>
        <w:rPr/>
      </w:pPr>
      <w:r>
        <w:rPr/>
      </w:r>
    </w:p>
    <w:tbl>
      <w:tblPr>
        <w:tblW w:w="10205" w:type="dxa"/>
        <w:jc w:val="left"/>
        <w:tblInd w:w="0" w:type="dxa"/>
        <w:tblLayout w:type="fixed"/>
        <w:tblCellMar>
          <w:top w:w="28" w:type="dxa"/>
          <w:left w:w="28" w:type="dxa"/>
          <w:bottom w:w="28" w:type="dxa"/>
          <w:right w:w="28" w:type="dxa"/>
        </w:tblCellMar>
      </w:tblPr>
      <w:tblGrid>
        <w:gridCol w:w="961"/>
        <w:gridCol w:w="756"/>
        <w:gridCol w:w="759"/>
        <w:gridCol w:w="365"/>
        <w:gridCol w:w="785"/>
        <w:gridCol w:w="203"/>
        <w:gridCol w:w="109"/>
        <w:gridCol w:w="109"/>
        <w:gridCol w:w="109"/>
        <w:gridCol w:w="571"/>
        <w:gridCol w:w="1227"/>
        <w:gridCol w:w="317"/>
        <w:gridCol w:w="109"/>
        <w:gridCol w:w="109"/>
        <w:gridCol w:w="109"/>
        <w:gridCol w:w="285"/>
        <w:gridCol w:w="809"/>
        <w:gridCol w:w="158"/>
        <w:gridCol w:w="109"/>
        <w:gridCol w:w="109"/>
        <w:gridCol w:w="109"/>
        <w:gridCol w:w="513"/>
        <w:gridCol w:w="1104"/>
        <w:gridCol w:w="411"/>
      </w:tblGrid>
      <w:tr>
        <w:trPr/>
        <w:tc>
          <w:tcPr>
            <w:tcW w:w="96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for term loan</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end of term charge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 related to term loan</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080"/>
        <w:jc w:val="left"/>
        <w:rPr/>
      </w:pPr>
      <w:r>
        <w:rPr/>
      </w:r>
    </w:p>
    <w:p>
      <w:pPr>
        <w:pStyle w:val="TextBody"/>
        <w:bidi w:val="0"/>
        <w:spacing w:before="0" w:after="0"/>
        <w:ind w:left="0" w:right="0" w:firstLine="1080"/>
        <w:jc w:val="left"/>
        <w:rPr/>
      </w:pPr>
      <w:r>
        <w:rPr/>
      </w:r>
    </w:p>
    <w:p>
      <w:pPr>
        <w:pStyle w:val="TextBody"/>
        <w:bidi w:val="0"/>
        <w:spacing w:lineRule="auto" w:line="256"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Credit Facility consists of principal outstanding less legal and administrative issuance costs that were recorded as a debt discount to the term loan, net and will continue to be accreted to interest expense using the effective interest method during its term. The principal balance of this Credit Facility and related accretion and amortization are reported on a combined basis as term loan, net on the accompanying Condensed Balance Sheets as follows:</w:t>
      </w:r>
    </w:p>
    <w:p>
      <w:pPr>
        <w:pStyle w:val="TextBody"/>
        <w:bidi w:val="0"/>
        <w:spacing w:before="0" w:after="0"/>
        <w:ind w:left="0" w:right="0" w:firstLine="1080"/>
        <w:jc w:val="left"/>
        <w:rPr/>
      </w:pPr>
      <w:r>
        <w:rPr/>
      </w:r>
    </w:p>
    <w:tbl>
      <w:tblPr>
        <w:tblW w:w="6552" w:type="dxa"/>
        <w:jc w:val="left"/>
        <w:tblInd w:w="0" w:type="dxa"/>
        <w:tblLayout w:type="fixed"/>
        <w:tblCellMar>
          <w:top w:w="28" w:type="dxa"/>
          <w:left w:w="28" w:type="dxa"/>
          <w:bottom w:w="28" w:type="dxa"/>
          <w:right w:w="28" w:type="dxa"/>
        </w:tblCellMar>
      </w:tblPr>
      <w:tblGrid>
        <w:gridCol w:w="1284"/>
        <w:gridCol w:w="1131"/>
        <w:gridCol w:w="1140"/>
        <w:gridCol w:w="232"/>
        <w:gridCol w:w="764"/>
        <w:gridCol w:w="129"/>
        <w:gridCol w:w="109"/>
        <w:gridCol w:w="109"/>
        <w:gridCol w:w="109"/>
        <w:gridCol w:w="304"/>
        <w:gridCol w:w="1002"/>
        <w:gridCol w:w="239"/>
      </w:tblGrid>
      <w:tr>
        <w:trPr/>
        <w:tc>
          <w:tcPr>
            <w:tcW w:w="128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gross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end of term charge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 of debt issuance costs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Term loan, net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19,434 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RELATED PARTY TRANSACTIONS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Consulting Agreements</w:t>
      </w:r>
    </w:p>
    <w:p>
      <w:pPr>
        <w:pStyle w:val="TextBody"/>
        <w:bidi w:val="0"/>
        <w:spacing w:before="0" w:after="0"/>
        <w:ind w:left="0" w:right="0" w:firstLine="720"/>
        <w:jc w:val="left"/>
        <w:rPr/>
      </w:pPr>
      <w:r>
        <w:rPr/>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preexisting consulting agreement with a board member who was appointed in December 2021. This Consulting Agreement provides for annual cash compensation of approximately $0.2 million and option grants to purchase 45,134 shares of the Company’s common stock, with exercise prices ranging from $2.01 to $34.72 per share. This Consulting Agreement may be terminated by either party with ten days notice and contains standard confidentiality, indemnification, and intellectual property assignment provisions in favor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Sponsorship Activities </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a board member of the Company was appointed president of the American Society of Cataract and Refractive Surgery ("ASCRS"), a society dedicated to meeting the needs of anterior segment ophthalmic surgeons.</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recorded $0.2 million of general and administrative expenses in the accompanying Condensed Statement of Operations for sponsorship and event-related activities associated with ASCRS. The comparable expenses during the three months ended June 30, 2023 were not material. As of June 30, 2023, there were no amounts due to ASCRS.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words “anticipate,” “believe,” contemplate,” “continue,” “could,” “estimate,” “expect,” “intend,” “may,” “might,” “plan,” “potential,” “predict,” “project,” “should,” “target,” “will,” or “would,” or the negative of these terms or other similar expressions are intended to identify forward-looking statements. Factors that may cause actual results to differ from expected results, include, among others: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successfully commercialize XDEMVY</w:t>
      </w:r>
      <w:r>
        <w:rPr>
          <w:rFonts w:ascii="Times New Roman;sans-serif" w:hAnsi="Times New Roman;sans-serif"/>
          <w:b w:val="false"/>
          <w:color w:val="000000"/>
          <w:sz w:val="13"/>
        </w:rPr>
        <w:t>TM</w:t>
      </w:r>
      <w:r>
        <w:rPr>
          <w:rFonts w:ascii="Times New Roman;sans-serif" w:hAnsi="Times New Roman;sans-serif"/>
          <w:b w:val="false"/>
          <w:color w:val="000000"/>
          <w:sz w:val="20"/>
        </w:rPr>
        <w:t>, formerly known as TP-03, for the treatment of Demodex blepharitis;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prevalence of Demodex blepharitis and the size of the market opportunity for XDEMVY;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shd w:fill="FFFFFF" w:val="clear"/>
        </w:rPr>
        <w:t>our plans relating to commercializing XDEMVY and our product candidates, if approved, including commercialization timelines and sales strategy;</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candidates, opportunity and patient populations for our product candidates, including XDEMVY; our sales force size and hiring plans;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likelihood of our clinical trials demonstrating safety and efficacy of our product candidates, and other positive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timing and progress of our current clinical trials and timing of initiation of our future clinical trials, and the reporting of data from our current and future trials;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timing or likelihood of regulatory filings and approval for our product candidates </w:t>
      </w:r>
      <w:r>
        <w:rPr>
          <w:rFonts w:ascii="Times New Roman;sans-serif" w:hAnsi="Times New Roman;sans-serif"/>
          <w:b w:val="false"/>
          <w:color w:val="000000"/>
          <w:sz w:val="20"/>
          <w:shd w:fill="FFFFFF" w:val="clear"/>
        </w:rPr>
        <w:t>and our ability to meet existing or future regulatory standards or comply with post-approval requirements</w:t>
      </w:r>
      <w:r>
        <w:rPr>
          <w:rFonts w:ascii="Times New Roman;sans-serif" w:hAnsi="Times New Roman;sans-serif"/>
          <w:b w:val="false"/>
          <w:color w:val="000000"/>
          <w:sz w:val="20"/>
        </w:rPr>
        <w: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plans relating to the clinical development of our current and future product candidates, including the size, number and disease areas to be evaluated;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XDEMVY and our product candidates;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impact of health epidemics, including COVID-19, on our business and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impact of unfavorable global economic conditions on our business and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success of competing therapies that are or may become available;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estimates of the number of patients in the United States ("U.S.") or globally, as applicable, who suffer from Demodex blepharitis, Meibomian Gland Disease ("MGD"), rosacea, Lyme disease and malaria and the number of patients that will enroll in our clinical trials;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beneficial characteristics, safety, efficacy, therapeutic effects and potential advantages of our product candidates;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obtain and maintain regulatory approval of our product candidates and our product candidates to meet existing or future regulatory standards;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plans relating to the further development and manufacturing of our product candidates, including additional indications for which we may pursue;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identify additional products, product candidates or technologies with significant commercial potential that are consistent with our commercial objectives;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expected potential benefits of strategic collaborations with third parties (including, for example, the receipt of payments, achievement and timing of milestones under license agreements, and the ability of our third-party collaborators to commercialize our product candidates in the territories under license) and our ability to attract collaborators with development, regulatory and commercialization expertise;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existing regulations and regulatory developments in the U.S. and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27" name="Frame2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plans and ability to obtain or protect intellectual property rights, including extensions of existing patent terms where available;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need to hire additional personnel, in particular sales personnel, and our ability to attract and retain such personnel;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accuracy of our estimates regarding expenses, future revenue, capital requirements and needs for additional financing;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financial performance;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sufficiency of our existing capital resources to fund our future operating expenses and capital expenditure requirements;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competitive position;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expectations regarding the period during which we will qualify as an emerging growth company under the JOBS Act;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anticipated use of our existing resources and the proceeds from our Initial Public Offering (“IPO”), our subsequent follow-on public offerings in May 2022 (the "May 2022 Public Offering") and August 2023 (the "August 2023 Public Offering", together with the May 2022 Public Offering, the “Follow-On Public Offerings”), and draw-downs from our loan and security agreement with Hercules Capital, Inc. ("Hercules") and Silicon Valley Bank ("SVB") (the "Credit Facility").</w:t>
      </w:r>
    </w:p>
    <w:p>
      <w:pPr>
        <w:pStyle w:val="TextBody"/>
        <w:bidi w:val="0"/>
        <w:spacing w:before="60" w:after="283"/>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read this report and the documents that we reference in this report and have filed with the SEC as exhibits to this report with the understanding that our actual future results, levels of activity, performance and events and circumstances may be materially different from what we expect.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w:t>
      </w:r>
    </w:p>
    <w:p>
      <w:pPr>
        <w:pStyle w:val="TextBody"/>
        <w:bidi w:val="0"/>
        <w:spacing w:lineRule="auto" w:line="276" w:before="240" w:after="283"/>
        <w:ind w:left="0" w:right="0" w:firstLine="990"/>
        <w:jc w:val="left"/>
        <w:rPr/>
      </w:pPr>
      <w:r>
        <w:rPr>
          <w:rFonts w:ascii="Times New Roman;sans-serif" w:hAnsi="Times New Roman;sans-serif"/>
          <w:b w:val="false"/>
          <w:color w:val="000000"/>
          <w:sz w:val="20"/>
        </w:rPr>
        <w:t xml:space="preserve">We are a commercial stage biopharmaceutical company focused on the development and commercialization of therapeutics, starting with eye care. </w:t>
      </w:r>
      <w:r>
        <w:rPr>
          <w:rFonts w:ascii="Times New Roman;sans-serif" w:hAnsi="Times New Roman;sans-serif"/>
          <w:b w:val="false"/>
          <w:color w:val="000000"/>
          <w:sz w:val="20"/>
          <w:shd w:fill="FFFFFF" w:val="clear"/>
        </w:rPr>
        <w:t>Our lead product, XDEMVY (lotilaner ophthalmic solution) 0.25%</w:t>
      </w:r>
      <w:r>
        <w:rPr>
          <w:color w:val="000000"/>
        </w:rPr>
        <w:t xml:space="preserve"> </w:t>
      </w:r>
      <w:r>
        <w:rPr>
          <w:rFonts w:ascii="Times New Roman;sans-serif" w:hAnsi="Times New Roman;sans-serif"/>
          <w:b w:val="false"/>
          <w:color w:val="000000"/>
          <w:sz w:val="20"/>
          <w:shd w:fill="FFFFFF" w:val="clear"/>
        </w:rPr>
        <w:t xml:space="preserve">was approved by the </w:t>
      </w:r>
      <w:r>
        <w:rPr>
          <w:rFonts w:ascii="Times New Roman;sans-serif" w:hAnsi="Times New Roman;sans-serif"/>
          <w:b w:val="false"/>
          <w:color w:val="000000"/>
          <w:sz w:val="20"/>
        </w:rPr>
        <w:t xml:space="preserve">U.S. Food and Drug Administration ("FDA") on July 24, 2023 for the treatment of </w:t>
      </w:r>
      <w:r>
        <w:rPr>
          <w:rFonts w:ascii="Times New Roman;sans-serif" w:hAnsi="Times New Roman;sans-serif"/>
          <w:b w:val="false"/>
          <w:color w:val="000000"/>
          <w:sz w:val="20"/>
          <w:shd w:fill="FFFFFF" w:val="clear"/>
        </w:rPr>
        <w:t>blepharitis</w:t>
      </w:r>
      <w:r>
        <w:rPr>
          <w:color w:val="000000"/>
        </w:rPr>
        <w:t xml:space="preserve"> </w:t>
      </w:r>
      <w:r>
        <w:rPr>
          <w:rFonts w:ascii="Times New Roman;sans-serif" w:hAnsi="Times New Roman;sans-serif"/>
          <w:b w:val="false"/>
          <w:color w:val="000000"/>
          <w:sz w:val="20"/>
        </w:rPr>
        <w:t xml:space="preserve">caused by the infestation of Demodex mites, which is referred to as Demodex blepharitis.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Demodex blepharitis. Poorly controlled and progressive blepharitis can lead to corneal damage over time and, in extreme cases, blindness. There are an estimated 25 million people in the U.S. who suffer from Demodex blepharitis. XDEMVY is the first and only therapeutic approved by the FDA and we believe has the potential to become the definitive standard of care for the treatment of Demodex blepharitis. </w:t>
      </w:r>
    </w:p>
    <w:p>
      <w:pPr>
        <w:pStyle w:val="TextBody"/>
        <w:bidi w:val="0"/>
        <w:spacing w:before="0" w:after="0"/>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28" name="Frame2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firstLine="990"/>
        <w:jc w:val="left"/>
        <w:rPr/>
      </w:pPr>
      <w:r>
        <w:rPr>
          <w:rFonts w:ascii="Times New Roman;sans-serif" w:hAnsi="Times New Roman;sans-serif"/>
          <w:b w:val="false"/>
          <w:color w:val="000000"/>
          <w:sz w:val="20"/>
        </w:rPr>
        <w:t>We designed XDEMVY to target and eradicate the root cause of Demodex blepharitis — Demodex mite infestation. The active pharmaceutical ingredient ("API") of XDEMVY, lotilaner, paralyzes and eradicates mites and other parasites through the inhibition of parasite-specific gamma-aminobutyric acid-gated chloride</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 xml:space="preserve">GABA-Cl") channels.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completed seven clinical trials that include a Phase 3 Saturn-2 trial, a Phase 2b/3 Saturn-1 trial, four Phase 2 trials, and a Phase 1 trial for XDEMVY in Demodex blepharitis, all of which met their primary, secondary and/or certain exploratory endpoints, with the drug well tolerated throughout each trial.</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further advance our pipeline with the lotilaner API to address several diseases across therapeutic and/or prophylactic categories in human medicine, including eye care, dermatology, and other diseases. We are investigating the development of product candidates to address targeted diseases with high unmet medical needs, which currently include TP-03 for the potential treatment of MGD, TP-04 for the potential treatment of rosacea, and TP-05 for potential Lyme disease prophylaxis and community malaria reduction.</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Recent Business and Clinical Highlights </w:t>
      </w:r>
    </w:p>
    <w:p>
      <w:pPr>
        <w:pStyle w:val="TextBody"/>
        <w:bidi w:val="0"/>
        <w:spacing w:before="0" w:after="0"/>
        <w:ind w:left="0" w:right="0" w:firstLine="720"/>
        <w:jc w:val="left"/>
        <w:rPr/>
      </w:pPr>
      <w:r>
        <w:rPr/>
      </w:r>
    </w:p>
    <w:p>
      <w:pPr>
        <w:pStyle w:val="TextBody"/>
        <w:bidi w:val="0"/>
        <w:spacing w:lineRule="auto" w:line="268" w:before="0" w:after="0"/>
        <w:ind w:left="0" w:right="0" w:firstLine="990"/>
        <w:jc w:val="left"/>
        <w:rPr/>
      </w:pPr>
      <w:r>
        <w:rPr>
          <w:rFonts w:ascii="Times New Roman;sans-serif" w:hAnsi="Times New Roman;sans-serif"/>
          <w:b/>
          <w:color w:val="000000"/>
          <w:sz w:val="20"/>
          <w:u w:val="single"/>
        </w:rPr>
        <w:t>XDEMVY:</w:t>
      </w:r>
      <w:r>
        <w:rPr>
          <w:color w:val="000000"/>
        </w:rPr>
        <w:t xml:space="preserve"> </w:t>
      </w:r>
      <w:r>
        <w:rPr>
          <w:rFonts w:ascii="Times New Roman;sans-serif" w:hAnsi="Times New Roman;sans-serif"/>
          <w:b w:val="false"/>
          <w:color w:val="000000"/>
          <w:sz w:val="20"/>
        </w:rPr>
        <w:t>First and only approved therapeutic for Demodex blepharitis, a highly prevalent eyelid disease that impacts approximately 25 million eye care patients in the U.S. XDEMVY targets the root cause of Demodex blepharitis and in pivotal trials demonstrated significant improvement in eyelids (reduction of collarettes, the pathognomonic sign of the disease, to no more than two collarettes per upper lid), mite eradication (mite density of zero mites per lash) and erythema cure (grade zero erythema).</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Actively engaging in contracting discussions with the top commercial and Medicare accounts and expect to secure commercial coverage sequentially throughout 2024 and Medicare coverage in 2025.</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Completed recruitment of our eighty-five person sales force targeting approximately 15,000 optometrists and ophthalmologists, which represents greater than 80% of the projected market; expect our sales force to be deployed by the end of August when we anticipate product to be available .</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Established unique distribution model leveraging high touch retail and digital pharmacies to offer broad patient access with potentially two times the fill rate compared to traditional approaches.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Active disease education is continuing to drive awareness and encouraging eye care providers ("ECPs") to proactively diagnose Demodex blepharitis: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Consistently greater than 90% of approximately 250 optometrists and ophthalmologists who participated in an Awareness Trial and Usage (ATU) market research survey indicated they would prescribe an FDA-approved therapeutic for Demodex blepharitis.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“Look at the Lids” disease education campaign has generated nearly 300,000 unique website visits, up from 200,000 as of March 31, 2023 and more than 3.0 million digital/media impressions, an increase of 700,000 impressions as of March 31, 2023.</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Published Saturn-2 pivotal trial results in the American Academy of Ophthalmology journal</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XDEMVY met the primary, all secondary endpoints and was generally well tolerated</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ans-serif" w:hAnsi="Times New Roman;sans-serif"/>
          <w:b/>
          <w:color w:val="000000"/>
          <w:sz w:val="20"/>
          <w:u w:val="single"/>
        </w:rPr>
        <w:t>TP-03 Meibomian Gland Disease, Ersa Trial</w:t>
      </w:r>
      <w:r>
        <w:rPr>
          <w:rFonts w:ascii="Times New Roman;sans-serif" w:hAnsi="Times New Roman;sans-serif"/>
          <w:b w:val="false"/>
          <w:color w:val="000000"/>
          <w:sz w:val="20"/>
        </w:rPr>
        <w:t>: In August 2022, we announced the enrollment of our first patient in the Phase 2a Ersa clinical trial studying TP-03 for the treatment of MGD. We expect topline availability during the second half of 2023.</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ans-serif" w:hAnsi="Times New Roman;sans-serif"/>
          <w:b/>
          <w:color w:val="000000"/>
          <w:sz w:val="20"/>
          <w:u w:val="single"/>
        </w:rPr>
        <w:t>TP-04 Rosacea, Galatea Trial</w:t>
      </w:r>
      <w:r>
        <w:rPr>
          <w:rFonts w:ascii="Times New Roman;sans-serif" w:hAnsi="Times New Roman;sans-serif"/>
          <w:b w:val="false"/>
          <w:color w:val="000000"/>
          <w:sz w:val="20"/>
        </w:rPr>
        <w:t>: In March 2023, we initiated the Galatea trial, a Phase 2a trial evaluating TP-04, a novel gel formulation of lotilaner, for the treatment of rosacea. We expect topline availability in the first half of 2024.</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pPr>
      <w:r>
        <w:rPr>
          <w:rFonts w:ascii="Times New Roman;sans-serif" w:hAnsi="Times New Roman;sans-serif"/>
          <w:b/>
          <w:color w:val="000000"/>
          <w:sz w:val="20"/>
          <w:u w:val="single"/>
        </w:rPr>
        <w:t>TP-05 Lyme Disease, Callisto and Carpo Trials</w:t>
      </w:r>
      <w:r>
        <w:rPr>
          <w:rFonts w:ascii="Times New Roman;sans-serif" w:hAnsi="Times New Roman;sans-serif"/>
          <w:b w:val="false"/>
          <w:color w:val="000000"/>
          <w:sz w:val="20"/>
        </w:rPr>
        <w:t xml:space="preserve">: In December 2022, we announced positive topline results from the completed Phase 1 Callisto trial and enrollment of the first patient in the Phase 2a Carpo trial. The Callisto and Carpo trials are designed to evaluate TP-05, a novel investigative oral, non-vaccine pharmacological prophylactic for the potential prevention of Lyme disease. The Callisto Phase 1 trial was a randomized, double-blind, single and multiple-ascending dose trial that evaluated the safety, tolerability, and PK of TP-05 in healthy subjects. Results from the trial showed that TP-05 was well tolerated with no dose-related or drug-related serious adverse events. Pharmacokinetic data from the trial demonstrated rapid absorption and an extended half-life of TP-05 that potentially supports a convenient oral therapy regimen, supporting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29" name="Frame2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potential as a rapid onset, prophylactic therapy for Lyme disease. Additionally, exploratory ex-vivo tick kill modeling utilizing serum from TP-05 treated subjects demonstrated potent, rapid killing of adult and nymph ticks. The Carpo trial, evaluating TP-05 for the potential prevention of Lyme disease in humans, is a randomized, double-blind trial that will evaluate the efficacy of TP-05 in killing lab grown, non-disease carrying ticks after they have attached to the skin of healthy volunteers, as well as confirm the safety, tolerability, and blood concentration of TP-05. We expect topline availability from the Phase 2a Carpo trial during the second half of 2023.</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TP-05 is currently the only non-vaccine, drug-based prophylaxis in development that targets ticks, and potentially prevents Lyme disease transmission. It is designed to rapidly and durably provide systemic blood levels of lotilaner potentially sufficient to kill infected ticks attached to the human body before they can transmit the Borrelia bacteria that causes Lyme disease.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ans-serif" w:hAnsi="Times New Roman;sans-serif"/>
          <w:b/>
          <w:color w:val="000000"/>
          <w:sz w:val="20"/>
          <w:u w:val="single"/>
        </w:rPr>
        <w:t>TP-03 China Territory Out-License</w:t>
      </w:r>
      <w:r>
        <w:rPr>
          <w:rFonts w:ascii="Times New Roman;sans-serif" w:hAnsi="Times New Roman;sans-serif"/>
          <w:b w:val="false"/>
          <w:color w:val="000000"/>
          <w:sz w:val="20"/>
        </w:rPr>
        <w:t xml:space="preserve">: In March 2021, we executed an out-license agreement (the "China Out-License") with LianBio Ophthalmology Limited ("LianBio"), granting exclusive commercial rights to TP-03 for the treatment of Demodex blepharitis and MGD within The People’s Republic of China, Macau, Hong Kong, and Taiwan (the "China Territory").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a specified milestone was triggered resulting in $2.5 million recognized as license fees and collaboration revenue in the accompanying Condensed Statements of Operations for the six months ended June 30, 2023. This cash payment was received during the three months ended June 30, 2023. As of the date of this filing, we have received contractual cash proceeds from LianBio of $82.5 million, representing initial consideration of $15.0 million and $67.5 million for the achievement of specified milestone events. We also received equity in LianBio as part of this China Out-License, a portion of which remains subject to a China-based regulatory vesting provision. </w:t>
      </w:r>
    </w:p>
    <w:p>
      <w:pPr>
        <w:pStyle w:val="TextBody"/>
        <w:bidi w:val="0"/>
        <w:spacing w:before="0" w:after="0"/>
        <w:ind w:left="0" w:right="0" w:firstLine="99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Corporate and Financial 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incorporated as a Delaware corporation in November 2016, and our headquarters is located in Irvine, California. Since our inception, we have devoted substantially all of our resources to organizing and staffing our company, acquiring intellectual property, clinical development of our product candidates, building our research and development capabilities, raising capital, and enhancing our corporate infrastructure.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financed our operations through private placements of preferred stock, convertible promissory notes, the net proceeds from issuance of common stock in our IPO and our Follow-On Public Offerings, cash proceeds from our China Out-License, and draw-downs from the Credit Facility.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net operating losses in every year since our inception and expect to continue to incur significant operating expenses and, other than the effect of license fees and collaboration revenue from the China Out-License, increasing operating losses for the foreseeable future. Our net loss was $31.4 million and $5.7 million for the three months ended June 30, 2023 and 2022, respectively, and $54.8 million and $26.0 million for the six months ended June 30, 2023 and 2022, respectively. Our net losses may fluctuate significantly from quarter to quarter and year to year and could be substantial. We anticipate that our operating expenses will increase significantly as we: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 our own sales force in the U.S. to commercialize XDEMVY</w:t>
      </w:r>
      <w:r>
        <w:rPr>
          <w:color w:val="000000"/>
        </w:rPr>
        <w:t xml:space="preserve"> </w:t>
      </w:r>
      <w:r>
        <w:rPr>
          <w:rFonts w:ascii="Times New Roman;sans-serif" w:hAnsi="Times New Roman;sans-serif"/>
          <w:b w:val="false"/>
          <w:color w:val="000000"/>
          <w:sz w:val="20"/>
        </w:rPr>
        <w:t>and our other products for which we obtain regulatory approvals;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regulatory approval for XDEMVY and seek regulatory approval for our other product candidates that successfully complete clinical development, if 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advance the clinical development of TP-03 for the potential treatment of MGD, TP-04 for the potential treatment of rosacea and TP-05 for potential Lyme prophylaxis;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engage with contract manufacturers to ensure a sufficient supply chain capacity to provide commercial quantities of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hire additional staff, including clinical, scientific, technical, regulatory, marketing, operations, financial, and other support personnel, to execute our business plan;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0" name="Frame3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 information systems and personnel to support our product development and commercialization efforts, and to enable us to operate as a public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yet have revenue from product sales. Our reported revenue within license fees and collaboration revenue is from our China Out-License; we expect to report additional revenue under this caption in future periods.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do not expect to generate revenues from product sales until we commercially launch XDEMVY. Until such time as we can generate significant revenue from product sales and achieve profitability,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drug product development and commercialization, we are unable to accurately forecast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As of June 30, 2023, our aggregate cash, cash equivalents and marketable securities was $178.2 million – see the section below titled </w:t>
      </w:r>
      <w:r>
        <w:rPr>
          <w:color w:val="000000"/>
        </w:rPr>
        <w:t>“</w:t>
      </w:r>
      <w:r>
        <w:rPr>
          <w:rFonts w:ascii="Times New Roman;sans-serif" w:hAnsi="Times New Roman;sans-serif"/>
          <w:b w:val="false"/>
          <w:i/>
          <w:color w:val="000000"/>
          <w:sz w:val="20"/>
        </w:rPr>
        <w:t>Management's Discussion and Analysis of Financial Condition and Results of Operations — Liquidity and Capital Resources.”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Impact of the Macroeconomic Environment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Recently, </w:t>
      </w:r>
      <w:r>
        <w:rPr>
          <w:rFonts w:ascii="Times New Roman;sans-serif" w:hAnsi="Times New Roman;sans-serif"/>
          <w:b w:val="false"/>
          <w:color w:val="000000"/>
          <w:sz w:val="20"/>
          <w:shd w:fill="FFFFFF" w:val="clear"/>
        </w:rPr>
        <w:t>the economy has experienced downward pressure, and together with high rates of inflation and energy supply issues experienced in certain regions, have led to regional and/or global macroeconomic challenges, the effects of which may be of an extended duration.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be exposed to credit risk on deposits at financial institutions to the extent our account balances exceed the amount insured by the Federal Deposit Insurance Corporation (“FDIC”). We maintain cash held in deposit at financial institutions in the U.S., including SVB, a division of First Citizens Bank. While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We invest our excess cash in highly liquid investments, including money market fund accounts, that are readily convertible into cash without penalty. We believe the Company is not exposed to significant credit risk due to the financial position of the depository institution, but will continue to monitor regularly and adjust, if needed, to mitigate risk, including any ongoing or new events involving limited liquidity, defaults, non-performance or other adverse developments that affect financial institutions.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See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Annual Report on Form 10-K for the year ended December 31, 2022, filed with the SEC on March 17, 2023 and in this Quarterly Report, for a further discussion of the potential adverse impact of unfavorable global economic conditions on our business, results of operations and financial condition.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June 30, 2023 and 2022</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1" name="Frame3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tbl>
      <w:tblPr>
        <w:tblW w:w="8787" w:type="dxa"/>
        <w:jc w:val="center"/>
        <w:tblInd w:w="0" w:type="dxa"/>
        <w:tblLayout w:type="fixed"/>
        <w:tblCellMar>
          <w:top w:w="28" w:type="dxa"/>
          <w:left w:w="28" w:type="dxa"/>
          <w:bottom w:w="28" w:type="dxa"/>
          <w:right w:w="28" w:type="dxa"/>
        </w:tblCellMar>
      </w:tblPr>
      <w:tblGrid>
        <w:gridCol w:w="1840"/>
        <w:gridCol w:w="1615"/>
        <w:gridCol w:w="1630"/>
        <w:gridCol w:w="196"/>
        <w:gridCol w:w="721"/>
        <w:gridCol w:w="109"/>
        <w:gridCol w:w="109"/>
        <w:gridCol w:w="109"/>
        <w:gridCol w:w="109"/>
        <w:gridCol w:w="196"/>
        <w:gridCol w:w="646"/>
        <w:gridCol w:w="109"/>
        <w:gridCol w:w="109"/>
        <w:gridCol w:w="109"/>
        <w:gridCol w:w="109"/>
        <w:gridCol w:w="196"/>
        <w:gridCol w:w="721"/>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license fees and collaboration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 and income taxes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equity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(expense), net </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License Fees and Collaboration Revenue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we did not recognize any license fees and collaboration revenue. For the three months ended June 30, 2022, we recognized $15.3 million of license fees and collaboration revenue under the China Out-License. These amounts represent the contractual milestones achieved or allocated under the China Out-License that have been fully or partially completed by the period end. These allocated amounts represented the satisfaction of the transfer of license rights to LianBio and the completion of related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recognize additional license fees and collaboration revenue to the extent other events occur, specifically related to (i) milestone achievement of an additional drug supply agreement execution, (ii) milestone achievement of certain regulatory events in the China Territory, and (iii) royalties and milestones from our licensee's product sales of TP-03 in the China Territory.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License Fees and Collaboration Revenue</w:t>
      </w:r>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we did not recognize any cost of license fees and collaboration revenue. Cost of license fees and collaboration revenue was $0.5 million for the three months ended June 30, 2022. This amount relates to our contractual payment obligations to Elanco, in proportion to our recognized license fees and collaboration revenue in the same period.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tbl>
      <w:tblPr>
        <w:tblW w:w="6539" w:type="dxa"/>
        <w:jc w:val="left"/>
        <w:tblInd w:w="0" w:type="dxa"/>
        <w:tblLayout w:type="fixed"/>
        <w:tblCellMar>
          <w:top w:w="28" w:type="dxa"/>
          <w:left w:w="28" w:type="dxa"/>
          <w:bottom w:w="28" w:type="dxa"/>
          <w:right w:w="28" w:type="dxa"/>
        </w:tblCellMar>
      </w:tblPr>
      <w:tblGrid>
        <w:gridCol w:w="1100"/>
        <w:gridCol w:w="970"/>
        <w:gridCol w:w="974"/>
        <w:gridCol w:w="207"/>
        <w:gridCol w:w="684"/>
        <w:gridCol w:w="115"/>
        <w:gridCol w:w="115"/>
        <w:gridCol w:w="115"/>
        <w:gridCol w:w="115"/>
        <w:gridCol w:w="207"/>
        <w:gridCol w:w="589"/>
        <w:gridCol w:w="115"/>
        <w:gridCol w:w="109"/>
        <w:gridCol w:w="109"/>
        <w:gridCol w:w="109"/>
        <w:gridCol w:w="196"/>
        <w:gridCol w:w="556"/>
        <w:gridCol w:w="154"/>
      </w:tblGrid>
      <w:tr>
        <w:trPr/>
        <w:tc>
          <w:tcPr>
            <w:tcW w:w="110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external expenses:</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TP-03 program</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TP-04 program</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TP-05 program</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 expenses: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Compensation and personnel-related </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expenses</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by $2.9 million for the three months ended June 30, 2023, as compared to the prior year period. This increase was primarily due to $2.8 million of increased indirect expenses related to payroll and personnel-related costs (including stock-based compensation) for 34 employee additions period over period to drive our product development initiatives.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2" name="Frame3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$9.9 million for the three months ended June 30, 2023, as compared to the prior year period. The increase was primarily due to (i) $4.4 million of increased payroll and personnel-related costs (including stock-based compensation) for 40 corporate employee additions, period over period, to support our business growth and commercial leadership hires for readiness of our commercial launch of XDEMVY, (ii) $0.9 million of severance costs related to our former Chief Financial Officer's separation from the Company in June 2023, (iii) $3.5 million of increased commercial and market research costs as we continue our commercial expansion and prepare for the launch of XDEMVY, (iv) $0.9 million of increased IT applications, legal and other professional expenses to support the continued growth and expansion of our corporate infrastructure, and (v) $0.2 million of increased facilities and office and administrative expenses. We expect sales and marketing headcount and associated vendor expenses to meaningfully increase during 2023 as part of our commercial launch and related activities for XDEMVY.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by $1.9 million primarily due to (i) $1.9 million of increased interest income earned on our cash, cash equivalents and marketable securities, (ii) $0.3 million change in estimated fair value of the LianBio equity warrants we received as part of our China Out-License in March 2021, and (iii) $0.1 million change in fair value of the LianBio common stock. These increases were partially offset by a decrease in interest expense of $0.3 million on the Credit Facility.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2023 and 2022</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w:t>
      </w:r>
    </w:p>
    <w:tbl>
      <w:tblPr>
        <w:tblW w:w="8862" w:type="dxa"/>
        <w:jc w:val="center"/>
        <w:tblInd w:w="0" w:type="dxa"/>
        <w:tblLayout w:type="fixed"/>
        <w:tblCellMar>
          <w:top w:w="28" w:type="dxa"/>
          <w:left w:w="28" w:type="dxa"/>
          <w:bottom w:w="28" w:type="dxa"/>
          <w:right w:w="28" w:type="dxa"/>
        </w:tblCellMar>
      </w:tblPr>
      <w:tblGrid>
        <w:gridCol w:w="1840"/>
        <w:gridCol w:w="1615"/>
        <w:gridCol w:w="1630"/>
        <w:gridCol w:w="196"/>
        <w:gridCol w:w="721"/>
        <w:gridCol w:w="109"/>
        <w:gridCol w:w="109"/>
        <w:gridCol w:w="109"/>
        <w:gridCol w:w="109"/>
        <w:gridCol w:w="196"/>
        <w:gridCol w:w="721"/>
        <w:gridCol w:w="109"/>
        <w:gridCol w:w="109"/>
        <w:gridCol w:w="109"/>
        <w:gridCol w:w="109"/>
        <w:gridCol w:w="196"/>
        <w:gridCol w:w="721"/>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(13,316)</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license fees and collaboration revenue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 and income taxes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equity investments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License Fees and Collaboration Revenue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we recognized $2.5 million and $15.8 million, respectively, of license fees and collaboration revenue attributable to contractual milestones under the China Out-License. These amounts represent the contractual milestones achieved or allocated under the China Out-License that have been fully or partially completed by the period end. These allocated amounts represented the satisfaction of the transfer of license rights to LianBio and the completion of related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recognize additional license fees and collaboration revenue to the extent other events occur, specifically related to (i) milestone achievement of an additional drug supply agreement execution, (ii) milestone achievement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33" name="Frame3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events in the China Territory, and (iii) royalties and milestones from our licensee's product sales of TP-03 in the China Territory.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License Fees and Collaboration Revenue</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we did not recognize any cost of license fees and collaboration revenue. Cost of license fees and collaboration revenue for the six months ended June 30, 2022 was $0.6 million. This amount relates to our contractual payment obligations to Elanco, in proportion to our recognized license fees and collaboration revenue in the same period.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tbl>
      <w:tblPr>
        <w:tblW w:w="6581" w:type="dxa"/>
        <w:jc w:val="left"/>
        <w:tblInd w:w="0" w:type="dxa"/>
        <w:tblLayout w:type="fixed"/>
        <w:tblCellMar>
          <w:top w:w="28" w:type="dxa"/>
          <w:left w:w="28" w:type="dxa"/>
          <w:bottom w:w="28" w:type="dxa"/>
          <w:right w:w="28" w:type="dxa"/>
        </w:tblCellMar>
      </w:tblPr>
      <w:tblGrid>
        <w:gridCol w:w="1101"/>
        <w:gridCol w:w="970"/>
        <w:gridCol w:w="973"/>
        <w:gridCol w:w="196"/>
        <w:gridCol w:w="646"/>
        <w:gridCol w:w="109"/>
        <w:gridCol w:w="109"/>
        <w:gridCol w:w="109"/>
        <w:gridCol w:w="109"/>
        <w:gridCol w:w="196"/>
        <w:gridCol w:w="646"/>
        <w:gridCol w:w="109"/>
        <w:gridCol w:w="109"/>
        <w:gridCol w:w="109"/>
        <w:gridCol w:w="109"/>
        <w:gridCol w:w="196"/>
        <w:gridCol w:w="631"/>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external expenses: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TP-03 program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TP-04 program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TP-05 program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early-stage programs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personnel-related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Elanco milestone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$3.2 million for the six months ended June 30, 2023, as compared to the prior year period. The increase was primarily due to (i) $5.6 million of increased indirect expenses related to payroll and personnel-related costs (including stock-based compensation) for 34 employee additions period over period to drive our product development initiatives, (ii) $1.0 million of milestone expense related to our in-license agreement with Elanco, and (iii) $2.1 million of increased TP-05 program expenses primarily related to the Phase 2a Carpo trial initiated in December 2022 and the new food effect study initiated during the first quarter of 2023. These increases were partially offset by decreases in direct external spend for the TP-03 and TP-04 programs of $4.8 million and $0.8 million, respectively. The decrease in our TP-03 program expenses was primarily due to significantly reduced clinical trial costs of $5.6 million given the completion of our Saturn-2 trial in the first half of 2022, partially offset by $0.8 million of clinical trial expenses related to the Phase 2a Ersa clinical trial studying TP-03 for the treatment of MGD. The decrease in our TP-04 program expenses were primarily due to $1.4 million of decreased preclinical expenses, partially offset by $0.8 million of increased clinical trial expenses related to the Galatea trial.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$17.0 million for the six months ended June 30, 2023, as compared to the prior year period. The increase was primarily due to (i) $9.0 million of increased payroll and personnel-related costs (including stock-based compensation) for 40 corporate employee additions period-over-period to support our business growth and commercial leadership hires for readiness of our commercial launch of XDEMVY, (ii) $0.9 million of severance costs related to our former Chief Financial Officer's separation from the Company in June 2023, (iii) $6.4 million of increased commercial and market research costs as we continue our commercial expansion and prepare for the launch of XDEMVY, (iv) $1.2 million of increased IT applications, legal and other professional expenses to support the continued growth and expansion of our corporate infrastructure, and (v) $0.4 million of increased facilities and office and administrative expenses. We expect sales and marketing headcount and associated vendor spend to meaningfully ramp during 2023 as part of our commercial launch and related activities for XDEMVY.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decreased by $4.2 million primarily due to (i) $4.2 million of increased interest income earned on our cash, cash equivalents and marketable securities, (ii) $0.5 million change in estimated fair value of the LianBio equity warrants we received as part of our China Out-License in March 2021, and (iii) $0.2 million change in fair value of the LianBio common stock. These increases were partially offset by a decrease in interest expense of $0.6 million on the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34" name="Frame3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valuation allowance against our net deferred tax assets as of June 30, 2023 and 2022 due to the uncertainty that such assets will be realized. We evaluate the recoverability of our deferred tax assets on at least an annual basis.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inception, our operations have been substantially financed by cash proceeds of private placements of preferred stock, IPO proceeds from the issuance of common stock, China Out-License consideration, Credit Facility draws, and our Follow-On Public Offerings. As of June 30, 2023, we had cash, cash equivalents and marketable securities of $178.2 million.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IPO and Follow-On Public Offerings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October 2020 IPO, we sold 6,325,000 shares of our common stock (inclusive of the full exercise of the underwriters’ option to purchase 825,000 shares of common stock). After deducting underwriting discounts, commissions and other related expenses, our IPO proceeds were $91.7 million.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we completed a Follow-On Public Offering. We also granted the underwriters a 30-day option to purchase up to 840,000 additional shares of common stock at the public offering price, less underwriting discounts and commissions. In June 2022, the underwriters partially exercised their option to purchase an additional 289,832 shares of common stock at the offering price of $13.50 per share, before underwriting discounts and commissions. After giving effect to the exercise of the underwriters’ option, we sold 5,889,832 shares for net proceeds received of $74.3 million, after deducting underwriting discounts, commissions, and other estimated offering-related expenses.</w:t>
      </w:r>
    </w:p>
    <w:p>
      <w:pPr>
        <w:pStyle w:val="TextBody"/>
        <w:bidi w:val="0"/>
        <w:spacing w:lineRule="auto" w:line="27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August 4, 2023, we completed a Follow-On Public Offering of 5,714,285 shares of common stock at an offering price of $17.50 per share. The aggregate net proceeds received were approximately $93.6 million, after deducting underwriting discounts, commissions, and other estimated offering-related expenses. We also granted the underwriters a 30-day option to purchase up to 857,142 additional shares of our common stock at the public offering price.</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China 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filing, we have received $82.5 million of total proceeds in connection with our China Out-License. We expect to receive an additional $2.5 million during 2023 for the achievement of a specific milestone, for cumulative milestone receipts of $85.0 million through December 2023. The remaining $120.0 million of available milestones under this arrangement will potentially be received upon future regulatory and sales achievements all within the China Territory.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we executed the Credit Facility with Hercules and SVB. Capital draws are at our election and are in $5.0 million increments. Concurrent with the execution of the Credit Facility we drew $20.0 million. This Credit Facility was amended in January 2023. The Credit Facility, as amended, set a maximum interest rate, updated the terms of prepayment under the Credit Facility and includes an extended period to draw down the tranche associated with the NDA submission, from March 15, 2023 to March 15, 2024 provided at least $5 million was drawn on or before March 15, 2023 and at least an additional $5 million is drawn on or before September 15, 2023. On March 15, 2023 we made a $5.0 million draw (including SVB's commitment of $1.25 million) from the $25.0 million tranche associated with the NDA submission of TP-03. The Credit Facility includes four-year period of interest-only payments and is extendable for a fifth year to February 2027 maturity, upon our expected achievement of required conditions. We currently have no other financing commitments, such as lines of credit or guarantees.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filing, we have $130.0 million of tranched availability as follows: </w:t>
      </w:r>
    </w:p>
    <w:p>
      <w:pPr>
        <w:pStyle w:val="TextBody"/>
        <w:bidi w:val="0"/>
        <w:spacing w:before="0" w:after="0"/>
        <w:ind w:left="0" w:right="0" w:firstLine="990"/>
        <w:jc w:val="left"/>
        <w:rPr/>
      </w:pPr>
      <w:r>
        <w:rPr/>
      </w:r>
    </w:p>
    <w:p>
      <w:pPr>
        <w:pStyle w:val="TextBody"/>
        <w:bidi w:val="0"/>
        <w:spacing w:lineRule="auto" w:line="288" w:before="0" w:after="0"/>
        <w:ind w:left="0" w:right="0" w:hanging="90"/>
        <w:jc w:val="left"/>
        <w:rPr/>
      </w:pPr>
      <w:r>
        <w:rPr>
          <w:color w:val="000000"/>
        </w:rPr>
        <w:t xml:space="preserve">• </w:t>
      </w:r>
      <w:r>
        <w:rPr>
          <w:rFonts w:ascii="Times New Roman;sans-serif" w:hAnsi="Times New Roman;sans-serif"/>
          <w:b w:val="false"/>
          <w:color w:val="000000"/>
          <w:sz w:val="20"/>
        </w:rPr>
        <w:t>$20.0 million, which became available in September 2022 upon our NDA submission of TP-03 to the FDA;</w:t>
      </w:r>
    </w:p>
    <w:p>
      <w:pPr>
        <w:pStyle w:val="TextBody"/>
        <w:bidi w:val="0"/>
        <w:spacing w:lineRule="auto" w:line="288" w:before="0" w:after="0"/>
        <w:ind w:left="0" w:right="0" w:firstLine="630"/>
        <w:jc w:val="left"/>
        <w:rPr/>
      </w:pPr>
      <w:r>
        <w:rPr>
          <w:color w:val="000000"/>
        </w:rPr>
        <w:t xml:space="preserve">• </w:t>
      </w:r>
      <w:r>
        <w:rPr>
          <w:rFonts w:ascii="Times New Roman;sans-serif" w:hAnsi="Times New Roman;sans-serif"/>
          <w:b w:val="false"/>
          <w:color w:val="000000"/>
          <w:sz w:val="20"/>
        </w:rPr>
        <w:t>$35.0 million, which became available in July 2023 upon FDA approval of XDEMVY;</w:t>
      </w:r>
    </w:p>
    <w:p>
      <w:pPr>
        <w:pStyle w:val="TextBody"/>
        <w:bidi w:val="0"/>
        <w:spacing w:lineRule="auto" w:line="288" w:before="0" w:after="0"/>
        <w:ind w:left="0" w:right="0" w:firstLine="630"/>
        <w:jc w:val="left"/>
        <w:rPr/>
      </w:pPr>
      <w:r>
        <w:rPr>
          <w:color w:val="000000"/>
        </w:rPr>
        <w:t xml:space="preserve">• </w:t>
      </w:r>
      <w:r>
        <w:rPr>
          <w:rFonts w:ascii="Times New Roman;sans-serif" w:hAnsi="Times New Roman;sans-serif"/>
          <w:b w:val="false"/>
          <w:color w:val="000000"/>
          <w:sz w:val="20"/>
        </w:rPr>
        <w:t>$50.0 million available upon achievement of certain quarterly revenue thresholds;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35"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630"/>
        <w:jc w:val="left"/>
        <w:rPr/>
      </w:pPr>
      <w:r>
        <w:rPr>
          <w:color w:val="000000"/>
        </w:rPr>
        <w:t xml:space="preserve">• </w:t>
      </w:r>
      <w:r>
        <w:rPr>
          <w:rFonts w:ascii="Times New Roman;sans-serif" w:hAnsi="Times New Roman;sans-serif"/>
          <w:b w:val="false"/>
          <w:color w:val="000000"/>
          <w:sz w:val="20"/>
        </w:rPr>
        <w:t>$25.0 million available with lender approval.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Liquidity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expenditures currently consist of research and development costs (including activities within our preclinical, clinical, regulatory, and drug manufacturing initiatives) and general and administrative costs. Our use of cash is impacted by the timing and extent of payments for each of these activities and other business requirements. We have incurred significant losses and negative cash flows from operations since our inception and had an accumulated deficit of $163.6 million as of June 30, 2023. </w:t>
      </w:r>
    </w:p>
    <w:p>
      <w:pPr>
        <w:pStyle w:val="TextBody"/>
        <w:bidi w:val="0"/>
        <w:spacing w:lineRule="auto" w:line="268" w:before="240" w:after="283"/>
        <w:ind w:left="0" w:right="0" w:firstLine="990"/>
        <w:jc w:val="left"/>
        <w:rPr/>
      </w:pPr>
      <w:r>
        <w:rPr>
          <w:rFonts w:ascii="Times New Roman;sans-serif" w:hAnsi="Times New Roman;sans-serif"/>
          <w:b w:val="false"/>
          <w:color w:val="000000"/>
          <w:sz w:val="20"/>
        </w:rPr>
        <w:t xml:space="preserve">As of June 30, 2023, we had cash, cash equivalents and marketable securities of $178.2 million. We received aggregate net proceeds of approximately $93.6 million from the August 2023 Public Offering. We anticipate having at least $55.0 million of available capital from our Credit Facility through March 2024 and an additional $75.0 million of additional tranched availability through December 2024. The Credit Facility requires interest-only debt service payments that are expected to remain through its maturity in February 2027 and its remaining tranches are subject to undrawn expiry in either March 2024 or December 2024 (see </w:t>
      </w:r>
      <w:r>
        <w:rPr>
          <w:rFonts w:ascii="Times New Roman;sans-serif" w:hAnsi="Times New Roman;sans-serif"/>
          <w:b w:val="false"/>
          <w:i/>
          <w:color w:val="000000"/>
          <w:sz w:val="20"/>
        </w:rPr>
        <w:t>Note 10</w:t>
      </w:r>
      <w:r>
        <w:rPr>
          <w:rFonts w:ascii="Times New Roman;sans-serif" w:hAnsi="Times New Roman;sans-serif"/>
          <w:b w:val="false"/>
          <w:color w:val="000000"/>
          <w:sz w:val="20"/>
        </w:rPr>
        <w:t>).</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cash equivalents and marketable securities will be sufficient to fund our current and planned operations for at least the next twelve months from the date of this filing on Form 10-Q. Our cash runway estimate is predicated on current assumptions for future revenue, operating expenses, and debt availability and may require future adjustments. Accordingly, we may be required to raise additional capital earlier than we currently expect based on our cash requirements and market dynamics.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Shelf Registration Statement</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 2021, we filed a shelf registration statement on Form S-3 that was declared effective by the SEC on November 5, 2021 (the “Shelf Registration Statement”), which permitted us to offer up to $300.0 million of common stock, preferred stock, debt securities and warrants in one or more offerings and in any combination, including in units from time to time. We have approximately $120 million remaining under our Shelf Registration Statement, after giving effect to the Follow-On Public Offerings (and exclusive of the sales agreement prospectus described below). Our Shelf Registration Statement is intended to provide us with additional flexibility to access capital markets for general corporate expenses and acquisitions of complementary products, technologies, or businesses. We completed the Follow-On Public Offering under this Shelf Registration Statement.</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Also, as part of this Shelf Registration Statement, we concurrently filed a sales agreement prospectus covering the sale of up to $100.0 million of our common stock pursuant to an Open Market Sale Agreement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(the “ATM Agreement”) with Jefferies LLC. Through the date of this filing, we have not sold any shares of our common stock under the ATM Agreement. On July 31, 2023, in connection with the August 2023 Public Offering, we terminated the sales agreement prospectus relating to the ATM.</w:t>
      </w:r>
    </w:p>
    <w:p>
      <w:pPr>
        <w:pStyle w:val="TextBody"/>
        <w:bidi w:val="0"/>
        <w:spacing w:before="0" w:after="0"/>
        <w:ind w:left="0" w:right="0" w:firstLine="990"/>
        <w:jc w:val="left"/>
        <w:rPr/>
      </w:pPr>
      <w:r>
        <w:rPr/>
      </w:r>
    </w:p>
    <w:p>
      <w:pPr>
        <w:pStyle w:val="TextBody"/>
        <w:bidi w:val="0"/>
        <w:spacing w:lineRule="auto" w:line="26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Liquidity Risks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not generated any product sales, though we have recognized revenue and cash receipts from our China Out-License. We do not expect to report any product revenue unless and until we (i) complete development of any of our product candidates; (ii) obtain applicable regulatory approvals; and then (iii) successfully commercialize our product candidates or enter into other collaborative agreements for our product candidates with third parties. We do not know with certainty when, or if, any of these items will ultimately occur.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incur significant operating losses for the foreseeable future, and expect these losses to further increase, as we expand our clinical development programs and as we prepare for the commercial launch of XDEMVY. We may also encounter unforeseen expenses, difficulties, complications, delays and other currently unknown factors that could adversely affect our business.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may require additional capital to fully develop our product candidates and to execute our business strategy. Our requirements of a future capital raise will depend on many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of revenue, if any, received from commercial sales of XDEMVY or our product candidates, should any of our product candidates receive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and timing associated with commercializing XDEMVY or our product or product candidates, if they receive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timing, rate of progress and costs of our drug discovery efforts,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timing and outcome of preparing for and undergoing regulatory review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and costs of development and commercial manufacturing activities;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achievement of milestones or occurrence of other developments that trigger payments under any collaboration agreements we might have at such time and availability of our Credit Facility;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efforts to enhance operational systems and our ability to attract, hire and retain qualified personnel, including personnel to support the development of our product candidates and, ultimately, the sale of our products, following FDA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implementation of various computerized information systems;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impact of health epidemics on our clinical development or operations;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associated with being a public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Summary Statements of Cash Flows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primary sources and uses of cash and cash equivalents for each of the periods presented below:</w:t>
      </w:r>
    </w:p>
    <w:tbl>
      <w:tblPr>
        <w:tblW w:w="5454" w:type="dxa"/>
        <w:jc w:val="center"/>
        <w:tblInd w:w="0" w:type="dxa"/>
        <w:tblLayout w:type="fixed"/>
        <w:tblCellMar>
          <w:top w:w="28" w:type="dxa"/>
          <w:left w:w="28" w:type="dxa"/>
          <w:bottom w:w="28" w:type="dxa"/>
          <w:right w:w="28" w:type="dxa"/>
        </w:tblCellMar>
      </w:tblPr>
      <w:tblGrid>
        <w:gridCol w:w="1097"/>
        <w:gridCol w:w="960"/>
        <w:gridCol w:w="973"/>
        <w:gridCol w:w="196"/>
        <w:gridCol w:w="721"/>
        <w:gridCol w:w="109"/>
        <w:gridCol w:w="109"/>
        <w:gridCol w:w="109"/>
        <w:gridCol w:w="109"/>
        <w:gridCol w:w="196"/>
        <w:gridCol w:w="721"/>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Operating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$45.8 million for the six months ended June 30, 2023, which primarily consisted of our net loss of $54.8 million partially offset by stock-based compensation of $9.1 million. For the six months ended June 30, 2023, our cash payments to vendors totaled $32.6 million and payroll-related cash payments (inclusive of 2022 bonus payouts) totaled $19.4 million.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$19.5 million for the six months ended June 30, 2022. We recognized $15.8 million of license fee and collaboration revenue and received $15 million in June 2022 in connection with our China Out-License. In the prior year period, our cash payments to vendors for our operating activities totaled $26.0 million and payroll-related cash payments (inclusive of 2021 bonus payouts) totaled $9.1 million.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Provided by (Used in) Investing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$75.4 million for the six months ended June 30, 2023, and primarily relates to $105.2 million of proceeds from maturities of investments, partially offset by $28.7 million of purchased investments and $1.1 million of purchased furniture, fixtures and leasehold improvements for our laboratory and administrative offices.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Net cash used in investing activities was $0.3 million</w:t>
      </w:r>
      <w:r>
        <w:rPr>
          <w:color w:val="000000"/>
          <w:shd w:fill="FFFFFF" w:val="clear"/>
        </w:rPr>
        <w:t xml:space="preserve"> </w:t>
      </w:r>
      <w:r>
        <w:rPr>
          <w:rFonts w:ascii="Times New Roman;sans-serif" w:hAnsi="Times New Roman;sans-serif"/>
          <w:b w:val="false"/>
          <w:color w:val="000000"/>
          <w:sz w:val="20"/>
          <w:shd w:fill="FFFFFF" w:val="clear"/>
        </w:rPr>
        <w:t>for</w:t>
      </w:r>
      <w:r>
        <w:rPr>
          <w:color w:val="000000"/>
        </w:rPr>
        <w:t xml:space="preserve"> </w:t>
      </w:r>
      <w:r>
        <w:rPr>
          <w:rFonts w:ascii="Times New Roman;sans-serif" w:hAnsi="Times New Roman;sans-serif"/>
          <w:b w:val="false"/>
          <w:color w:val="000000"/>
          <w:sz w:val="20"/>
        </w:rPr>
        <w:t>the six months ended June 30, 2022, which consisted of leasehold improvements for our laboratory and administrative offices and various purchases of computer hardware and office equipment.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Provided by Financing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$5.5 million for the six months ended June 30, 2023 which primarily relates to (i) $5.0 million of proceeds from our Credit Facility and (ii) $0.5 million of proceeds from our employee stock purchase plan.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$93.9 million for the six months ended June 30, 2022, which primarily consisted of (i) $74.6 million of net proceeds from the issuance of common stock upon the Follow-On Public Offering, (ii) $20.0 million of proceeds from the Credit Facility, partially offset by our $0.9 million payment for its issuance costs, and (iii) $0.2 million of proceeds from our employee stock purchase plan.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management's discussion and analysis of financial condition and results of operations is based on our Condensed Financial Statements, which have been prepared in conformity with U.S. generally accepted accounting principles ("GAAP") requires management to make estimates and assumptions that affect the reported amounts of assets and liabilities and the disclosure of contingent assets and liabilities at the date of these condensed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A summary of our critical accounting policies is presented in our filed Annual Report on Form 10-K for the year ended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ind w:left="0" w:right="0" w:firstLine="990"/>
        <w:jc w:val="left"/>
        <w:rPr/>
      </w:pPr>
      <w:r>
        <w:rPr>
          <w:rFonts w:ascii="Times New Roman;sans-serif" w:hAnsi="Times New Roman;sans-serif"/>
          <w:b w:val="false"/>
          <w:color w:val="000000"/>
          <w:sz w:val="20"/>
        </w:rPr>
        <w:t xml:space="preserve">There were no material changes to our previously reported </w:t>
      </w:r>
      <w:r>
        <w:rPr>
          <w:rFonts w:ascii="Times New Roman;sans-serif" w:hAnsi="Times New Roman;sans-serif"/>
          <w:b w:val="false"/>
          <w:i/>
          <w:color w:val="000000"/>
          <w:sz w:val="20"/>
        </w:rPr>
        <w:t>Critical Accounting Policies</w:t>
      </w:r>
      <w:r>
        <w:rPr>
          <w:color w:val="000000"/>
        </w:rPr>
        <w:t xml:space="preserve"> </w:t>
      </w:r>
      <w:r>
        <w:rPr>
          <w:rFonts w:ascii="Times New Roman;sans-serif" w:hAnsi="Times New Roman;sans-serif"/>
          <w:b w:val="false"/>
          <w:color w:val="000000"/>
          <w:sz w:val="20"/>
        </w:rPr>
        <w:t>during the three and six months ended June 30,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description of recent accounting pronouncements that may potentially impact our financial position, results of operations or cash flows are disclosed in the footnote to which each relates within these accompanying Condensed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not engaged in any off-balance sheet arrangements, as defined in the rules and regulations of the SEC.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June 30,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Jumpstart Our Business Startups Act of 2012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will remain an emerging growth company until the </w:t>
      </w:r>
      <w:r>
        <w:rPr>
          <w:rFonts w:ascii="Times New Roman;sans-serif" w:hAnsi="Times New Roman;sans-serif"/>
          <w:b w:val="false"/>
          <w:i/>
          <w:color w:val="000000"/>
          <w:sz w:val="20"/>
        </w:rPr>
        <w:t>earliest of</w:t>
      </w:r>
      <w:r>
        <w:rPr>
          <w:color w:val="000000"/>
        </w:rPr>
        <w:t xml:space="preserve"> </w:t>
      </w:r>
      <w:r>
        <w:rPr>
          <w:rFonts w:ascii="Times New Roman;sans-serif" w:hAnsi="Times New Roman;sans-serif"/>
          <w:b w:val="false"/>
          <w:color w:val="000000"/>
          <w:sz w:val="20"/>
        </w:rPr>
        <w:t>(1) December 31, 2025, which is the last day of our first fiscal year following the fifth anniversary of the completion of our IPO, (2) the last day of our first fiscal year (a) in which we have total annual gross revenues of at least $1.235 billion or (b) in which we are deemed to be a large accelerated filer, which means the market value of our common stock that is held by non-affiliates exceeds $700 million, as of the prior June 30th and (3) the date on which we have issued more than $1.0 billion in non-convertible debt securities during the prior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risk inherent in our financial instruments and in our financial position represents the potential loss arising from adverse changes in interest rates. As of June 30, 2023, we had cash, cash equivalents, and marketable securities of $178.2 million, consisting of interest-bearing money market accounts, U.S. Treasury securities, commercial paper, corporate debt securities and government-related debt securities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cash equivalents and marketable securities.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$25.0 million of debt principal outstanding. Our Credit Facility bears interest at an annual rate equal to the greater of (i) the prime rate as reported in the Wall Street Journal plus 4.45% with an aggregate cap of 11.45% or (ii) 8.45%. Assuming our interest rate is the aggregate cap of 11.45% our reported interest expense would aggregate $0.7 million and $1.4 million, respectively, for the three and six months ended June 30,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do not believe inflation, interest rate changes, and foreign currency exchange rate fluctuations had a significant impact on our results of operations for any periods presented herein. However, with further inflationary pressures, certain significant increased costs could have an adverse impact on the results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Evaluation of Disclosure Controls and Procedures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Chief Executive Officer and our Chief Financial Officer, has evaluated the effectiveness of our disclosure controls and procedures (as defined in Rules 13a-15(e) and 15d-15(e) under the Exchange Act of 1934, as amended ("Exchange Act")) as of the end of the period covered by this report. Based upon that evaluation, our Chief Executive Officer and Chief Financial Officer concluded that, as of the end of the period covered by this report,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Inherent Limitations on Effectiveness of Controls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 not expect that our disclosure controls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there have been no material changes to the risk factors included in our Annual Report on Form 10-K for the year ended December 31, 2022, as filed with the SEC on March 17, 2023, other than the following risk factors:</w:t>
      </w:r>
    </w:p>
    <w:p>
      <w:pPr>
        <w:pStyle w:val="TextBody"/>
        <w:bidi w:val="0"/>
        <w:spacing w:before="0" w:after="0"/>
        <w:ind w:left="0" w:right="0" w:firstLine="99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Risk Related to Commercialization of our Product and Product Candidates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only recently obtained regulatory approval for XDEMVY in the United States and we have limited experience as a commercial company and have never generated revenue from product sales. If the commercial launch of XDEMVY or any future approved products is unsuccessful, we may never be profitable, or may be less successful than anticipated.</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recently received approval by the FDA for XDEMVY for the treatment of Demodex blepharitis in the United States. Our ability to become and remain profitable is heavily dependent on our ability to generate revenue from XDEMVY. As a company, we have not yet launched any approved products for commercial sale and have not yet generated any revenue from product sales. The success of our commercialization will depend on a number of factors, including, among others, the continued development of our commercial organization, including our internal sales and marketing team and distribution capabilities, our ability to navigate the significant expenses and risks involved with the development and management of such capabilities, satisfying any post-marketing regulatory requirements, our ability to secure adequate healthcare coverage and the acceptance of XDEMVY by patients, ECPs and third-party payers. Further, our commercial success is dependent on our ability to educate ECPs, patients and others in the medical community about Demodex blepharitis. If XDEMVY, or any other future approved product, does not achieve an adequate level of acceptance, coverage, pricing or reimbursement, we may not generate significant product revenues and we may not be profitable. Even if we successfully launch and commercialize XDEMVY in the U.S., we may be unable to achieve or maintain profitability, unless XDEMVY is approved in other jurisdictions or for additional indications. Because of the uncertainties and risks associated with these activities, we are unable to accurately and precisely predict the timing and amount of revenues from product sales of XDEMVY, or any future approved products, or if or when we might achieve profitability.</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unsuccessful in accomplishing our objectives, or if our commercialization efforts do not develop as planned, we may not be able to successfully commercialize XDEMVY or any future approved products, we may require significant additional capital and financial resources, we may not become profitable, and we may not be able to compete against more established companies in our industry. Even if we do achieve profitability, we may not be able to sustain or increase profitability on a quarterly or annual basis.</w:t>
      </w:r>
    </w:p>
    <w:p>
      <w:pPr>
        <w:pStyle w:val="TextBody"/>
        <w:bidi w:val="0"/>
        <w:spacing w:before="0" w:after="0"/>
        <w:ind w:left="0" w:right="0" w:firstLine="99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other jurisdictions could diminish the value of patents in general, thereby impairing our ability to protect our product candidates.</w:t>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(“USPTO”) during patent prosecution and additional procedures to attack the validity of a patent by USPTO administered post-grant proceedings, including post-grant review, inter partes review, and derivation proceedings. After March 2013, under the Leahy-Smith Act, the U.S. transitioned to a first inventor to file system in which, assuming that the other statutory requirements are met, the first inventor to file a patent application will be entitled to the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0" w:after="0"/>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Use of Proceeds from Initial Public Offering</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planned use of proceeds from our IPO as described in the Registration Statement on Form S-1 (File No. 333-249076), declared effective by the SEC on October 15, 2020, and the related final prospectus, dated October 15, 2020, filed with the SEC on October 16, 2020, pursuant to Rule 424(b)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firstLine="99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Executive Severance and Change in Control Agreement </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August 8, 2023, our Compensation Committee of the Board of Directors approved a new form of Executive Severance and Change in Control Agreement (the “Executive Severance Agreement”) for our executive officers, and certain other executives, including our “named executive officers” (as defined in Item 403(a)(3) of Regulation S-K promulgated by the Securities and Exchange Commission). Upon acceptance by an executive, the Executive Severance Agreement supersedes the executive’s existing severance arrangements that would otherwise apply upon qualifying termination of employment.</w:t>
      </w:r>
    </w:p>
    <w:p>
      <w:pPr>
        <w:pStyle w:val="TextBody"/>
        <w:bidi w:val="0"/>
        <w:spacing w:before="0" w:after="0"/>
        <w:ind w:left="0" w:right="0" w:firstLine="555"/>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Executive Severance Agreement, upon a termination of an executive officer’s employment by us without “cause” or the resignation by an executive officer for “good reason” (each of the terms “cause” and “good reason” as defined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Executive Severance Agreement) (each, a “Qualifying Termination”), the executive officer will be entitled to receive the following severance benefits: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 cash payment equal to (i) the sum of 12 months of the executive officer’s monthly base salary or (ii) in connection with a Qualifying Termination that is within three months prior to, or 12 months following, a change in control (“in connection with a change in control”), the sum of 18 months the executive officer’s monthly base salary for the Chief Executive Officer and 12 months for other executive officers, (each, a “Severance Term”);</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Company-paid COBRA premiums for continued health insurance until the earlier of (i) the close of the applicable Severance Term, (ii) the date the executive officer ceases to be eligible for COBRA continuation coverage, or (iii) the date when the executive officer becomes eligible for substantially equivalent health insurance coverage;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if the Qualifying Termination is in connection with a change in control, a cash payment equal to the sum of (i) a pro-rated portion of the executive officer’s target bonus amount for the year of termination and (ii) 150% for the Chief Executive Officer or 100% for other executive officers, of such executive’s target bonus amount for the year of termination;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if the Qualifying Termination is in connection with a change in control, accelerated vesting of all of the executive officer’s then-outstanding equity awards.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Receipt of the foregoing benefits is subject to the executive officer’s execution and non-revocation of a release of claims against us and continued compliance with certain restrictive covenants.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the event any payments or benefits that an executive would receive in connection with a change in control constitute a “parachute payment” within the meaning of Section 280G of the Internal Revenue Code, and such payments or benefits would be subject to the excise tax imposed by Section 4999 of the Internal Revenue Code, then such payments shall be made to such executive either (a) in full or (b) as to such lesser amount as would result in no portion of such payments or benefits being subject to the excise tax, whichever of the foregoing amounts, after taking into account applicable taxes and the excise tax, results in the executive’s receipt, on an after-tax basis, of the greatest amount of payment or benefits. </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is qualified in its entirety by reference to the form of Executive Severance Agreement, a copy of which is attached hereto as Exhibit 10.2.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before="240" w:after="283"/>
        <w:ind w:left="0" w:right="0" w:firstLine="990"/>
        <w:jc w:val="left"/>
        <w:rPr/>
      </w:pPr>
      <w:r>
        <w:rPr/>
      </w:r>
    </w:p>
    <w:tbl>
      <w:tblPr>
        <w:tblW w:w="10205" w:type="dxa"/>
        <w:jc w:val="center"/>
        <w:tblInd w:w="0" w:type="dxa"/>
        <w:tblLayout w:type="fixed"/>
        <w:tblCellMar>
          <w:top w:w="28" w:type="dxa"/>
          <w:left w:w="28" w:type="dxa"/>
          <w:bottom w:w="28" w:type="dxa"/>
          <w:right w:w="28" w:type="dxa"/>
        </w:tblCellMar>
      </w:tblPr>
      <w:tblGrid>
        <w:gridCol w:w="263"/>
        <w:gridCol w:w="232"/>
        <w:gridCol w:w="233"/>
        <w:gridCol w:w="109"/>
        <w:gridCol w:w="109"/>
        <w:gridCol w:w="109"/>
        <w:gridCol w:w="1804"/>
        <w:gridCol w:w="1577"/>
        <w:gridCol w:w="1583"/>
        <w:gridCol w:w="170"/>
        <w:gridCol w:w="170"/>
        <w:gridCol w:w="171"/>
        <w:gridCol w:w="259"/>
        <w:gridCol w:w="259"/>
        <w:gridCol w:w="260"/>
        <w:gridCol w:w="500"/>
        <w:gridCol w:w="500"/>
        <w:gridCol w:w="501"/>
        <w:gridCol w:w="150"/>
        <w:gridCol w:w="150"/>
        <w:gridCol w:w="151"/>
        <w:gridCol w:w="275"/>
        <w:gridCol w:w="275"/>
        <w:gridCol w:w="395"/>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Exhibit</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reensteinleo2023-05x03sep.htm">
              <w:r>
                <w:rPr>
                  <w:rStyle w:val="InternetLink"/>
                  <w:rFonts w:ascii="Times New Roman;sans-serif" w:hAnsi="Times New Roman;sans-serif"/>
                  <w:b w:val="false"/>
                  <w:color w:val="0000FF"/>
                  <w:sz w:val="18"/>
                  <w:u w:val="single"/>
                </w:rPr>
                <w:t>Separation Agreement, dated May 4, 2023, by and between Registrant and Leonard Greenstein.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tarsusformofs.htm">
              <w:r>
                <w:rPr>
                  <w:rStyle w:val="InternetLink"/>
                  <w:rFonts w:ascii="Times New Roman;sans-serif" w:hAnsi="Times New Roman;sans-serif"/>
                  <w:b w:val="false"/>
                  <w:color w:val="0000FF"/>
                  <w:sz w:val="18"/>
                  <w:u w:val="single"/>
                </w:rPr>
                <w:t>Form of Executive Severance and Change in Control Agreement.</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63023.htm">
              <w:r>
                <w:rPr>
                  <w:rStyle w:val="InternetLink"/>
                  <w:rFonts w:ascii="Times New Roman;sans-serif" w:hAnsi="Times New Roman;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63023.htm">
              <w:r>
                <w:rPr>
                  <w:rStyle w:val="InternetLink"/>
                  <w:rFonts w:ascii="Times New Roman;sans-serif" w:hAnsi="Times New Roman;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63023.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63023.htm">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91"/>
        <w:gridCol w:w="2843"/>
        <w:gridCol w:w="4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4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Indicates a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9e6feeaa6004a7bba69df77eedbb5d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firstLine="990"/>
        <w:jc w:val="left"/>
        <w:rPr/>
      </w:pPr>
      <w:r>
        <w:rPr/>
      </w:r>
    </w:p>
    <w:p>
      <w:pPr>
        <w:pStyle w:val="TextBody"/>
        <w:bidi w:val="0"/>
        <w:spacing w:before="0" w:after="0"/>
        <w:ind w:left="0" w:right="0" w:firstLine="990"/>
        <w:jc w:val="left"/>
        <w:rPr/>
      </w:pPr>
      <w:r>
        <w:rPr/>
      </w:r>
    </w:p>
    <w:tbl>
      <w:tblPr>
        <w:tblW w:w="7808"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84"/>
        <w:gridCol w:w="484"/>
        <w:gridCol w:w="486"/>
        <w:gridCol w:w="109"/>
        <w:gridCol w:w="109"/>
        <w:gridCol w:w="109"/>
        <w:gridCol w:w="546"/>
        <w:gridCol w:w="546"/>
        <w:gridCol w:w="546"/>
        <w:gridCol w:w="546"/>
        <w:gridCol w:w="546"/>
        <w:gridCol w:w="546"/>
        <w:gridCol w:w="546"/>
        <w:gridCol w:w="546"/>
        <w:gridCol w:w="7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TARSUS PHARMACEUTICALS,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rPr/>
      </w:pPr>
      <w:r>
        <w:rPr/>
      </w:r>
    </w:p>
    <w:p>
      <w:pPr>
        <w:pStyle w:val="TextBody"/>
        <w:bidi w:val="0"/>
        <w:spacing w:before="240" w:after="283"/>
        <w:ind w:left="0" w:right="0" w:firstLine="990"/>
        <w:jc w:val="righ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45"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40" w:before="83" w:after="283"/>
        <w:jc w:val="center"/>
        <w:rPr>
          <w:rFonts w:ascii="Times New Roman;sans-serif" w:hAnsi="Times New Roman;sans-serif"/>
          <w:b/>
          <w:color w:val="000000"/>
          <w:sz w:val="22"/>
        </w:rPr>
      </w:pPr>
      <w:r>
        <w:rPr>
          <w:rFonts w:ascii="Times New Roman;sans-serif" w:hAnsi="Times New Roman;sans-serif"/>
          <w:b/>
          <w:color w:val="000000"/>
          <w:sz w:val="22"/>
        </w:rPr>
        <w:t>Separation Agreement</w:t>
      </w:r>
    </w:p>
    <w:p>
      <w:pPr>
        <w:pStyle w:val="TextBody"/>
        <w:bidi w:val="0"/>
        <w:spacing w:before="1"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The following agreement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between Leonard M. Greenstein (“</w:t>
      </w:r>
      <w:r>
        <w:rPr>
          <w:rFonts w:ascii="Times New Roman;sans-serif" w:hAnsi="Times New Roman;sans-serif"/>
          <w:b/>
          <w:i/>
          <w:color w:val="000000"/>
          <w:sz w:val="22"/>
        </w:rPr>
        <w:t>you</w:t>
      </w:r>
      <w:r>
        <w:rPr>
          <w:color w:val="000000"/>
        </w:rPr>
        <w:t>”</w:t>
      </w:r>
      <w:r>
        <w:rPr>
          <w:rFonts w:ascii="Times New Roman;sans-serif" w:hAnsi="Times New Roman;sans-serif"/>
          <w:b w:val="false"/>
          <w:color w:val="000000"/>
          <w:sz w:val="22"/>
        </w:rPr>
        <w:t>) and Tarsus Pharmaceuticals, Inc. (the “</w:t>
      </w:r>
      <w:r>
        <w:rPr>
          <w:rFonts w:ascii="Times New Roman;sans-serif" w:hAnsi="Times New Roman;sans-serif"/>
          <w:b/>
          <w:i/>
          <w:color w:val="000000"/>
          <w:sz w:val="22"/>
        </w:rPr>
        <w:t>Company</w:t>
      </w:r>
      <w:r>
        <w:rPr>
          <w:color w:val="000000"/>
        </w:rPr>
        <w:t xml:space="preserve">” </w:t>
      </w:r>
      <w:r>
        <w:rPr>
          <w:rFonts w:ascii="Times New Roman;sans-serif" w:hAnsi="Times New Roman;sans-serif"/>
          <w:b w:val="false"/>
          <w:color w:val="000000"/>
          <w:sz w:val="22"/>
        </w:rPr>
        <w:t>and, together with you, the “</w:t>
      </w:r>
      <w:r>
        <w:rPr>
          <w:rFonts w:ascii="Times New Roman;sans-serif" w:hAnsi="Times New Roman;sans-serif"/>
          <w:b/>
          <w:i/>
          <w:color w:val="000000"/>
          <w:sz w:val="22"/>
        </w:rPr>
        <w:t>Parties</w:t>
      </w:r>
      <w:r>
        <w:rPr>
          <w:color w:val="000000"/>
        </w:rPr>
        <w:t>”</w:t>
      </w:r>
      <w:r>
        <w:rPr>
          <w:rFonts w:ascii="Times New Roman;sans-serif" w:hAnsi="Times New Roman;sans-serif"/>
          <w:b w:val="false"/>
          <w:color w:val="000000"/>
          <w:sz w:val="22"/>
        </w:rPr>
        <w:t>) confirms your separation from employment and offers you certain benefits to which you would not otherwise be entitled, conditioned upon your provision of a general release of claims and the obligations set forth in this Agreement.</w:t>
      </w:r>
    </w:p>
    <w:p>
      <w:pPr>
        <w:pStyle w:val="TextBody"/>
        <w:bidi w:val="0"/>
        <w:spacing w:before="11"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WHEREAS, you have served as the Chief Financial Officer of the Company since April 2020;</w:t>
      </w:r>
    </w:p>
    <w:p>
      <w:pPr>
        <w:pStyle w:val="TextBody"/>
        <w:bidi w:val="0"/>
        <w:spacing w:before="6" w:after="283"/>
        <w:jc w:val="left"/>
        <w:rPr/>
      </w:pPr>
      <w:r>
        <w:rPr/>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Company notified you that on April 18, 2023 that you would be separating from the Company;</w:t>
      </w:r>
    </w:p>
    <w:p>
      <w:pPr>
        <w:pStyle w:val="TextBody"/>
        <w:bidi w:val="0"/>
        <w:spacing w:before="1"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Company issued a press release relating to the transition on April 24, 2023 that stated, in part: “We are extremely grateful for Leo’s commitment and contributions to Tarsus. With his leadership, Tarsus secured multiple rounds of funding, completed a successful IPO, and executed a significant partnership in China for our lead candidate, TP-03 . . . Leo played an important role in helping Tarsus establish a strong finance team and public company foundation that will serve the organization well as we prepare to commercialize our first therapy”; and</w:t>
      </w:r>
    </w:p>
    <w:p>
      <w:pPr>
        <w:pStyle w:val="TextBody"/>
        <w:bidi w:val="0"/>
        <w:spacing w:before="9"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Parties desire to fully and finally resolve any and all disputes and to set forth their complete agreement and release of claims; and</w:t>
      </w:r>
    </w:p>
    <w:p>
      <w:pPr>
        <w:pStyle w:val="TextBody"/>
        <w:bidi w:val="0"/>
        <w:spacing w:before="8"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with the intent to be legally bound hereby, and in consideration of the mutual promises contained herein, the receipt and adequacy of which is hereby acknowledged, the Parties agree as follows:</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10000"/>
          <w:sz w:val="22"/>
        </w:rPr>
        <w:t>1.</w:t>
      </w:r>
      <w:r>
        <w:rPr>
          <w:rFonts w:ascii="Times New Roman;sans-serif" w:hAnsi="Times New Roman;sans-serif"/>
          <w:b w:val="false"/>
          <w:color w:val="000000"/>
          <w:sz w:val="22"/>
          <w:u w:val="single"/>
        </w:rPr>
        <w:t>Separation from Employment</w:t>
      </w:r>
      <w:r>
        <w:rPr>
          <w:rFonts w:ascii="Times New Roman;sans-serif" w:hAnsi="Times New Roman;sans-serif"/>
          <w:b w:val="false"/>
          <w:color w:val="000000"/>
          <w:sz w:val="22"/>
        </w:rPr>
        <w:t>: Your last day of employment with the Company will be June 15, 2023 (the “</w:t>
      </w:r>
      <w:r>
        <w:rPr>
          <w:rFonts w:ascii="Times New Roman;sans-serif" w:hAnsi="Times New Roman;sans-serif"/>
          <w:b/>
          <w:i/>
          <w:color w:val="000000"/>
          <w:sz w:val="22"/>
        </w:rPr>
        <w:t>Separation Date</w:t>
      </w:r>
      <w:r>
        <w:rPr>
          <w:color w:val="000000"/>
        </w:rPr>
        <w:t>”</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2.</w:t>
      </w:r>
      <w:r>
        <w:rPr>
          <w:rFonts w:ascii="Times New Roman;sans-serif" w:hAnsi="Times New Roman;sans-serif"/>
          <w:b w:val="false"/>
          <w:color w:val="000000"/>
          <w:sz w:val="22"/>
          <w:u w:val="single"/>
        </w:rPr>
        <w:t>Final Pay and Benefits</w:t>
      </w:r>
      <w:r>
        <w:rPr>
          <w:rFonts w:ascii="Times New Roman;sans-serif" w:hAnsi="Times New Roman;sans-serif"/>
          <w:b w:val="false"/>
          <w:color w:val="000000"/>
          <w:sz w:val="22"/>
        </w:rPr>
        <w:t>: You acknowledge and agree that the Company has provided you with your final pay, less lawful deductions (the “</w:t>
      </w:r>
      <w:r>
        <w:rPr>
          <w:rFonts w:ascii="Times New Roman;sans-serif" w:hAnsi="Times New Roman;sans-serif"/>
          <w:b/>
          <w:i/>
          <w:color w:val="000000"/>
          <w:sz w:val="22"/>
        </w:rPr>
        <w:t>Final Pay</w:t>
      </w:r>
      <w:r>
        <w:rPr>
          <w:color w:val="000000"/>
        </w:rPr>
        <w:t>”</w:t>
      </w:r>
      <w:r>
        <w:rPr>
          <w:rFonts w:ascii="Times New Roman;sans-serif" w:hAnsi="Times New Roman;sans-serif"/>
          <w:b w:val="false"/>
          <w:color w:val="000000"/>
          <w:sz w:val="22"/>
        </w:rPr>
        <w:t>) through the Separation Date, in a timely manner and in accordance with your state’s law. Whether or not you execute this Agreement, you will be entitled to, and are not releasing your rights to, any benefits required to be provided to you pursuant to any employee benefit plans in which you are a participant. You may also have rights to continue your group health coverage under the federal law commonly called “COBRA,” or a state law equivalent.</w:t>
      </w:r>
    </w:p>
    <w:p>
      <w:pPr>
        <w:pStyle w:val="TextBody"/>
        <w:bidi w:val="0"/>
        <w:spacing w:before="9"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10000"/>
          <w:sz w:val="22"/>
        </w:rPr>
        <w:t>3.</w:t>
      </w:r>
      <w:r>
        <w:rPr>
          <w:rFonts w:ascii="Times New Roman;sans-serif" w:hAnsi="Times New Roman;sans-serif"/>
          <w:b w:val="false"/>
          <w:color w:val="000000"/>
          <w:sz w:val="22"/>
          <w:u w:val="single"/>
        </w:rPr>
        <w:t>Severance Benefits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i/>
          <w:color w:val="000000"/>
          <w:sz w:val="22"/>
        </w:rPr>
        <w:t xml:space="preserve">Severance Pay: </w:t>
      </w:r>
      <w:r>
        <w:rPr>
          <w:rFonts w:ascii="Times New Roman;sans-serif" w:hAnsi="Times New Roman;sans-serif"/>
          <w:b w:val="false"/>
          <w:color w:val="000000"/>
          <w:sz w:val="22"/>
        </w:rPr>
        <w:t>The Company will pay you severance in the form of salary continuation at your current annualized salary for a period of nine (9) months after your Separation Date (“</w:t>
      </w:r>
      <w:r>
        <w:rPr>
          <w:rFonts w:ascii="Times New Roman;sans-serif" w:hAnsi="Times New Roman;sans-serif"/>
          <w:b/>
          <w:i/>
          <w:color w:val="000000"/>
          <w:sz w:val="22"/>
        </w:rPr>
        <w:t>Severance Pay</w:t>
      </w:r>
      <w:r>
        <w:rPr>
          <w:color w:val="000000"/>
        </w:rPr>
        <w:t>”</w:t>
      </w:r>
      <w:r>
        <w:rPr>
          <w:rFonts w:ascii="Times New Roman;sans-serif" w:hAnsi="Times New Roman;sans-serif"/>
          <w:b w:val="false"/>
          <w:color w:val="000000"/>
          <w:sz w:val="22"/>
        </w:rPr>
        <w:t>). The payments will be made pursuant to the Company’s standard payroll procedures starting within fourteen (14) calendar days of the Effective Date (defined below), and the Company will pay any retroactive amounts due. The Severance Pay will be treated as taxable compensation but is not intended by either party to be treated, and will not be treated, as compensation for purposes of eligibility or benefits under any benefit plan of the Company. The Company will apply standard tax and other applicable withholdings to payments made to you.</w:t>
      </w:r>
    </w:p>
    <w:p>
      <w:pPr>
        <w:pStyle w:val="TextBody"/>
        <w:bidi w:val="0"/>
        <w:spacing w:before="9"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i/>
          <w:color w:val="000000"/>
          <w:sz w:val="22"/>
        </w:rPr>
        <w:t>Severance Bonus</w:t>
      </w:r>
      <w:r>
        <w:rPr>
          <w:rFonts w:ascii="Times New Roman;sans-serif" w:hAnsi="Times New Roman;sans-serif"/>
          <w:b w:val="false"/>
          <w:color w:val="000000"/>
          <w:sz w:val="22"/>
        </w:rPr>
        <w:t>: The Company will also pay one-third (1/3) of your 2023 annual target bonus adjusted pro rata based on the fiscal year 2023 Company performance score (the “</w:t>
      </w:r>
      <w:r>
        <w:rPr>
          <w:rFonts w:ascii="Times New Roman;sans-serif" w:hAnsi="Times New Roman;sans-serif"/>
          <w:b/>
          <w:i/>
          <w:color w:val="000000"/>
          <w:sz w:val="22"/>
        </w:rPr>
        <w:t>Severance Bonus</w:t>
      </w:r>
      <w:r>
        <w:rPr>
          <w:color w:val="000000"/>
        </w:rPr>
        <w:t>”</w:t>
      </w:r>
      <w:r>
        <w:rPr>
          <w:rFonts w:ascii="Times New Roman;sans-serif" w:hAnsi="Times New Roman;sans-serif"/>
          <w:b w:val="false"/>
          <w:color w:val="000000"/>
          <w:sz w:val="22"/>
        </w:rPr>
        <w:t>) approved by the Compensation Committee (the “</w:t>
      </w:r>
      <w:r>
        <w:rPr>
          <w:rFonts w:ascii="Times New Roman;sans-serif" w:hAnsi="Times New Roman;sans-serif"/>
          <w:b/>
          <w:i/>
          <w:color w:val="000000"/>
          <w:sz w:val="22"/>
        </w:rPr>
        <w:t>Committee</w:t>
      </w:r>
      <w:r>
        <w:rPr>
          <w:color w:val="000000"/>
        </w:rPr>
        <w:t>”</w:t>
      </w:r>
      <w:r>
        <w:rPr>
          <w:rFonts w:ascii="Times New Roman;sans-serif" w:hAnsi="Times New Roman;sans-serif"/>
          <w:b w:val="false"/>
          <w:color w:val="000000"/>
          <w:sz w:val="22"/>
        </w:rPr>
        <w:t>) of the Company’s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This Severance Bonus will be paid in a lump sum by March 20, 2024. The</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81660"/>
                <wp:effectExtent l="0" t="0" r="0" b="0"/>
                <wp:wrapNone/>
                <wp:docPr id="46" name="Frame46"/>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83"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determinations of the Board or the Committee with respect to the 2023 Bonus Amount will be final and binding. By way of example only, if the fiscal year 2023 Company performance score is 100%, the 2023 Bonus Amount would be $59,627, but if the performance score is 80%, the 2023 Bonus Amount would be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$47,702. The Severance Bonus will be treated as taxable compensation but is not intended by either party to be treated, and will not be treated, as compensation for purposes of eligibility or benefits under any benefit plan of the Company. The Company will apply standard tax and other applicable withholdings to payments made to you.</w:t>
      </w:r>
    </w:p>
    <w:p>
      <w:pPr>
        <w:pStyle w:val="TextBody"/>
        <w:bidi w:val="0"/>
        <w:spacing w:before="8"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i/>
          <w:color w:val="000000"/>
          <w:sz w:val="22"/>
        </w:rPr>
        <w:t xml:space="preserve">COBRA Premiums: </w:t>
      </w:r>
      <w:r>
        <w:rPr>
          <w:rFonts w:ascii="Times New Roman;sans-serif" w:hAnsi="Times New Roman;sans-serif"/>
          <w:b w:val="false"/>
          <w:color w:val="000000"/>
          <w:sz w:val="22"/>
        </w:rPr>
        <w:t>The Company will also pay the COBRA premiums for you and, if applicable, your dependents, for your continued group health coverage to the appropriate health insurer, for up to ten (10) months after your Separation Date, provided you elect COBRA coverage. However, the Company will discontinue any such payment of COBRA premiums upon the earlier of (i) the date when you become eligible for substantially equivalent health insurance in connection with new employment or self-employment, or (ii) the expiration of your continuation coverage under COBRA. You agree to immediately notify the Company in the event of (i) above.</w:t>
      </w:r>
    </w:p>
    <w:p>
      <w:pPr>
        <w:pStyle w:val="TextBody"/>
        <w:bidi w:val="0"/>
        <w:spacing w:before="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i/>
          <w:color w:val="000000"/>
          <w:sz w:val="22"/>
        </w:rPr>
        <w:t xml:space="preserve">Additional Equity Benefits: </w:t>
      </w:r>
      <w:r>
        <w:rPr>
          <w:rFonts w:ascii="Times New Roman;sans-serif" w:hAnsi="Times New Roman;sans-serif"/>
          <w:b w:val="false"/>
          <w:color w:val="000000"/>
          <w:sz w:val="22"/>
        </w:rPr>
        <w:t xml:space="preserve">The Company will provide the additional equity benefits described in the </w:t>
      </w:r>
      <w:r>
        <w:rPr>
          <w:rFonts w:ascii="Times New Roman;sans-serif" w:hAnsi="Times New Roman;sans-serif"/>
          <w:b w:val="false"/>
          <w:color w:val="000000"/>
          <w:sz w:val="22"/>
          <w:u w:val="single"/>
        </w:rPr>
        <w:t>Equity</w:t>
      </w:r>
      <w:r>
        <w:rPr>
          <w:color w:val="000000"/>
        </w:rPr>
        <w:t xml:space="preserve"> </w:t>
      </w:r>
      <w:r>
        <w:rPr>
          <w:rFonts w:ascii="Times New Roman;sans-serif" w:hAnsi="Times New Roman;sans-serif"/>
          <w:b w:val="false"/>
          <w:color w:val="000000"/>
          <w:sz w:val="22"/>
        </w:rPr>
        <w:t>paragraph below.</w:t>
      </w:r>
    </w:p>
    <w:p>
      <w:pPr>
        <w:pStyle w:val="TextBody"/>
        <w:bidi w:val="0"/>
        <w:spacing w:before="0" w:after="0"/>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i/>
          <w:color w:val="000000"/>
          <w:sz w:val="22"/>
        </w:rPr>
        <w:t xml:space="preserve">Paid Leave: </w:t>
      </w:r>
      <w:r>
        <w:rPr>
          <w:rFonts w:ascii="Times New Roman;sans-serif" w:hAnsi="Times New Roman;sans-serif"/>
          <w:b w:val="false"/>
          <w:color w:val="000000"/>
          <w:sz w:val="22"/>
        </w:rPr>
        <w:t>The Company will place you on paid garden leave from April 29, 2023 to June 15, 2023. During this period, the Company will continue to pay your full salary and the employer portion of your health insurance or COBRA premiums, and you will continue to vest in your equity awards. Further, during this period you will be expected to provide services to assist in the transition of your responsibilities as reasonably requested by the Company (the “</w:t>
      </w:r>
      <w:r>
        <w:rPr>
          <w:rFonts w:ascii="Times New Roman;sans-serif" w:hAnsi="Times New Roman;sans-serif"/>
          <w:b/>
          <w:i/>
          <w:color w:val="000000"/>
          <w:sz w:val="22"/>
        </w:rPr>
        <w:t>Garden Leave Services</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f.</w:t>
      </w:r>
      <w:r>
        <w:rPr>
          <w:rFonts w:ascii="Times New Roman;sans-serif" w:hAnsi="Times New Roman;sans-serif"/>
          <w:b w:val="false"/>
          <w:i/>
          <w:color w:val="000000"/>
          <w:sz w:val="22"/>
        </w:rPr>
        <w:t xml:space="preserve">Acknowledgement &amp; Consideration: </w:t>
      </w:r>
      <w:r>
        <w:rPr>
          <w:rFonts w:ascii="Times New Roman;sans-serif" w:hAnsi="Times New Roman;sans-serif"/>
          <w:b w:val="false"/>
          <w:color w:val="000000"/>
          <w:sz w:val="22"/>
        </w:rPr>
        <w:t>You acknowledge the above benefits (“</w:t>
      </w:r>
      <w:r>
        <w:rPr>
          <w:rFonts w:ascii="Times New Roman;sans-serif" w:hAnsi="Times New Roman;sans-serif"/>
          <w:b/>
          <w:i/>
          <w:color w:val="000000"/>
          <w:sz w:val="22"/>
        </w:rPr>
        <w:t>Severance Benefits</w:t>
      </w:r>
      <w:r>
        <w:rPr>
          <w:color w:val="000000"/>
        </w:rPr>
        <w:t>”</w:t>
      </w:r>
      <w:r>
        <w:rPr>
          <w:rFonts w:ascii="Times New Roman;sans-serif" w:hAnsi="Times New Roman;sans-serif"/>
          <w:b w:val="false"/>
          <w:color w:val="000000"/>
          <w:sz w:val="22"/>
        </w:rPr>
        <w:t>) include some benefit you would not have been entitled to if had you not signed this Agreement. In order to continue receiving any Severance Benefits beyond your Separation Date, you must sign and return to Bobak Azamian, CEO at email [*], the Second Release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within the timeline stated in the Second Release.</w:t>
      </w:r>
    </w:p>
    <w:p>
      <w:pPr>
        <w:pStyle w:val="TextBody"/>
        <w:bidi w:val="0"/>
        <w:spacing w:before="7"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10000"/>
          <w:sz w:val="22"/>
        </w:rPr>
        <w:t>4.</w:t>
      </w:r>
      <w:r>
        <w:rPr>
          <w:rFonts w:ascii="Times New Roman;sans-serif" w:hAnsi="Times New Roman;sans-serif"/>
          <w:b w:val="false"/>
          <w:color w:val="000000"/>
          <w:sz w:val="22"/>
          <w:u w:val="single"/>
        </w:rPr>
        <w:t>Equity</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1" w:after="283"/>
        <w:ind w:left="0" w:right="0" w:firstLine="720"/>
        <w:jc w:val="both"/>
        <w:rPr/>
      </w:pPr>
      <w:r>
        <w:rPr>
          <w:rFonts w:ascii="Times New Roman;sans-serif" w:hAnsi="Times New Roman;sans-serif"/>
          <w:b w:val="false"/>
          <w:color w:val="010000"/>
          <w:sz w:val="22"/>
        </w:rPr>
        <w:t>a.</w:t>
      </w:r>
      <w:r>
        <w:rPr>
          <w:rFonts w:ascii="Times New Roman;sans-serif" w:hAnsi="Times New Roman;sans-serif"/>
          <w:b w:val="false"/>
          <w:i/>
          <w:color w:val="000000"/>
          <w:sz w:val="22"/>
          <w:u w:val="single"/>
        </w:rPr>
        <w:t>Stock Options</w:t>
      </w:r>
      <w:r>
        <w:rPr>
          <w:rFonts w:ascii="Times New Roman;sans-serif" w:hAnsi="Times New Roman;sans-serif"/>
          <w:b/>
          <w:color w:val="000000"/>
          <w:sz w:val="22"/>
        </w:rPr>
        <w:t xml:space="preserve">. </w:t>
      </w:r>
      <w:r>
        <w:rPr>
          <w:rFonts w:ascii="Times New Roman;sans-serif" w:hAnsi="Times New Roman;sans-serif"/>
          <w:b w:val="false"/>
          <w:color w:val="000000"/>
          <w:sz w:val="22"/>
        </w:rPr>
        <w:t>You were granted the following options (each, an “</w:t>
      </w:r>
      <w:r>
        <w:rPr>
          <w:rFonts w:ascii="Times New Roman;sans-serif" w:hAnsi="Times New Roman;sans-serif"/>
          <w:b/>
          <w:i/>
          <w:color w:val="000000"/>
          <w:sz w:val="22"/>
        </w:rPr>
        <w:t>Option</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i/>
          <w:color w:val="000000"/>
          <w:sz w:val="22"/>
        </w:rPr>
        <w:t>Options</w:t>
      </w:r>
      <w:r>
        <w:rPr>
          <w:color w:val="000000"/>
        </w:rPr>
        <w:t>”</w:t>
      </w:r>
      <w:r>
        <w:rPr>
          <w:rFonts w:ascii="Times New Roman;sans-serif" w:hAnsi="Times New Roman;sans-serif"/>
          <w:b w:val="false"/>
          <w:color w:val="000000"/>
          <w:sz w:val="22"/>
        </w:rPr>
        <w:t>) to purchase shares of the Company’s common stock (“</w:t>
      </w:r>
      <w:r>
        <w:rPr>
          <w:rFonts w:ascii="Times New Roman;sans-serif" w:hAnsi="Times New Roman;sans-serif"/>
          <w:b/>
          <w:i/>
          <w:color w:val="000000"/>
          <w:sz w:val="22"/>
        </w:rPr>
        <w:t>Common Stock</w:t>
      </w:r>
      <w:r>
        <w:rPr>
          <w:color w:val="000000"/>
        </w:rPr>
        <w:t>”</w:t>
      </w:r>
      <w:r>
        <w:rPr>
          <w:rFonts w:ascii="Times New Roman;sans-serif" w:hAnsi="Times New Roman;sans-serif"/>
          <w:b w:val="false"/>
          <w:color w:val="000000"/>
          <w:sz w:val="22"/>
        </w:rPr>
        <w:t>) under the Company’s 2016 Stock Plan (the “</w:t>
      </w:r>
      <w:r>
        <w:rPr>
          <w:rFonts w:ascii="Times New Roman;sans-serif" w:hAnsi="Times New Roman;sans-serif"/>
          <w:b/>
          <w:i/>
          <w:color w:val="000000"/>
          <w:sz w:val="22"/>
        </w:rPr>
        <w:t>2016 Plan</w:t>
      </w:r>
      <w:r>
        <w:rPr>
          <w:color w:val="000000"/>
        </w:rPr>
        <w:t>”</w:t>
      </w:r>
      <w:r>
        <w:rPr>
          <w:rFonts w:ascii="Times New Roman;sans-serif" w:hAnsi="Times New Roman;sans-serif"/>
          <w:b w:val="false"/>
          <w:color w:val="000000"/>
          <w:sz w:val="22"/>
        </w:rPr>
        <w:t>) or 2020 Equity Incentive Plan (the “</w:t>
      </w:r>
      <w:r>
        <w:rPr>
          <w:rFonts w:ascii="Times New Roman;sans-serif" w:hAnsi="Times New Roman;sans-serif"/>
          <w:b/>
          <w:i/>
          <w:color w:val="000000"/>
          <w:sz w:val="22"/>
        </w:rPr>
        <w:t>2020 Plan</w:t>
      </w:r>
      <w:r>
        <w:rPr>
          <w:color w:val="000000"/>
        </w:rPr>
        <w:t>”</w:t>
      </w:r>
      <w:r>
        <w:rPr>
          <w:rFonts w:ascii="Times New Roman;sans-serif" w:hAnsi="Times New Roman;sans-serif"/>
          <w:b w:val="false"/>
          <w:color w:val="000000"/>
          <w:sz w:val="22"/>
        </w:rPr>
        <w:t>), as applicable:</w:t>
      </w:r>
    </w:p>
    <w:p>
      <w:pPr>
        <w:pStyle w:val="TextBody"/>
        <w:bidi w:val="0"/>
        <w:spacing w:before="10" w:after="283"/>
        <w:jc w:val="left"/>
        <w:rPr/>
      </w:pPr>
      <w:r>
        <w:rPr/>
      </w:r>
    </w:p>
    <w:tbl>
      <w:tblPr>
        <w:tblW w:w="10205" w:type="dxa"/>
        <w:jc w:val="left"/>
        <w:tblInd w:w="0" w:type="dxa"/>
        <w:tblLayout w:type="fixed"/>
        <w:tblCellMar>
          <w:top w:w="28" w:type="dxa"/>
          <w:left w:w="28" w:type="dxa"/>
          <w:bottom w:w="28" w:type="dxa"/>
          <w:right w:w="28" w:type="dxa"/>
        </w:tblCellMar>
      </w:tblPr>
      <w:tblGrid>
        <w:gridCol w:w="312"/>
        <w:gridCol w:w="239"/>
        <w:gridCol w:w="240"/>
        <w:gridCol w:w="486"/>
        <w:gridCol w:w="486"/>
        <w:gridCol w:w="487"/>
        <w:gridCol w:w="432"/>
        <w:gridCol w:w="432"/>
        <w:gridCol w:w="434"/>
        <w:gridCol w:w="776"/>
        <w:gridCol w:w="776"/>
        <w:gridCol w:w="776"/>
        <w:gridCol w:w="795"/>
        <w:gridCol w:w="795"/>
        <w:gridCol w:w="795"/>
        <w:gridCol w:w="566"/>
        <w:gridCol w:w="566"/>
        <w:gridCol w:w="812"/>
      </w:tblGrid>
      <w:tr>
        <w:trPr/>
        <w:tc>
          <w:tcPr>
            <w:tcW w:w="3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4" w:before="64" w:after="283"/>
              <w:ind w:left="0" w:right="0" w:hanging="99"/>
              <w:jc w:val="center"/>
              <w:rPr>
                <w:rFonts w:ascii="Times New Roman;sans-serif" w:hAnsi="Times New Roman;sans-serif"/>
                <w:b w:val="false"/>
                <w:color w:val="000000"/>
                <w:sz w:val="22"/>
              </w:rPr>
            </w:pPr>
            <w:r>
              <w:rPr>
                <w:rFonts w:ascii="Times New Roman;sans-serif" w:hAnsi="Times New Roman;sans-serif"/>
                <w:b w:val="false"/>
                <w:color w:val="000000"/>
                <w:sz w:val="22"/>
              </w:rPr>
              <w:t>Date of Grant</w:t>
            </w:r>
          </w:p>
        </w:tc>
        <w:tc>
          <w:tcPr>
            <w:tcW w:w="1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4" w:before="64"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Number of Option Shares Granted</w:t>
            </w:r>
          </w:p>
        </w:tc>
        <w:tc>
          <w:tcPr>
            <w:tcW w:w="12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4" w:before="64" w:after="283"/>
              <w:ind w:left="0" w:right="0" w:firstLine="45"/>
              <w:jc w:val="center"/>
              <w:rPr>
                <w:rFonts w:ascii="Times New Roman;sans-serif" w:hAnsi="Times New Roman;sans-serif"/>
                <w:b w:val="false"/>
                <w:color w:val="000000"/>
                <w:sz w:val="22"/>
              </w:rPr>
            </w:pPr>
            <w:r>
              <w:rPr>
                <w:rFonts w:ascii="Times New Roman;sans-serif" w:hAnsi="Times New Roman;sans-serif"/>
                <w:b w:val="false"/>
                <w:color w:val="000000"/>
                <w:sz w:val="22"/>
              </w:rPr>
              <w:t>Exercise Price Per Share</w:t>
            </w:r>
          </w:p>
        </w:tc>
        <w:tc>
          <w:tcPr>
            <w:tcW w:w="23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4" w:before="64" w:after="283"/>
              <w:ind w:left="0" w:right="0" w:firstLine="2"/>
              <w:jc w:val="center"/>
              <w:rPr>
                <w:rFonts w:ascii="Times New Roman;sans-serif" w:hAnsi="Times New Roman;sans-serif"/>
                <w:b w:val="false"/>
                <w:color w:val="000000"/>
                <w:sz w:val="22"/>
              </w:rPr>
            </w:pPr>
            <w:r>
              <w:rPr>
                <w:rFonts w:ascii="Times New Roman;sans-serif" w:hAnsi="Times New Roman;sans-serif"/>
                <w:b w:val="false"/>
                <w:color w:val="000000"/>
                <w:sz w:val="22"/>
              </w:rPr>
              <w:t>Vested Option Shares Outstanding as of the Separation Date</w:t>
            </w:r>
          </w:p>
        </w:tc>
        <w:tc>
          <w:tcPr>
            <w:tcW w:w="2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4" w:before="64" w:after="283"/>
              <w:ind w:left="0" w:right="0" w:firstLine="2"/>
              <w:jc w:val="center"/>
              <w:rPr>
                <w:rFonts w:ascii="Times New Roman;sans-serif" w:hAnsi="Times New Roman;sans-serif"/>
                <w:b w:val="false"/>
                <w:color w:val="000000"/>
                <w:sz w:val="22"/>
              </w:rPr>
            </w:pPr>
            <w:r>
              <w:rPr>
                <w:rFonts w:ascii="Times New Roman;sans-serif" w:hAnsi="Times New Roman;sans-serif"/>
                <w:b w:val="false"/>
                <w:color w:val="000000"/>
                <w:sz w:val="22"/>
              </w:rPr>
              <w:t>Unvested Option Shares Outstanding as of the Separation Date</w:t>
            </w:r>
          </w:p>
        </w:tc>
        <w:tc>
          <w:tcPr>
            <w:tcW w:w="194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4" w:before="64" w:after="283"/>
              <w:ind w:left="0" w:right="0" w:firstLine="1"/>
              <w:jc w:val="center"/>
              <w:rPr>
                <w:rFonts w:ascii="Times New Roman;sans-serif" w:hAnsi="Times New Roman;sans-serif"/>
                <w:b w:val="false"/>
                <w:color w:val="000000"/>
                <w:sz w:val="22"/>
              </w:rPr>
            </w:pPr>
            <w:r>
              <w:rPr>
                <w:rFonts w:ascii="Times New Roman;sans-serif" w:hAnsi="Times New Roman;sans-serif"/>
                <w:b w:val="false"/>
                <w:color w:val="000000"/>
                <w:sz w:val="22"/>
              </w:rPr>
              <w:t>Option Shares Eligible for Acceleration</w:t>
            </w:r>
          </w:p>
        </w:tc>
      </w:tr>
      <w:tr>
        <w:trPr/>
        <w:tc>
          <w:tcPr>
            <w:tcW w:w="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5/14/2020</w:t>
            </w:r>
          </w:p>
        </w:tc>
        <w:tc>
          <w:tcPr>
            <w:tcW w:w="1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72,846*</w:t>
            </w:r>
          </w:p>
        </w:tc>
        <w:tc>
          <w:tcPr>
            <w:tcW w:w="12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$2.01*</w:t>
            </w:r>
          </w:p>
        </w:tc>
        <w:tc>
          <w:tcPr>
            <w:tcW w:w="23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40,725*</w:t>
            </w:r>
          </w:p>
        </w:tc>
        <w:tc>
          <w:tcPr>
            <w:tcW w:w="2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32,121*</w:t>
            </w:r>
          </w:p>
        </w:tc>
        <w:tc>
          <w:tcPr>
            <w:tcW w:w="194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32,121</w:t>
            </w:r>
          </w:p>
        </w:tc>
      </w:tr>
      <w:tr>
        <w:trPr/>
        <w:tc>
          <w:tcPr>
            <w:tcW w:w="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9/25/2020</w:t>
            </w:r>
          </w:p>
        </w:tc>
        <w:tc>
          <w:tcPr>
            <w:tcW w:w="1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25,868*</w:t>
            </w:r>
          </w:p>
        </w:tc>
        <w:tc>
          <w:tcPr>
            <w:tcW w:w="12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$10.99*</w:t>
            </w:r>
          </w:p>
        </w:tc>
        <w:tc>
          <w:tcPr>
            <w:tcW w:w="23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17,245*</w:t>
            </w:r>
          </w:p>
        </w:tc>
        <w:tc>
          <w:tcPr>
            <w:tcW w:w="2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8,623*</w:t>
            </w:r>
          </w:p>
        </w:tc>
        <w:tc>
          <w:tcPr>
            <w:tcW w:w="194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8,623</w:t>
            </w:r>
          </w:p>
        </w:tc>
      </w:tr>
      <w:tr>
        <w:trPr/>
        <w:tc>
          <w:tcPr>
            <w:tcW w:w="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1/7/2021</w:t>
            </w:r>
          </w:p>
        </w:tc>
        <w:tc>
          <w:tcPr>
            <w:tcW w:w="1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40,999</w:t>
            </w:r>
          </w:p>
        </w:tc>
        <w:tc>
          <w:tcPr>
            <w:tcW w:w="12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$47.25</w:t>
            </w:r>
          </w:p>
        </w:tc>
        <w:tc>
          <w:tcPr>
            <w:tcW w:w="23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23,916</w:t>
            </w:r>
          </w:p>
        </w:tc>
        <w:tc>
          <w:tcPr>
            <w:tcW w:w="2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17,083</w:t>
            </w:r>
          </w:p>
        </w:tc>
        <w:tc>
          <w:tcPr>
            <w:tcW w:w="194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r>
      <w:tr>
        <w:trPr/>
        <w:tc>
          <w:tcPr>
            <w:tcW w:w="7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3/9/2022</w:t>
            </w:r>
          </w:p>
        </w:tc>
        <w:tc>
          <w:tcPr>
            <w:tcW w:w="1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60,846</w:t>
            </w:r>
          </w:p>
        </w:tc>
        <w:tc>
          <w:tcPr>
            <w:tcW w:w="12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$19.59</w:t>
            </w:r>
          </w:p>
        </w:tc>
        <w:tc>
          <w:tcPr>
            <w:tcW w:w="23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17,745</w:t>
            </w:r>
          </w:p>
        </w:tc>
        <w:tc>
          <w:tcPr>
            <w:tcW w:w="2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43,101</w:t>
            </w:r>
          </w:p>
        </w:tc>
        <w:tc>
          <w:tcPr>
            <w:tcW w:w="194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r>
      <w:tr>
        <w:trPr/>
        <w:tc>
          <w:tcPr>
            <w:tcW w:w="7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3/8/2023</w:t>
            </w:r>
          </w:p>
        </w:tc>
        <w:tc>
          <w:tcPr>
            <w:tcW w:w="14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40,097</w:t>
            </w:r>
          </w:p>
        </w:tc>
        <w:tc>
          <w:tcPr>
            <w:tcW w:w="129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$15.00</w:t>
            </w:r>
          </w:p>
        </w:tc>
        <w:tc>
          <w:tcPr>
            <w:tcW w:w="232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23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40,097</w:t>
            </w:r>
          </w:p>
        </w:tc>
        <w:tc>
          <w:tcPr>
            <w:tcW w:w="194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81660"/>
                <wp:effectExtent l="0" t="0" r="0" b="0"/>
                <wp:wrapNone/>
                <wp:docPr id="47" name="Frame47"/>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3"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*Reflects the Company’s 1-for-7.43 reverse stock split on October 9, 2020</w:t>
      </w:r>
    </w:p>
    <w:p>
      <w:pPr>
        <w:pStyle w:val="TextBody"/>
        <w:bidi w:val="0"/>
        <w:spacing w:before="10" w:after="283"/>
        <w:jc w:val="left"/>
        <w:rPr/>
      </w:pPr>
      <w:r>
        <w:rPr/>
      </w:r>
    </w:p>
    <w:p>
      <w:pPr>
        <w:pStyle w:val="TextBody"/>
        <w:bidi w:val="0"/>
        <w:spacing w:lineRule="auto" w:line="240" w:before="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consideration of your entry into this Agreement, the Company agrees to accelerate the vesting of the shares subject to the Options as indicated in the column “Option Shares Eligible for Acceleration.” All remaining unvested shares subject to the Options will be forfeited to the Company on the Separation Date, in accordance with the terms and conditions set forth in the Stock Option Agreement governing each of the Options.</w:t>
      </w:r>
    </w:p>
    <w:p>
      <w:pPr>
        <w:pStyle w:val="TextBody"/>
        <w:bidi w:val="0"/>
        <w:spacing w:before="7"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additional consideration, your Options, to the extent granted either on (i) January 7, 2021 or (ii) March 9, 2022 and vested as of the Separation Date or which become vested pursuant to the terms of this Agreement, will remain exercisable until the 12 month anniversary of your Separation Date, subject to their earlier termination in accordance with the 2016 Plan or 2020 Plan, as applicable. To the extent the extension of the post-termination exercise period applies to an Option that is an incentive stock option with an exercise price that is lower than the current fair market value of the Company’s Common Stock, you understand that the effect of the extension will be to disqualify the Option as an incentive stock option. To the extent the extension of the post-termination exercise period applies to an Option that is an incentive stock option with an exercise price that is equal to or greater than the current fair market value of the Company’s Common Stock, the extension will not immediately disqualify the Option as an incentive stock option; however, such Option will automatically become a nonstatutory stock option three (3) months after the Separation Date. If you exercise an Option that is not an incentive stock option at the time of exercise, you will be required to make arrangements satisfactory to the Company to satisfy all applicable withholding obligations.</w:t>
      </w:r>
    </w:p>
    <w:p>
      <w:pPr>
        <w:pStyle w:val="TextBody"/>
        <w:bidi w:val="0"/>
        <w:spacing w:before="9"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Stock Option Agreements governing the Options will remain in full force and effect, and you agree to remain bound by those agreements.</w:t>
      </w:r>
    </w:p>
    <w:p>
      <w:pPr>
        <w:pStyle w:val="TextBody"/>
        <w:bidi w:val="0"/>
        <w:spacing w:before="2"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b.</w:t>
      </w:r>
      <w:r>
        <w:rPr>
          <w:rFonts w:ascii="Times New Roman;sans-serif" w:hAnsi="Times New Roman;sans-serif"/>
          <w:b w:val="false"/>
          <w:i/>
          <w:color w:val="000000"/>
          <w:sz w:val="22"/>
          <w:u w:val="single"/>
        </w:rPr>
        <w:t>Restricted Stock Units</w:t>
      </w:r>
      <w:r>
        <w:rPr>
          <w:rFonts w:ascii="Times New Roman;sans-serif" w:hAnsi="Times New Roman;sans-serif"/>
          <w:b/>
          <w:color w:val="000000"/>
          <w:sz w:val="22"/>
        </w:rPr>
        <w:t xml:space="preserve">. </w:t>
      </w:r>
      <w:r>
        <w:rPr>
          <w:rFonts w:ascii="Times New Roman;sans-serif" w:hAnsi="Times New Roman;sans-serif"/>
          <w:b w:val="false"/>
          <w:color w:val="000000"/>
          <w:sz w:val="22"/>
        </w:rPr>
        <w:t>You were granted the following awards of restricted stock units (“</w:t>
      </w:r>
      <w:r>
        <w:rPr>
          <w:rFonts w:ascii="Times New Roman;sans-serif" w:hAnsi="Times New Roman;sans-serif"/>
          <w:b/>
          <w:i/>
          <w:color w:val="000000"/>
          <w:sz w:val="22"/>
        </w:rPr>
        <w:t>RSUs</w:t>
      </w:r>
      <w:r>
        <w:rPr>
          <w:color w:val="000000"/>
        </w:rPr>
        <w:t>”</w:t>
      </w:r>
      <w:r>
        <w:rPr>
          <w:rFonts w:ascii="Times New Roman;sans-serif" w:hAnsi="Times New Roman;sans-serif"/>
          <w:b w:val="false"/>
          <w:color w:val="000000"/>
          <w:sz w:val="22"/>
        </w:rPr>
        <w:t>) pursuant to the 2020 Plan:</w:t>
      </w:r>
    </w:p>
    <w:p>
      <w:pPr>
        <w:pStyle w:val="TextBody"/>
        <w:bidi w:val="0"/>
        <w:spacing w:before="7" w:after="283"/>
        <w:jc w:val="left"/>
        <w:rPr/>
      </w:pPr>
      <w:r>
        <w:rPr/>
      </w:r>
    </w:p>
    <w:tbl>
      <w:tblPr>
        <w:tblW w:w="8362" w:type="dxa"/>
        <w:jc w:val="left"/>
        <w:tblInd w:w="0" w:type="dxa"/>
        <w:tblLayout w:type="fixed"/>
        <w:tblCellMar>
          <w:top w:w="28" w:type="dxa"/>
          <w:left w:w="28" w:type="dxa"/>
          <w:bottom w:w="28" w:type="dxa"/>
          <w:right w:w="28" w:type="dxa"/>
        </w:tblCellMar>
      </w:tblPr>
      <w:tblGrid>
        <w:gridCol w:w="435"/>
        <w:gridCol w:w="380"/>
        <w:gridCol w:w="384"/>
        <w:gridCol w:w="109"/>
        <w:gridCol w:w="109"/>
        <w:gridCol w:w="109"/>
        <w:gridCol w:w="714"/>
        <w:gridCol w:w="714"/>
        <w:gridCol w:w="717"/>
        <w:gridCol w:w="109"/>
        <w:gridCol w:w="109"/>
        <w:gridCol w:w="109"/>
        <w:gridCol w:w="1278"/>
        <w:gridCol w:w="1278"/>
        <w:gridCol w:w="1808"/>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RSUs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RSUs Unvested as of the Separation Date</w:t>
            </w:r>
          </w:p>
        </w:tc>
      </w:tr>
      <w:tr>
        <w:trPr/>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3/9/2022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17,850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13,388</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6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6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27,160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27,160</w:t>
            </w:r>
          </w:p>
        </w:tc>
      </w:tr>
    </w:tbl>
    <w:p>
      <w:pPr>
        <w:pStyle w:val="TextBody"/>
        <w:bidi w:val="0"/>
        <w:spacing w:before="3"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All unvested RSUs will be forfeited to the Company on the Separation Date, in accordance with the terms and conditions set forth in the Restricted Stock Unit Agreement governing each of the awards of RSUs.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Except as set forth in (a) and (b) above, you acknowledge and agree that you do not have any other rights to receive, acquire, possess or vest into any additional shares of Common Stock or any other shares, warrants, securities, derivative securities or other class of capital stock of the Company or any of its parent, subsidiary or affiliated entities.</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5.</w:t>
      </w:r>
      <w:r>
        <w:rPr>
          <w:rFonts w:ascii="Times New Roman;sans-serif" w:hAnsi="Times New Roman;sans-serif"/>
          <w:b w:val="false"/>
          <w:color w:val="000000"/>
          <w:sz w:val="22"/>
          <w:u w:val="single"/>
        </w:rPr>
        <w:t>Employee Representations</w:t>
      </w:r>
      <w:r>
        <w:rPr>
          <w:rFonts w:ascii="Times New Roman;sans-serif" w:hAnsi="Times New Roman;sans-serif"/>
          <w:b w:val="false"/>
          <w:color w:val="000000"/>
          <w:sz w:val="22"/>
        </w:rPr>
        <w:t>: You acknowledge that the Company relies on these representations by you entering into this Agreement:</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You do not have any claim against the Company or the Releasees (defined below), or otherwise have not made internal, administrative, or judicial complaints, claims, or actions against or regarding the Company or the Releasees, for claims you are releasing in this Agreement;</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81660"/>
                <wp:effectExtent l="0" t="0" r="0" b="0"/>
                <wp:wrapNone/>
                <wp:docPr id="48" name="Frame48"/>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83" w:after="283"/>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You have reported to the Company any work-related injuries or occupational illnesses sustained by you during your employment with the Company;</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You have been properly provided any leaves of absence requested and available to you based on your or your family members’ health or medical condition or military service, and have not been subjected to any improper treatment, conduct, or actions due to a request for or taking such leave;</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You have received all compensation due to date because of services you performed for the Company;</w:t>
      </w:r>
    </w:p>
    <w:p>
      <w:pPr>
        <w:pStyle w:val="TextBody"/>
        <w:bidi w:val="0"/>
        <w:spacing w:before="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e.</w:t>
      </w:r>
      <w:r>
        <w:rPr>
          <w:rFonts w:ascii="Times New Roman;sans-serif" w:hAnsi="Times New Roman;sans-serif"/>
          <w:b w:val="false"/>
          <w:color w:val="000000"/>
          <w:sz w:val="22"/>
        </w:rPr>
        <w:t>You have been properly provided paid time off and, consistent with the Company’s non-accrual vacation policy, you will not have any accrued but unused vacation time or paid time off as of the Separation Date for which you are entitled to payment; and</w:t>
      </w:r>
    </w:p>
    <w:p>
      <w:pPr>
        <w:pStyle w:val="TextBody"/>
        <w:bidi w:val="0"/>
        <w:spacing w:before="7"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10000"/>
          <w:sz w:val="22"/>
        </w:rPr>
        <w:t>f.</w:t>
      </w:r>
      <w:r>
        <w:rPr>
          <w:rFonts w:ascii="Times New Roman;sans-serif" w:hAnsi="Times New Roman;sans-serif"/>
          <w:b w:val="false"/>
          <w:color w:val="000000"/>
          <w:sz w:val="22"/>
        </w:rPr>
        <w:t>You are not aware of any conduct by any person that violates Company policy or the Company’s legal, compliance, or regulatory obligations, or any other suspected ethical or compliance issues by the Company or the other Releasees that you have not brought to the attention of the Company.</w:t>
      </w:r>
    </w:p>
    <w:p>
      <w:pPr>
        <w:pStyle w:val="TextBody"/>
        <w:bidi w:val="0"/>
        <w:spacing w:before="2"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6.</w:t>
      </w:r>
      <w:r>
        <w:rPr>
          <w:rFonts w:ascii="Times New Roman;sans-serif" w:hAnsi="Times New Roman;sans-serif"/>
          <w:b w:val="false"/>
          <w:color w:val="000000"/>
          <w:sz w:val="22"/>
          <w:u w:val="single"/>
        </w:rPr>
        <w:t>Return of Company Property</w:t>
      </w:r>
      <w:r>
        <w:rPr>
          <w:rFonts w:ascii="Times New Roman;sans-serif" w:hAnsi="Times New Roman;sans-serif"/>
          <w:b w:val="false"/>
          <w:color w:val="000000"/>
          <w:sz w:val="22"/>
        </w:rPr>
        <w:t>: You acknowledge and agree that as a condition precedent for the Severance Benefits, you must return to the Company all of its property and data of any type in your possession, custody, or control including, but not limited to keys, access codes or devices, physical or electronically stored documents or files, computer equipment, cell phone, and passwords. You further agree to return all the Company’s property and data in the same working condition in which they were issued to you.</w:t>
      </w:r>
    </w:p>
    <w:p>
      <w:pPr>
        <w:pStyle w:val="TextBody"/>
        <w:bidi w:val="0"/>
        <w:spacing w:before="7" w:after="283"/>
        <w:jc w:val="left"/>
        <w:rPr/>
      </w:pPr>
      <w:r>
        <w:rPr/>
      </w:r>
    </w:p>
    <w:p>
      <w:pPr>
        <w:pStyle w:val="TextBody"/>
        <w:bidi w:val="0"/>
        <w:spacing w:lineRule="auto" w:line="240" w:before="0" w:after="0"/>
        <w:ind w:left="0" w:right="0" w:firstLine="810"/>
        <w:jc w:val="both"/>
        <w:rPr/>
      </w:pPr>
      <w:r>
        <w:rPr>
          <w:rFonts w:ascii="Times New Roman;sans-serif" w:hAnsi="Times New Roman;sans-serif"/>
          <w:b w:val="false"/>
          <w:color w:val="010000"/>
          <w:sz w:val="22"/>
        </w:rPr>
        <w:t>7.</w:t>
      </w:r>
      <w:r>
        <w:rPr>
          <w:rFonts w:ascii="Times New Roman;sans-serif" w:hAnsi="Times New Roman;sans-serif"/>
          <w:b w:val="false"/>
          <w:color w:val="000000"/>
          <w:sz w:val="22"/>
          <w:u w:val="single"/>
        </w:rPr>
        <w:t>Proprietary Information</w:t>
      </w:r>
      <w:r>
        <w:rPr>
          <w:rFonts w:ascii="Times New Roman;sans-serif" w:hAnsi="Times New Roman;sans-serif"/>
          <w:b w:val="false"/>
          <w:color w:val="000000"/>
          <w:sz w:val="22"/>
        </w:rPr>
        <w:t>: You acknowledge that you are bound and continue to be bound by the Company’s Proprietary Information and Inventions Agreement (the “</w:t>
      </w:r>
      <w:r>
        <w:rPr>
          <w:rFonts w:ascii="Times New Roman;sans-serif" w:hAnsi="Times New Roman;sans-serif"/>
          <w:b/>
          <w:i/>
          <w:color w:val="000000"/>
          <w:sz w:val="22"/>
        </w:rPr>
        <w:t>Confidentiality Agreement</w:t>
      </w:r>
      <w:r>
        <w:rPr>
          <w:color w:val="000000"/>
        </w:rPr>
        <w:t>”</w:t>
      </w:r>
      <w:r>
        <w:rPr>
          <w:rFonts w:ascii="Times New Roman;sans-serif" w:hAnsi="Times New Roman;sans-serif"/>
          <w:b w:val="false"/>
          <w:color w:val="000000"/>
          <w:sz w:val="22"/>
        </w:rPr>
        <w:t xml:space="preserve">), a copy of which is attached as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w:t>
      </w:r>
    </w:p>
    <w:p>
      <w:pPr>
        <w:pStyle w:val="TextBody"/>
        <w:bidi w:val="0"/>
        <w:spacing w:before="4" w:after="283"/>
        <w:jc w:val="left"/>
        <w:rPr/>
      </w:pPr>
      <w:r>
        <w:rPr/>
      </w:r>
    </w:p>
    <w:p>
      <w:pPr>
        <w:pStyle w:val="TextBody"/>
        <w:bidi w:val="0"/>
        <w:spacing w:lineRule="auto" w:line="240" w:before="91" w:after="283"/>
        <w:ind w:left="0" w:right="0" w:firstLine="810"/>
        <w:jc w:val="both"/>
        <w:rPr/>
      </w:pPr>
      <w:r>
        <w:rPr>
          <w:rFonts w:ascii="Times New Roman;sans-serif" w:hAnsi="Times New Roman;sans-serif"/>
          <w:b w:val="false"/>
          <w:color w:val="010000"/>
          <w:sz w:val="22"/>
        </w:rPr>
        <w:t>8.</w:t>
      </w:r>
      <w:r>
        <w:rPr>
          <w:rFonts w:ascii="Times New Roman;sans-serif" w:hAnsi="Times New Roman;sans-serif"/>
          <w:b w:val="false"/>
          <w:color w:val="000000"/>
          <w:sz w:val="22"/>
          <w:u w:val="single"/>
        </w:rPr>
        <w:t>General Release and Waiver of Claims by You</w:t>
      </w:r>
      <w:r>
        <w:rPr>
          <w:rFonts w:ascii="Times New Roman;sans-serif" w:hAnsi="Times New Roman;sans-serif"/>
          <w:b w:val="false"/>
          <w:color w:val="000000"/>
          <w:sz w:val="22"/>
        </w:rPr>
        <w:t>: To the fullest extent permitted by law, you on behalf of yourself, your heirs, family members, executors, estates, agents and assigns, or any controlled affiliate and any trust or other entity of which you or your heirs, estates or family directly or indirectly hold a majority beneficial interest, fully, finally, and forever release and discharge the Company and its owners, agents, officers, shareholders, employees, directors, attorneys, subscribers, subsidiaries, affiliates, successors, investors, and assigns (collectively “</w:t>
      </w:r>
      <w:r>
        <w:rPr>
          <w:rFonts w:ascii="Times New Roman;sans-serif" w:hAnsi="Times New Roman;sans-serif"/>
          <w:b/>
          <w:i/>
          <w:color w:val="000000"/>
          <w:sz w:val="22"/>
        </w:rPr>
        <w:t>Releasees</w:t>
      </w:r>
      <w:r>
        <w:rPr>
          <w:color w:val="000000"/>
        </w:rPr>
        <w:t>”</w:t>
      </w:r>
      <w:r>
        <w:rPr>
          <w:rFonts w:ascii="Times New Roman;sans-serif" w:hAnsi="Times New Roman;sans-serif"/>
          <w:b w:val="false"/>
          <w:color w:val="000000"/>
          <w:sz w:val="22"/>
        </w:rPr>
        <w:t>) of and from all claims and potential claims that may legally be waived by private agreement, whether known or unknown, which you have asserted or could assert against the Company arising out of or relating in any way to acts, circumstances, facts, transactions, or omissions based on facts occurring up to and including the date you sign this Agreement (the “</w:t>
      </w:r>
      <w:r>
        <w:rPr>
          <w:rFonts w:ascii="Times New Roman;sans-serif" w:hAnsi="Times New Roman;sans-serif"/>
          <w:b/>
          <w:i/>
          <w:color w:val="000000"/>
          <w:sz w:val="22"/>
        </w:rPr>
        <w:t>Released Claims</w:t>
      </w:r>
      <w:r>
        <w:rPr>
          <w:color w:val="000000"/>
        </w:rPr>
        <w:t>”</w:t>
      </w:r>
      <w:r>
        <w:rPr>
          <w:rFonts w:ascii="Times New Roman;sans-serif" w:hAnsi="Times New Roman;sans-serif"/>
          <w:b w:val="false"/>
          <w:color w:val="000000"/>
          <w:sz w:val="22"/>
        </w:rPr>
        <w:t>). The Released Claims specifically include but are not limited to: claims under common law or equity; claims for additional compensation or benefits arising out of your employment or your separation from employment; wage and hour claims; unlawful discharge; breach of contract; breach of the covenant of good faith and fair dealing; fraud; violation of public policy; defamation; physical injury; emotional distress; negligence; claims under Title VII of the 1964 Civil Rights Act; the Age Discrimination in Employment Act (“</w:t>
      </w:r>
      <w:r>
        <w:rPr>
          <w:rFonts w:ascii="Times New Roman;sans-serif" w:hAnsi="Times New Roman;sans-serif"/>
          <w:b/>
          <w:i/>
          <w:color w:val="000000"/>
          <w:sz w:val="22"/>
        </w:rPr>
        <w:t>ADEA</w:t>
      </w:r>
      <w:r>
        <w:rPr>
          <w:color w:val="000000"/>
        </w:rPr>
        <w:t>”</w:t>
      </w:r>
      <w:r>
        <w:rPr>
          <w:rFonts w:ascii="Times New Roman;sans-serif" w:hAnsi="Times New Roman;sans-serif"/>
          <w:b w:val="false"/>
          <w:color w:val="000000"/>
          <w:sz w:val="22"/>
        </w:rPr>
        <w:t>); Older Workers Benefit Protection Act (“</w:t>
      </w:r>
      <w:r>
        <w:rPr>
          <w:rFonts w:ascii="Times New Roman;sans-serif" w:hAnsi="Times New Roman;sans-serif"/>
          <w:b/>
          <w:i/>
          <w:color w:val="000000"/>
          <w:sz w:val="22"/>
        </w:rPr>
        <w:t>OWBPA</w:t>
      </w:r>
      <w:r>
        <w:rPr>
          <w:color w:val="000000"/>
        </w:rPr>
        <w:t>”</w:t>
      </w:r>
      <w:r>
        <w:rPr>
          <w:rFonts w:ascii="Times New Roman;sans-serif" w:hAnsi="Times New Roman;sans-serif"/>
          <w:b w:val="false"/>
          <w:color w:val="000000"/>
          <w:sz w:val="22"/>
        </w:rPr>
        <w:t>); the Employee Retirement Income Security Act of 1974 (“</w:t>
      </w:r>
      <w:r>
        <w:rPr>
          <w:rFonts w:ascii="Times New Roman;sans-serif" w:hAnsi="Times New Roman;sans-serif"/>
          <w:b/>
          <w:i/>
          <w:color w:val="000000"/>
          <w:sz w:val="22"/>
        </w:rPr>
        <w:t>ERISA</w:t>
      </w:r>
      <w:r>
        <w:rPr>
          <w:color w:val="000000"/>
        </w:rPr>
        <w:t>”</w:t>
      </w:r>
      <w:r>
        <w:rPr>
          <w:rFonts w:ascii="Times New Roman;sans-serif" w:hAnsi="Times New Roman;sans-serif"/>
          <w:b w:val="false"/>
          <w:color w:val="000000"/>
          <w:sz w:val="22"/>
        </w:rPr>
        <w:t>); the Americans with Disabilities Act; the Workers Adjustment and Retraining Notification Act; the Equal Pay Act; the Family Medical Leave Act; the Civil Rights Act of 1866; the Pregnancy Discrimination Act; under the California Fair Employment and Housing Act, or the California Labor Code, and any other federal, state, or local laws, constitution, rule, ordinance, order, and/or regulations, including their amendments and respective implementing regulations.</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81660"/>
                <wp:effectExtent l="0" t="0" r="0" b="0"/>
                <wp:wrapNone/>
                <wp:docPr id="49" name="Frame49"/>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83" w:after="283"/>
        <w:ind w:left="0" w:right="0" w:firstLine="825"/>
        <w:jc w:val="both"/>
        <w:rPr/>
      </w:pPr>
      <w:r>
        <w:rPr>
          <w:rFonts w:ascii="Times New Roman;sans-serif" w:hAnsi="Times New Roman;sans-serif"/>
          <w:b w:val="false"/>
          <w:color w:val="000000"/>
          <w:sz w:val="22"/>
        </w:rPr>
        <w:t xml:space="preserve">8a. </w:t>
      </w:r>
      <w:r>
        <w:rPr>
          <w:rFonts w:ascii="Times New Roman;sans-serif" w:hAnsi="Times New Roman;sans-serif"/>
          <w:b w:val="false"/>
          <w:color w:val="000000"/>
          <w:sz w:val="22"/>
          <w:u w:val="single"/>
        </w:rPr>
        <w:t>General Release and Waiver of Claims by the Company</w:t>
      </w:r>
      <w:r>
        <w:rPr>
          <w:rFonts w:ascii="Times New Roman;sans-serif" w:hAnsi="Times New Roman;sans-serif"/>
          <w:b w:val="false"/>
          <w:color w:val="000000"/>
          <w:sz w:val="22"/>
        </w:rPr>
        <w:t>: The Company agrees to, with respect solely and only to conduct that has arisen on, or prior to, the date this Agreement is executed, fully and forever release, relieve, waive, relinquish, and discharge you from all actions, causes of action, suits, claims and demands of any kind whatsoever, at law or in equity, which the Company had, now has or hereafter can, shall or may have against you, arising out of, by reason of, or relating in any way whatsoever to any matter, cause or thing from the beginning of your employment with the Company through the date you sign this Agreement, including but not limited to claims arising directly or indirectly from your employment with the Company, and/or the termination of that employment, claims arising directly or indirectly from the actions or inaction of you, and claims under any federal, state or local laws, statutes, constitutions, regulations, rules, ordinances or orders, provided, however, that this release of claims excludes any acts or omissions which involve criminal activity, fraud, or embezzlement by you. This release is limited solely and only to claims that have arisen prior to, the date this Agreement is executed and transmitted to you and it does not release or discharge any claims that may occur after that date.</w:t>
      </w:r>
    </w:p>
    <w:p>
      <w:pPr>
        <w:pStyle w:val="TextBody"/>
        <w:bidi w:val="0"/>
        <w:spacing w:before="9" w:after="283"/>
        <w:jc w:val="left"/>
        <w:rPr/>
      </w:pPr>
      <w:r>
        <w:rPr/>
      </w:r>
    </w:p>
    <w:p>
      <w:pPr>
        <w:pStyle w:val="TextBody"/>
        <w:bidi w:val="0"/>
        <w:spacing w:lineRule="auto" w:line="321"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By signing below, the Parties expressly waive any benefits of Section 1542 of the Civil Code of the State of California, which provides:</w:t>
      </w:r>
    </w:p>
    <w:p>
      <w:pPr>
        <w:pStyle w:val="TextBody"/>
        <w:bidi w:val="0"/>
        <w:spacing w:before="1" w:after="283"/>
        <w:jc w:val="left"/>
        <w:rPr/>
      </w:pPr>
      <w:r>
        <w:rPr/>
      </w:r>
    </w:p>
    <w:p>
      <w:pPr>
        <w:pStyle w:val="TextBody"/>
        <w:bidi w:val="0"/>
        <w:spacing w:lineRule="auto" w:line="319"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2"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10000"/>
          <w:sz w:val="22"/>
        </w:rPr>
        <w:t>9.</w:t>
      </w:r>
      <w:r>
        <w:rPr>
          <w:rFonts w:ascii="Times New Roman;sans-serif" w:hAnsi="Times New Roman;sans-serif"/>
          <w:b w:val="false"/>
          <w:color w:val="000000"/>
          <w:sz w:val="22"/>
          <w:u w:val="single"/>
        </w:rPr>
        <w:t>Protected Rights</w:t>
      </w:r>
      <w:r>
        <w:rPr>
          <w:rFonts w:ascii="Times New Roman;sans-serif" w:hAnsi="Times New Roman;sans-serif"/>
          <w:b w:val="false"/>
          <w:color w:val="000000"/>
          <w:sz w:val="22"/>
        </w:rPr>
        <w:t>:</w:t>
      </w:r>
    </w:p>
    <w:p>
      <w:pPr>
        <w:pStyle w:val="TextBody"/>
        <w:bidi w:val="0"/>
        <w:spacing w:before="7"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You understand that nothing in this Agreement limits your ability to file a charge or complaint with, to provide documents or information voluntarily or in response to a subpoena or other information request to, or to participate in an investigation or proceeding conducted by, the Equal Employment Opportunity Commission, the National Labor Relations Board, the Occupational Safety and Health Administration, the Securities and Exchange Commission, or any other federal, state, or local government agency or commission (each, a “</w:t>
      </w:r>
      <w:r>
        <w:rPr>
          <w:rFonts w:ascii="Times New Roman;sans-serif" w:hAnsi="Times New Roman;sans-serif"/>
          <w:b/>
          <w:i/>
          <w:color w:val="000000"/>
          <w:sz w:val="22"/>
        </w:rPr>
        <w:t>Government Agenc</w:t>
      </w:r>
      <w:r>
        <w:rPr>
          <w:rFonts w:ascii="Times New Roman;sans-serif" w:hAnsi="Times New Roman;sans-serif"/>
          <w:b/>
          <w:color w:val="000000"/>
          <w:sz w:val="22"/>
        </w:rPr>
        <w:t>y</w:t>
      </w:r>
      <w:r>
        <w:rPr>
          <w:color w:val="000000"/>
        </w:rPr>
        <w:t>”</w:t>
      </w:r>
      <w:r>
        <w:rPr>
          <w:rFonts w:ascii="Times New Roman;sans-serif" w:hAnsi="Times New Roman;sans-serif"/>
          <w:b w:val="false"/>
          <w:color w:val="000000"/>
          <w:sz w:val="22"/>
        </w:rPr>
        <w:t>). You further understand this Agreement does not limit your ability to communicate with any Government Agency or otherwise participate in any investigation or proceeding that may be conducted by any Government Agency, including providing documents or other information, without notice to the Company. This Agreement does not limit your right to receive an award for information provided to any Government Agency.</w:t>
      </w:r>
    </w:p>
    <w:p>
      <w:pPr>
        <w:pStyle w:val="TextBody"/>
        <w:bidi w:val="0"/>
        <w:spacing w:before="3" w:after="283"/>
        <w:jc w:val="left"/>
        <w:rPr/>
      </w:pPr>
      <w:r>
        <w:rPr/>
      </w:r>
    </w:p>
    <w:p>
      <w:pPr>
        <w:pStyle w:val="TextBody"/>
        <w:bidi w:val="0"/>
        <w:spacing w:lineRule="auto" w:line="240" w:before="1" w:after="283"/>
        <w:jc w:val="both"/>
        <w:rPr/>
      </w:pPr>
      <w:r>
        <w:rPr>
          <w:rFonts w:ascii="Times New Roman;sans-serif" w:hAnsi="Times New Roman;sans-serif"/>
          <w:b w:val="false"/>
          <w:color w:val="000000"/>
          <w:sz w:val="22"/>
        </w:rPr>
        <w:t>You understand that nothing in this Agreement: (i) applies to claims for unemployment or workers’ compensation benefits; (ii) applies to claims arising after the date you sign this Agreement; (iii) applies to claims for reimbursement of expenses under the Company’s expense reimbursement policies; (iv) applies to claims for any vested rights under the Company’s ERISA-covered employee benefit plans as applicable on the date you sign this Agreement; (v) applies to claims that controlling law clearly states may not be released by private agreement; (vi) limits or affects your right, if any, to challenge the validity of this Agreement under the ADEA or the OWBPA; (vii) applies to a non-disclosure or non-disparagement clause agreed to before a dispute arises involving a nonconsensual sexual act or sexual contact, including when the victim lacks capacity to consent, or relating to conduct that is alleged to constitute sexual harassment; or (viii) precludes you from exercising your rights, if any, under Section 7 of the National Labor Relations Act (“</w:t>
      </w:r>
      <w:r>
        <w:rPr>
          <w:rFonts w:ascii="Times New Roman;sans-serif" w:hAnsi="Times New Roman;sans-serif"/>
          <w:b/>
          <w:i/>
          <w:color w:val="000000"/>
          <w:sz w:val="22"/>
        </w:rPr>
        <w:t>NLRA</w:t>
      </w:r>
      <w:r>
        <w:rPr>
          <w:color w:val="000000"/>
        </w:rPr>
        <w:t>”</w:t>
      </w:r>
      <w:r>
        <w:rPr>
          <w:rFonts w:ascii="Times New Roman;sans-serif" w:hAnsi="Times New Roman;sans-serif"/>
          <w:b w:val="false"/>
          <w:color w:val="000000"/>
          <w:sz w:val="22"/>
        </w:rPr>
        <w:t>) or under similar state law to engage in protected, concerted activity with other employees, including discussing your compensation or terms and conditions of employment; or (ix) prevents you from discussing or disclosing information about unlawful or criminal acts in the workplace, such as harassment or discrimination or any other conduct that you have reason to believe is unlawful or waives your right to</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81660"/>
                <wp:effectExtent l="0" t="0" r="0" b="0"/>
                <wp:wrapNone/>
                <wp:docPr id="50" name="Frame50"/>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83" w:after="283"/>
        <w:jc w:val="both"/>
        <w:rPr>
          <w:rFonts w:ascii="Times New Roman;sans-serif" w:hAnsi="Times New Roman;sans-serif"/>
          <w:b w:val="false"/>
          <w:color w:val="000000"/>
          <w:sz w:val="22"/>
        </w:rPr>
      </w:pPr>
      <w:r>
        <w:rPr>
          <w:rFonts w:ascii="Times New Roman;sans-serif" w:hAnsi="Times New Roman;sans-serif"/>
          <w:b w:val="false"/>
          <w:color w:val="000000"/>
          <w:sz w:val="22"/>
        </w:rPr>
        <w:t>testify in an administrative, legislative, or judicial proceeding concerning alleged criminal conduct or alleged sexual harassment on the part of the Company, or on the part of the agents or employees of the Company, when you have been required or requested to attend such a proceeding pursuant to a court order, subpoena, or written request from an administrative agency or the legislature. However, by signing this Agreement, you are waiving your right to recover any individual relief, including any backpay, frontpay, reinstatement or other legal or equitable relief, in any charge, complaint, or lawsuit or other proceeding brought by you or on your behalf by any third party, except for any right you may have to receive a payment or award from a Government Agency (and not the Company) for information provided to said Government Agency and except as provided under applicable law.</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Notwithstanding your confidentiality obligations to the Company under the Confidentiality Agreement, this Agreement, and otherwise, you understand that as provided by the Federal Defend Trade Secrets Act, you will not be held criminally or civilly liable under any federal or state trade secret law for the disclosure of a trade secret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You understand that upon the Effective Date, this Agreement will be final and binding. You promise not to pursue any claim released by this Agreement. If approached by anyone for counsel or assistance in the presentation or prosecution of any disputes, differences, grievances, claims, charges, or complaints against the Releasees, you shall do no more than simply say you cannot provide counsel or assistance. If you break this promise, or otherwise breach your obligations under the Agreement, you agree to pay the Company’s costs and expenses, including reasonable attorneys’ fees, related to the defense of any claims covered by this Agreement or any Releasee’s efforts to enforce this Agreement. Notwithstanding the foregoing, although you are releasing claims you may have under the ADEA and the OWBPA, you may challenge the knowing and voluntary nature of this release before a court, the Equal Employment Opportunity Commission or any other Government Agency charged with the enforcement of any employment laws.</w:t>
      </w:r>
    </w:p>
    <w:p>
      <w:pPr>
        <w:pStyle w:val="TextBody"/>
        <w:bidi w:val="0"/>
        <w:spacing w:before="7"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10.</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xml:space="preserve">: Except as required by law and subject to the </w:t>
      </w:r>
      <w:r>
        <w:rPr>
          <w:rFonts w:ascii="Times New Roman;sans-serif" w:hAnsi="Times New Roman;sans-serif"/>
          <w:b w:val="false"/>
          <w:color w:val="000000"/>
          <w:sz w:val="22"/>
          <w:u w:val="single"/>
        </w:rPr>
        <w:t>Protected Rights</w:t>
      </w:r>
      <w:r>
        <w:rPr>
          <w:color w:val="000000"/>
        </w:rPr>
        <w:t xml:space="preserve"> </w:t>
      </w:r>
      <w:r>
        <w:rPr>
          <w:rFonts w:ascii="Times New Roman;sans-serif" w:hAnsi="Times New Roman;sans-serif"/>
          <w:b w:val="false"/>
          <w:color w:val="000000"/>
          <w:sz w:val="22"/>
        </w:rPr>
        <w:t xml:space="preserve">paragraph above, you must keep the existence, contents, terms, and conditions of this Agreement confidential and may not disclose them except to your immediate family, accountant(s), attorneys, or under subpoena or court order. If asked for information about this Agreement, you will simply respond that you and the Company have separated on agreed terms. Any breach of this </w:t>
      </w:r>
      <w:r>
        <w:rPr>
          <w:rFonts w:ascii="Times New Roman;sans-serif" w:hAnsi="Times New Roman;sans-serif"/>
          <w:b w:val="false"/>
          <w:color w:val="000000"/>
          <w:sz w:val="22"/>
          <w:u w:val="single"/>
        </w:rPr>
        <w:t>Confidentiality</w:t>
      </w:r>
      <w:r>
        <w:rPr>
          <w:color w:val="000000"/>
        </w:rPr>
        <w:t xml:space="preserve"> </w:t>
      </w:r>
      <w:r>
        <w:rPr>
          <w:rFonts w:ascii="Times New Roman;sans-serif" w:hAnsi="Times New Roman;sans-serif"/>
          <w:b w:val="false"/>
          <w:color w:val="000000"/>
          <w:sz w:val="22"/>
        </w:rPr>
        <w:t>paragraph shall be deemed a material breach of this Agreement.</w:t>
      </w:r>
    </w:p>
    <w:p>
      <w:pPr>
        <w:pStyle w:val="TextBody"/>
        <w:bidi w:val="0"/>
        <w:spacing w:before="2"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11.</w:t>
      </w:r>
      <w:r>
        <w:rPr>
          <w:rFonts w:ascii="Times New Roman;sans-serif" w:hAnsi="Times New Roman;sans-serif"/>
          <w:b w:val="false"/>
          <w:color w:val="000000"/>
          <w:sz w:val="22"/>
          <w:u w:val="single"/>
        </w:rPr>
        <w:t>Cooperation:</w:t>
      </w:r>
      <w:r>
        <w:rPr>
          <w:color w:val="000000"/>
        </w:rPr>
        <w:t xml:space="preserve"> </w:t>
      </w:r>
      <w:r>
        <w:rPr>
          <w:rFonts w:ascii="Times New Roman;sans-serif" w:hAnsi="Times New Roman;sans-serif"/>
          <w:b w:val="false"/>
          <w:color w:val="000000"/>
          <w:sz w:val="22"/>
        </w:rPr>
        <w:t>You agree to cooperate with the Company relating to matters within your knowledge or responsibility. Without limiting this commitment, you agree (i) to meet with Company representatives, its counsel, or other designees at mutually convenient times and places with respect to any items within the scope of this provision; (ii) to provide truthful testimony regarding same to any court, agency, or other adjudicatory body; and (iii) to provide the Company with notice of contact by any non- governmental adverse party or such adverse party’s representative, except as may be required by law. The Company will reimburse you for reasonable expenses in connection with the cooperation described in this paragraph.</w:t>
      </w:r>
    </w:p>
    <w:p>
      <w:pPr>
        <w:pStyle w:val="TextBody"/>
        <w:bidi w:val="0"/>
        <w:spacing w:before="7"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12.</w:t>
      </w:r>
      <w:r>
        <w:rPr>
          <w:rFonts w:ascii="Times New Roman;sans-serif" w:hAnsi="Times New Roman;sans-serif"/>
          <w:b w:val="false"/>
          <w:color w:val="000000"/>
          <w:sz w:val="22"/>
          <w:u w:val="single"/>
        </w:rPr>
        <w:t>No Disparagement</w:t>
      </w:r>
      <w:r>
        <w:rPr>
          <w:rFonts w:ascii="Times New Roman;sans-serif" w:hAnsi="Times New Roman;sans-serif"/>
          <w:b w:val="false"/>
          <w:color w:val="000000"/>
          <w:sz w:val="22"/>
        </w:rPr>
        <w:t xml:space="preserve">: Subject to the </w:t>
      </w:r>
      <w:r>
        <w:rPr>
          <w:rFonts w:ascii="Times New Roman;sans-serif" w:hAnsi="Times New Roman;sans-serif"/>
          <w:b w:val="false"/>
          <w:color w:val="000000"/>
          <w:sz w:val="22"/>
          <w:u w:val="single"/>
        </w:rPr>
        <w:t>Protected Rights</w:t>
      </w:r>
      <w:r>
        <w:rPr>
          <w:color w:val="000000"/>
        </w:rPr>
        <w:t xml:space="preserve"> </w:t>
      </w:r>
      <w:r>
        <w:rPr>
          <w:rFonts w:ascii="Times New Roman;sans-serif" w:hAnsi="Times New Roman;sans-serif"/>
          <w:b w:val="false"/>
          <w:color w:val="000000"/>
          <w:sz w:val="22"/>
        </w:rPr>
        <w:t>paragraph above, you agree that you will never make any disparaging, defamatory, or negative statements public or privately, online or offline, orally or in writing about the Company or its stockholders, directors, officers, employees, products, services or business practices, your employment with the Company, or the termination of that employment. Similarly, the Company agrees to instruct Bobak Azamian, Dianne Whitfield, Bryan Wahl, Sesha</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81660"/>
                <wp:effectExtent l="0" t="0" r="0" b="0"/>
                <wp:wrapNone/>
                <wp:docPr id="51" name="Frame51"/>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83" w:after="283"/>
        <w:jc w:val="both"/>
        <w:rPr>
          <w:rFonts w:ascii="Times New Roman;sans-serif" w:hAnsi="Times New Roman;sans-serif"/>
          <w:b w:val="false"/>
          <w:color w:val="000000"/>
          <w:sz w:val="22"/>
        </w:rPr>
      </w:pPr>
      <w:r>
        <w:rPr>
          <w:rFonts w:ascii="Times New Roman;sans-serif" w:hAnsi="Times New Roman;sans-serif"/>
          <w:b w:val="false"/>
          <w:color w:val="000000"/>
          <w:sz w:val="22"/>
        </w:rPr>
        <w:t>Neervannan, Aziz Mottiwala, and Jose Trevejo to never make any disparaging, defamatory, or negative statements public or privately, online or offline, orally or in writing about you, your employment with the Company, or the termination of that employment. The Company further agrees that if a prospective employer of yours requests a reference and if you authorize the Company in writing, the Company shall route the request to Bobak Azamian who shall provide a reference to the prospective employer which is consistent with the obligations set forth in the preceding sentence. The parties agree that the obligations of this paragraph 12 only shall terminate five (5) years after the Separation Date.</w:t>
      </w:r>
    </w:p>
    <w:p>
      <w:pPr>
        <w:pStyle w:val="TextBody"/>
        <w:bidi w:val="0"/>
        <w:spacing w:before="10"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10000"/>
          <w:sz w:val="22"/>
        </w:rPr>
        <w:t>13.</w:t>
      </w:r>
      <w:r>
        <w:rPr>
          <w:rFonts w:ascii="Times New Roman;sans-serif" w:hAnsi="Times New Roman;sans-serif"/>
          <w:b w:val="false"/>
          <w:color w:val="000000"/>
          <w:sz w:val="22"/>
          <w:u w:val="single"/>
        </w:rPr>
        <w:t>No Admission of Liability</w:t>
      </w:r>
      <w:r>
        <w:rPr>
          <w:rFonts w:ascii="Times New Roman;sans-serif" w:hAnsi="Times New Roman;sans-serif"/>
          <w:b w:val="false"/>
          <w:color w:val="000000"/>
          <w:sz w:val="22"/>
        </w:rPr>
        <w:t>: This Agreement shall not be construed or contended by you to be an admission or evidence of any wrongdoing, unlawful conduct, or liability by the Company or the Releasees. This Agreement shall be afforded the maximum protection allowable under Federal Rule of Evidence 408 and/or any other state or federal law of similar effect. However, the Parties agree that this Agreement may be used as evidence in a subsequent proceeding in which any of the Parties allege a breach of this Agreement or as a complete defense to any lawsuit brought by any party.</w:t>
      </w:r>
    </w:p>
    <w:p>
      <w:pPr>
        <w:pStyle w:val="TextBody"/>
        <w:bidi w:val="0"/>
        <w:spacing w:before="8"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14.</w:t>
      </w:r>
      <w:r>
        <w:rPr>
          <w:rFonts w:ascii="Times New Roman;sans-serif" w:hAnsi="Times New Roman;sans-serif"/>
          <w:b w:val="false"/>
          <w:color w:val="000000"/>
          <w:sz w:val="22"/>
          <w:u w:val="single"/>
        </w:rPr>
        <w:t>Headings; Sub-Headings</w:t>
      </w:r>
      <w:r>
        <w:rPr>
          <w:rFonts w:ascii="Times New Roman;sans-serif" w:hAnsi="Times New Roman;sans-serif"/>
          <w:b w:val="false"/>
          <w:color w:val="000000"/>
          <w:sz w:val="22"/>
        </w:rPr>
        <w:t>: Headings and sub-headings of the paragraphs and sub- paragraphs of this Agreement are intended solely for convenience of reference and no provision of this Agreement is to be construed based upon the heading or sub-heading of any paragraph or sub-paragraph.</w:t>
      </w:r>
    </w:p>
    <w:p>
      <w:pPr>
        <w:pStyle w:val="TextBody"/>
        <w:bidi w:val="0"/>
        <w:spacing w:before="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15.</w:t>
      </w:r>
      <w:r>
        <w:rPr>
          <w:rFonts w:ascii="Times New Roman;sans-serif" w:hAnsi="Times New Roman;sans-serif"/>
          <w:b w:val="false"/>
          <w:color w:val="000000"/>
          <w:sz w:val="22"/>
          <w:u w:val="single"/>
        </w:rPr>
        <w:t>Complete and Voluntary Agreement</w:t>
      </w:r>
      <w:r>
        <w:rPr>
          <w:rFonts w:ascii="Times New Roman;sans-serif" w:hAnsi="Times New Roman;sans-serif"/>
          <w:b w:val="false"/>
          <w:color w:val="000000"/>
          <w:sz w:val="22"/>
        </w:rPr>
        <w:t>: This Agreement, including its exhibits, constitutes the entire agreement between you and Releasees regarding the subject hereof and supersedes all prior negotiations and agreements, whether written or oral, relating to such subject. Notwithstanding the foregoing, this Agreement shall not supersede obligations you may have under any agreements with the Company regarding the non-disclosure of trade secrets and confidential or proprietary information, prohibiting solicitation of customers, suppliers, or employees, prohibiting competition with the Company, assigning intellectual property, or providing for a dispute resolution mechanism. You acknowledge that neither the Company, the Releasees, nor their agents or attorneys have made any promise, representation or warranty, either express or implied, written or oral, which is not contained in this Agreement to induce you to execute the Agreement. You acknowledge that you have executed this Agreement in reliance only upon the promises, representations and warranties herein, and that you are executing this Agreement voluntarily and free of any duress or coercion.</w:t>
      </w:r>
    </w:p>
    <w:p>
      <w:pPr>
        <w:pStyle w:val="TextBody"/>
        <w:bidi w:val="0"/>
        <w:spacing w:before="8"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16.</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The provisions of this Agreement are severable, and if any part of the Agreement is found to be invalid or unenforceable, the other parts shall remain valid and enforceable.</w:t>
      </w:r>
    </w:p>
    <w:p>
      <w:pPr>
        <w:pStyle w:val="TextBody"/>
        <w:bidi w:val="0"/>
        <w:spacing w:before="1"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10000"/>
          <w:sz w:val="22"/>
        </w:rPr>
        <w:t>17.</w:t>
      </w:r>
      <w:r>
        <w:rPr>
          <w:rFonts w:ascii="Times New Roman;sans-serif" w:hAnsi="Times New Roman;sans-serif"/>
          <w:b w:val="false"/>
          <w:color w:val="000000"/>
          <w:sz w:val="22"/>
          <w:u w:val="single"/>
        </w:rPr>
        <w:t>Modification; Counterparts; Electronic/PDF Signatures</w:t>
      </w:r>
      <w:r>
        <w:rPr>
          <w:rFonts w:ascii="Times New Roman;sans-serif" w:hAnsi="Times New Roman;sans-serif"/>
          <w:b w:val="false"/>
          <w:color w:val="000000"/>
          <w:sz w:val="22"/>
        </w:rPr>
        <w:t>: You agree this Agreement may not be altered, amended, modified, or otherwise changed except by another written agreement that specifically refers to this Agreement, executed by authorized representatives of each party to this Agreement. This Agreement may be executed in several counterparts, each of which shall constitute an original and all of which together shall constitute the same instrument. Counterparts may be delivered via facsimile, electronic mail, or other electronic transmission method, and may be executed using any electronic signature method complying with the United States ESIGN Act of 2000 (</w:t>
      </w:r>
      <w:r>
        <w:rPr>
          <w:rFonts w:ascii="Times New Roman;sans-serif" w:hAnsi="Times New Roman;sans-serif"/>
          <w:b w:val="false"/>
          <w:i/>
          <w:color w:val="000000"/>
          <w:sz w:val="22"/>
        </w:rPr>
        <w:t>e.g.</w:t>
      </w:r>
      <w:r>
        <w:rPr>
          <w:rFonts w:ascii="Times New Roman;sans-serif" w:hAnsi="Times New Roman;sans-serif"/>
          <w:b w:val="false"/>
          <w:color w:val="000000"/>
          <w:sz w:val="22"/>
        </w:rPr>
        <w:t>, www.docusign.com). Any such counterpart so delivered shall be deemed to have been duly and validly delivered and be valid and effective for all purposes.</w:t>
      </w:r>
    </w:p>
    <w:p>
      <w:pPr>
        <w:pStyle w:val="TextBody"/>
        <w:bidi w:val="0"/>
        <w:spacing w:before="8"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18.</w:t>
      </w:r>
      <w:r>
        <w:rPr>
          <w:rFonts w:ascii="Times New Roman;sans-serif" w:hAnsi="Times New Roman;sans-serif"/>
          <w:b w:val="false"/>
          <w:color w:val="000000"/>
          <w:sz w:val="22"/>
          <w:u w:val="single"/>
        </w:rPr>
        <w:t>Interpretation and Construction of Agreement</w:t>
      </w:r>
      <w:r>
        <w:rPr>
          <w:rFonts w:ascii="Times New Roman;sans-serif" w:hAnsi="Times New Roman;sans-serif"/>
          <w:b w:val="false"/>
          <w:color w:val="000000"/>
          <w:sz w:val="22"/>
        </w:rPr>
        <w:t>: This Agreement shall be construed and interpreted under the laws of the state where you were last employed by the Company (California) without regard to conflict of laws principles. Moreover, this Agreement shall not be construed against either Party as the author or drafter of the Agreement.</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81660"/>
                <wp:effectExtent l="0" t="0" r="0" b="0"/>
                <wp:wrapNone/>
                <wp:docPr id="52" name="Frame52"/>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83" w:after="283"/>
        <w:ind w:left="0" w:right="0" w:firstLine="720"/>
        <w:jc w:val="both"/>
        <w:rPr/>
      </w:pPr>
      <w:r>
        <w:rPr>
          <w:rFonts w:ascii="Times New Roman;sans-serif" w:hAnsi="Times New Roman;sans-serif"/>
          <w:b w:val="false"/>
          <w:color w:val="010000"/>
          <w:sz w:val="22"/>
        </w:rPr>
        <w:t>19.</w:t>
      </w:r>
      <w:r>
        <w:rPr>
          <w:rFonts w:ascii="Times New Roman;sans-serif" w:hAnsi="Times New Roman;sans-serif"/>
          <w:b w:val="false"/>
          <w:color w:val="000000"/>
          <w:sz w:val="22"/>
          <w:u w:val="single"/>
        </w:rPr>
        <w:t>Review of Separation Agreement; Effective Date:</w:t>
      </w:r>
      <w:r>
        <w:rPr>
          <w:color w:val="000000"/>
        </w:rPr>
        <w:t xml:space="preserve"> </w:t>
      </w:r>
      <w:r>
        <w:rPr>
          <w:rFonts w:ascii="Times New Roman;sans-serif" w:hAnsi="Times New Roman;sans-serif"/>
          <w:b w:val="false"/>
          <w:color w:val="000000"/>
          <w:sz w:val="22"/>
        </w:rPr>
        <w:t>You understand that you may take up to twenty-one (21) calendar days to consider this Agreement, i.e., until May 10, 2023 (the “</w:t>
      </w:r>
      <w:r>
        <w:rPr>
          <w:rFonts w:ascii="Times New Roman;sans-serif" w:hAnsi="Times New Roman;sans-serif"/>
          <w:b/>
          <w:i/>
          <w:color w:val="000000"/>
          <w:sz w:val="22"/>
        </w:rPr>
        <w:t>Consideration Period</w:t>
      </w:r>
      <w:r>
        <w:rPr>
          <w:color w:val="000000"/>
        </w:rPr>
        <w:t>”</w:t>
      </w:r>
      <w:r>
        <w:rPr>
          <w:rFonts w:ascii="Times New Roman;sans-serif" w:hAnsi="Times New Roman;sans-serif"/>
          <w:b w:val="false"/>
          <w:color w:val="000000"/>
          <w:sz w:val="22"/>
        </w:rPr>
        <w:t>). You agree changes to this Agreement, whether material or immaterial, do not toll or restart the Consideration Period. If you choose to sign this Agreement before the Consideration Period ends, you represent: (i) you freely chose to do so after carefully considering its terms; (ii) you are knowingly and voluntarily waiving the remainder of the Consideration Period; and (iii) your decision to waive the remainder of the Consideration Period was not induced by the Company through fraud, misrepresentation, or a threat to withdraw or alter the offer prior to the expiration of the Consideration Period, or by providing different terms to you for signing this Agreement prior to the expiration of the Consideration Period. You affirm that you were advised to consult with an attorney before signing this Agreement. You also understand you may revoke this Agreement within seven (7) calendar days of signing (the “</w:t>
      </w:r>
      <w:r>
        <w:rPr>
          <w:rFonts w:ascii="Times New Roman;sans-serif" w:hAnsi="Times New Roman;sans-serif"/>
          <w:b/>
          <w:i/>
          <w:color w:val="000000"/>
          <w:sz w:val="22"/>
        </w:rPr>
        <w:t>Revocation Period</w:t>
      </w:r>
      <w:r>
        <w:rPr>
          <w:color w:val="000000"/>
        </w:rPr>
        <w:t>”</w:t>
      </w:r>
      <w:r>
        <w:rPr>
          <w:rFonts w:ascii="Times New Roman;sans-serif" w:hAnsi="Times New Roman;sans-serif"/>
          <w:b w:val="false"/>
          <w:color w:val="000000"/>
          <w:sz w:val="22"/>
        </w:rPr>
        <w:t>) and that the Company will only provide you with the Severance Benefits after that Revocation Period has expired. Any revocation must be made in writing and delivered to Bobak Azamian, CEO at email [*]. This Agreement is effective on the eighth (8th) calendar day after you sign it, provided that you have not revoked it (the “</w:t>
      </w:r>
      <w:r>
        <w:rPr>
          <w:rFonts w:ascii="Times New Roman;sans-serif" w:hAnsi="Times New Roman;sans-serif"/>
          <w:b/>
          <w:i/>
          <w:color w:val="000000"/>
          <w:sz w:val="22"/>
        </w:rPr>
        <w:t>Effective Date</w:t>
      </w:r>
      <w:r>
        <w:rPr>
          <w:color w:val="000000"/>
        </w:rPr>
        <w:t>”</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(Remainder of Page Intentionally Left Blank; Signatures Follow Below)</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81660"/>
                <wp:effectExtent l="0" t="0" r="0" b="0"/>
                <wp:wrapNone/>
                <wp:docPr id="53" name="Frame53"/>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85"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Parties have read this agreement and understand its legal and binding effect. The Parties are acting voluntarily, deliberately, and of their own free will in signing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627" w:type="dxa"/>
        <w:jc w:val="left"/>
        <w:tblInd w:w="0" w:type="dxa"/>
        <w:tblLayout w:type="fixed"/>
        <w:tblCellMar>
          <w:top w:w="28" w:type="dxa"/>
          <w:left w:w="28" w:type="dxa"/>
          <w:bottom w:w="28" w:type="dxa"/>
          <w:right w:w="28" w:type="dxa"/>
        </w:tblCellMar>
      </w:tblPr>
      <w:tblGrid>
        <w:gridCol w:w="210"/>
        <w:gridCol w:w="186"/>
        <w:gridCol w:w="189"/>
        <w:gridCol w:w="109"/>
        <w:gridCol w:w="109"/>
        <w:gridCol w:w="109"/>
        <w:gridCol w:w="794"/>
        <w:gridCol w:w="794"/>
        <w:gridCol w:w="1127"/>
      </w:tblGrid>
      <w:tr>
        <w:trPr/>
        <w:tc>
          <w:tcPr>
            <w:tcW w:w="2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Bobak Azamian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Bobak Azamian, CEO</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Tarsus Pharmaceuticals,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4, 2023</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4" w:after="283"/>
        <w:jc w:val="left"/>
        <w:rPr/>
      </w:pPr>
      <w:r>
        <w:rPr/>
      </w:r>
    </w:p>
    <w:p>
      <w:pPr>
        <w:pStyle w:val="TextBody"/>
        <w:bidi w:val="0"/>
        <w:spacing w:before="0" w:after="0"/>
        <w:jc w:val="left"/>
        <w:rPr/>
      </w:pPr>
      <w:r>
        <w:rPr/>
      </w:r>
    </w:p>
    <w:p>
      <w:pPr>
        <w:pStyle w:val="TextBody"/>
        <w:bidi w:val="0"/>
        <w:spacing w:before="0" w:after="0"/>
        <w:jc w:val="left"/>
        <w:rPr/>
      </w:pPr>
      <w:r>
        <w:rPr/>
      </w:r>
    </w:p>
    <w:tbl>
      <w:tblPr>
        <w:tblW w:w="2999" w:type="dxa"/>
        <w:jc w:val="left"/>
        <w:tblInd w:w="0" w:type="dxa"/>
        <w:tblLayout w:type="fixed"/>
        <w:tblCellMar>
          <w:top w:w="28" w:type="dxa"/>
          <w:left w:w="28" w:type="dxa"/>
          <w:bottom w:w="28" w:type="dxa"/>
          <w:right w:w="28" w:type="dxa"/>
        </w:tblCellMar>
      </w:tblPr>
      <w:tblGrid>
        <w:gridCol w:w="210"/>
        <w:gridCol w:w="186"/>
        <w:gridCol w:w="189"/>
        <w:gridCol w:w="707"/>
        <w:gridCol w:w="707"/>
        <w:gridCol w:w="1000"/>
      </w:tblGrid>
      <w:tr>
        <w:trPr/>
        <w:tc>
          <w:tcPr>
            <w:tcW w:w="2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Leonard M. Greenstein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Leonard M. Greenstein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4, 2023</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6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73" w:before="92"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Exhibit(s)</w:t>
      </w:r>
    </w:p>
    <w:p>
      <w:pPr>
        <w:pStyle w:val="TextBody"/>
        <w:bidi w:val="0"/>
        <w:spacing w:lineRule="auto" w:line="273" w:before="0" w:after="0"/>
        <w:jc w:val="left"/>
        <w:rPr/>
      </w:pPr>
      <w:r>
        <w:rPr>
          <w:rFonts w:ascii="Times New Roman;sans-serif" w:hAnsi="Times New Roman;sans-serif"/>
          <w:b/>
          <w:color w:val="000000"/>
          <w:sz w:val="22"/>
        </w:rPr>
        <w:t>Exhibit A</w:t>
      </w:r>
      <w:r>
        <w:rPr>
          <w:rFonts w:ascii="Times New Roman;sans-serif" w:hAnsi="Times New Roman;sans-serif"/>
          <w:b w:val="false"/>
          <w:color w:val="000000"/>
          <w:sz w:val="22"/>
        </w:rPr>
        <w:t>:    Confidentiality Agreement</w:t>
      </w:r>
    </w:p>
    <w:p>
      <w:pPr>
        <w:pStyle w:val="TextBody"/>
        <w:bidi w:val="0"/>
        <w:spacing w:lineRule="auto" w:line="240" w:before="1" w:after="283"/>
        <w:jc w:val="left"/>
        <w:rPr/>
      </w:pPr>
      <w:r>
        <w:rPr>
          <w:rFonts w:ascii="Times New Roman;sans-serif" w:hAnsi="Times New Roman;sans-serif"/>
          <w:b/>
          <w:color w:val="000000"/>
          <w:sz w:val="22"/>
        </w:rPr>
        <w:t>Exhibit B</w:t>
      </w:r>
      <w:r>
        <w:rPr>
          <w:rFonts w:ascii="Times New Roman;sans-serif" w:hAnsi="Times New Roman;sans-serif"/>
          <w:b w:val="false"/>
          <w:color w:val="000000"/>
          <w:sz w:val="22"/>
        </w:rPr>
        <w:t>:    Second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81660"/>
                <wp:effectExtent l="0" t="0" r="0" b="0"/>
                <wp:wrapNone/>
                <wp:docPr id="54" name="Frame54"/>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3" w:before="83" w:after="283"/>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lineRule="auto" w:line="273" w:before="0" w:after="0"/>
        <w:jc w:val="center"/>
        <w:rPr>
          <w:rFonts w:ascii="Times New Roman;sans-serif" w:hAnsi="Times New Roman;sans-serif"/>
          <w:b/>
          <w:color w:val="000000"/>
          <w:sz w:val="22"/>
        </w:rPr>
      </w:pPr>
      <w:r>
        <w:rPr>
          <w:rFonts w:ascii="Times New Roman;sans-serif" w:hAnsi="Times New Roman;sans-serif"/>
          <w:b/>
          <w:color w:val="000000"/>
          <w:sz w:val="22"/>
        </w:rPr>
        <w:t>Confidentiality Agreement</w:t>
      </w:r>
    </w:p>
    <w:p>
      <w:pPr>
        <w:pStyle w:val="TextBody"/>
        <w:bidi w:val="0"/>
        <w:spacing w:lineRule="auto" w:line="240" w:before="2"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(begins on next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 w:after="283"/>
        <w:jc w:val="left"/>
        <w:rPr/>
      </w:pPr>
      <w:r>
        <w:rPr/>
      </w:r>
    </w:p>
    <w:p>
      <w:pPr>
        <w:pStyle w:val="TextBody"/>
        <w:bidi w:val="0"/>
        <w:spacing w:lineRule="auto" w:line="240" w:before="91" w:after="283"/>
        <w:jc w:val="center"/>
        <w:rPr>
          <w:rFonts w:ascii="Times New Roman;sans-serif" w:hAnsi="Times New Roman;sans-serif"/>
          <w:b/>
          <w:color w:val="0C0C0C"/>
          <w:sz w:val="22"/>
        </w:rPr>
      </w:pPr>
      <w:r>
        <w:rPr>
          <w:rFonts w:ascii="Times New Roman;sans-serif" w:hAnsi="Times New Roman;sans-serif"/>
          <w:b/>
          <w:color w:val="0C0C0C"/>
          <w:sz w:val="22"/>
        </w:rPr>
        <w:t>PROPRIETARY INFORMATION AND INVENTIONS AGREEMENT</w:t>
      </w:r>
    </w:p>
    <w:p>
      <w:pPr>
        <w:pStyle w:val="TextBody"/>
        <w:bidi w:val="0"/>
        <w:spacing w:before="8" w:after="283"/>
        <w:jc w:val="left"/>
        <w:rPr/>
      </w:pPr>
      <w:r>
        <w:rPr/>
      </w:r>
    </w:p>
    <w:p>
      <w:pPr>
        <w:pStyle w:val="TextBody"/>
        <w:bidi w:val="0"/>
        <w:spacing w:lineRule="auto" w:line="280" w:before="0" w:after="0"/>
        <w:ind w:left="0" w:right="0" w:firstLine="1379"/>
        <w:jc w:val="both"/>
        <w:rPr/>
      </w:pPr>
      <w:r>
        <w:rPr>
          <w:rFonts w:ascii="Times New Roman;sans-serif" w:hAnsi="Times New Roman;sans-serif"/>
          <w:b w:val="false"/>
          <w:color w:val="0C0C0C"/>
          <w:sz w:val="23"/>
        </w:rPr>
        <w:t xml:space="preserve">The following confirms and memorializes an agreement that Tarsus Pharmaceuticals, Inc., a Delaware corporation (the </w:t>
      </w:r>
      <w:r>
        <w:rPr>
          <w:rFonts w:ascii="Times New Roman;sans-serif" w:hAnsi="Times New Roman;sans-serif"/>
          <w:b w:val="false"/>
          <w:color w:val="232323"/>
          <w:sz w:val="23"/>
        </w:rPr>
        <w:t xml:space="preserve">"Company") </w:t>
      </w:r>
      <w:r>
        <w:rPr>
          <w:rFonts w:ascii="Times New Roman;sans-serif" w:hAnsi="Times New Roman;sans-serif"/>
          <w:b w:val="false"/>
          <w:color w:val="0C0C0C"/>
          <w:sz w:val="23"/>
        </w:rPr>
        <w:t>and I (Leonard M. Greenstein) have had since the commencement of my employment (which term, for purposes of this agreement, shall be deemed to include any relationship of service to the Company that I may have had prior to actually becoming an employee) with the Company in any capacity and that is and has been a material part of the consideration for my employment by Company:</w:t>
      </w:r>
    </w:p>
    <w:p>
      <w:pPr>
        <w:pStyle w:val="TextBody"/>
        <w:bidi w:val="0"/>
        <w:spacing w:lineRule="auto" w:line="280" w:before="224" w:after="283"/>
        <w:ind w:left="0" w:right="0" w:firstLine="1385"/>
        <w:jc w:val="both"/>
        <w:rPr>
          <w:rFonts w:ascii="Times New Roman;sans-serif" w:hAnsi="Times New Roman;sans-serif"/>
          <w:b w:val="false"/>
          <w:color w:val="0C0C0C"/>
          <w:sz w:val="23"/>
        </w:rPr>
      </w:pPr>
      <w:r>
        <w:rPr>
          <w:rFonts w:ascii="Times New Roman;sans-serif" w:hAnsi="Times New Roman;sans-serif"/>
          <w:b w:val="false"/>
          <w:color w:val="0C0C0C"/>
          <w:sz w:val="23"/>
        </w:rPr>
        <w:t>1.I have not entered into, and I agree I will not enter into, any agreement either written or oral in conflict with this Agreement or my employment with Company. I will not violate any agreement with or rights of any third party or, except as expressly authorized by Company in writing hereafter, use or disclose my own or any third party's confidential information or intellectual property when acting within the scope of my employment or otherwise on behalf of Company. Further, I have not retained anything containing any confidential information of a prior employer or other third party, whether or not created by me.</w:t>
      </w:r>
    </w:p>
    <w:p>
      <w:pPr>
        <w:pStyle w:val="TextBody"/>
        <w:bidi w:val="0"/>
        <w:spacing w:lineRule="auto" w:line="280" w:before="231" w:after="283"/>
        <w:ind w:left="0" w:right="0" w:firstLine="1390"/>
        <w:jc w:val="both"/>
        <w:rPr/>
      </w:pPr>
      <w:r>
        <w:rPr>
          <w:rFonts w:ascii="Times New Roman;sans-serif" w:hAnsi="Times New Roman;sans-serif"/>
          <w:b w:val="false"/>
          <w:color w:val="0C0C0C"/>
          <w:sz w:val="23"/>
        </w:rPr>
        <w:t xml:space="preserve">2.Company shall own all right, title and interest (including patent rights, copyrights, trade secret rights, mask work rights, </w:t>
      </w:r>
      <w:r>
        <w:rPr>
          <w:rFonts w:ascii="Times New Roman;sans-serif" w:hAnsi="Times New Roman;sans-serif"/>
          <w:b w:val="false"/>
          <w:i/>
          <w:color w:val="0C0C0C"/>
          <w:sz w:val="24"/>
        </w:rPr>
        <w:t xml:space="preserve">sui generis </w:t>
      </w:r>
      <w:r>
        <w:rPr>
          <w:rFonts w:ascii="Times New Roman;sans-serif" w:hAnsi="Times New Roman;sans-serif"/>
          <w:b w:val="false"/>
          <w:color w:val="0C0C0C"/>
          <w:sz w:val="23"/>
        </w:rPr>
        <w:t xml:space="preserve">database rights and all other intellectual property rights of any sort throughout the world) relating to any and all inventions (whether or not patentable), works of authorship, mask works, designs, know-how, ideas and information made or conceived or reduced to practice, in whole or in part, by me during the term of my employment with Company to and only to the fullest extent allowed by California Labor Code Section 2870 (which is attached as Appendix A) (collectively </w:t>
      </w:r>
      <w:r>
        <w:rPr>
          <w:rFonts w:ascii="Times New Roman;sans-serif" w:hAnsi="Times New Roman;sans-serif"/>
          <w:b w:val="false"/>
          <w:color w:val="232323"/>
          <w:sz w:val="23"/>
        </w:rPr>
        <w:t xml:space="preserve">"Inventions") </w:t>
      </w:r>
      <w:r>
        <w:rPr>
          <w:rFonts w:ascii="Times New Roman;sans-serif" w:hAnsi="Times New Roman;sans-serif"/>
          <w:b w:val="false"/>
          <w:color w:val="0C0C0C"/>
          <w:sz w:val="23"/>
        </w:rPr>
        <w:t>and I will promptly disclose all Inventions to Company. Without disclosing any third party confidential information, I will also disclose anything I believe is excluded by Section 2870 so that the Company can make an independent assessment. I hereby make all assignments necessary to accomplish the foregoing. I shall further assist Company, at Company's expense, to further evidence, record and perfect such assignments, and to perfect, obtain, maintain, enforce, and defend any rights specified to be so owned or assigned. I hereby irrevocably designate and appoint Company as my agent and attorney-in-fact, coupled with an interest and with full power of substitution, to act for and in my behalf to execute and file any document and to do all other lawfully permitted acts to further the purposes of the foregoing with the same legal force and effect as if executed by me. Without limiting Section 1 or Company's other rights and remedies, if, when acting within the scope of my employment or otherwise on behalf of Company, I use or disclose my own or any third party's confidential information or intellectual property (or if any Invention cannot be fully made, used, reproduced, distributed and otherwise exploited without using or violating the foregoing), Company will have and I hereby grant Company a perpetual, irrevocable, worldwide royalty-free, non-exclusive, sublicensable right and license to exploit and exercise all such confidential information and intellectual property rights.</w:t>
      </w:r>
    </w:p>
    <w:p>
      <w:pPr>
        <w:pStyle w:val="TextBody"/>
        <w:bidi w:val="0"/>
        <w:spacing w:lineRule="auto" w:line="240" w:before="215" w:after="283"/>
        <w:ind w:left="0" w:right="0" w:firstLine="1389"/>
        <w:jc w:val="both"/>
        <w:rPr/>
      </w:pPr>
      <w:r>
        <w:rPr>
          <w:rFonts w:ascii="Times New Roman;sans-serif" w:hAnsi="Times New Roman;sans-serif"/>
          <w:b w:val="false"/>
          <w:color w:val="0C0C0C"/>
          <w:sz w:val="23"/>
        </w:rPr>
        <w:t xml:space="preserve">3.To the extent allowed by law, paragraph 2 includes all rights of paternity, integrity, disclosure and withdrawal and any other rights that may be known as or referred to as "moral rights," </w:t>
      </w:r>
      <w:r>
        <w:rPr>
          <w:rFonts w:ascii="Times New Roman;sans-serif" w:hAnsi="Times New Roman;sans-serif"/>
          <w:b w:val="false"/>
          <w:color w:val="232323"/>
          <w:sz w:val="23"/>
        </w:rPr>
        <w:t xml:space="preserve">"artist's </w:t>
      </w:r>
      <w:r>
        <w:rPr>
          <w:rFonts w:ascii="Times New Roman;sans-serif" w:hAnsi="Times New Roman;sans-serif"/>
          <w:b w:val="false"/>
          <w:color w:val="0C0C0C"/>
          <w:sz w:val="23"/>
        </w:rPr>
        <w:t>rights," "droit moral," or the like (collectively "Moral Rights"). To the extent I retain any such Moral Rights under applicable law, I hereby ratify and consent to any action that may be taken with respect to such Moral Rights by or authorized by Company and</w:t>
      </w:r>
    </w:p>
    <w:p>
      <w:pPr>
        <w:pStyle w:val="TextBody"/>
        <w:bidi w:val="0"/>
        <w:spacing w:before="0" w:after="0"/>
        <w:jc w:val="left"/>
        <w:rPr/>
      </w:pPr>
      <w:r>
        <w:rPr/>
      </w:r>
    </w:p>
    <w:p>
      <w:pPr>
        <w:pStyle w:val="TextBody"/>
        <w:bidi w:val="0"/>
        <w:spacing w:before="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 w:after="283"/>
        <w:jc w:val="left"/>
        <w:rPr/>
      </w:pPr>
      <w:r>
        <w:rPr/>
      </w:r>
    </w:p>
    <w:p>
      <w:pPr>
        <w:pStyle w:val="TextBody"/>
        <w:bidi w:val="0"/>
        <w:spacing w:lineRule="auto" w:line="295" w:before="91" w:after="283"/>
        <w:jc w:val="left"/>
        <w:rPr>
          <w:rFonts w:ascii="Times New Roman;sans-serif" w:hAnsi="Times New Roman;sans-serif"/>
          <w:b w:val="false"/>
          <w:color w:val="0C0C0C"/>
          <w:sz w:val="22"/>
        </w:rPr>
      </w:pPr>
      <w:r>
        <w:rPr>
          <w:rFonts w:ascii="Times New Roman;sans-serif" w:hAnsi="Times New Roman;sans-serif"/>
          <w:b w:val="false"/>
          <w:color w:val="0C0C0C"/>
          <w:sz w:val="22"/>
        </w:rPr>
        <w:t>agree not to assert any Moral Rights with respect thereto. I will confirm any such ratifications, consents and agreements from time to time as requested by Company.</w:t>
      </w:r>
    </w:p>
    <w:p>
      <w:pPr>
        <w:pStyle w:val="TextBody"/>
        <w:bidi w:val="0"/>
        <w:spacing w:before="9" w:after="283"/>
        <w:jc w:val="left"/>
        <w:rPr/>
      </w:pPr>
      <w:r>
        <w:rPr/>
      </w:r>
    </w:p>
    <w:p>
      <w:pPr>
        <w:pStyle w:val="TextBody"/>
        <w:bidi w:val="0"/>
        <w:spacing w:lineRule="auto" w:line="292" w:before="0" w:after="0"/>
        <w:ind w:left="0" w:right="0" w:firstLine="1388"/>
        <w:jc w:val="both"/>
        <w:rPr>
          <w:rFonts w:ascii="Times New Roman;sans-serif" w:hAnsi="Times New Roman;sans-serif"/>
          <w:b w:val="false"/>
          <w:color w:val="0C0C0C"/>
          <w:sz w:val="22"/>
        </w:rPr>
      </w:pPr>
      <w:r>
        <w:rPr>
          <w:rFonts w:ascii="Times New Roman;sans-serif" w:hAnsi="Times New Roman;sans-serif"/>
          <w:b w:val="false"/>
          <w:color w:val="0C0C0C"/>
          <w:sz w:val="22"/>
        </w:rPr>
        <w:t>4.I agree that all Inventions and all other business, technical and financial information (including, without limitation, the identity of and information relating to customers or employees) I develop, learn or obtain during the term of my employment that relate to Company or the business or demonstrably anticipated business of Company or that are received by or for Company in confidence, constitute "Proprietary Information." I will hold in confidence and not disclose or, except within the scope of my employment, use any Proprietary Information. However, I shall not be obligated under this paragraph with respect to information I can document is or becomes readily publicly available without restriction through no fault of mine. Upon termination of my employment, I will promptly return to Company all items containing or embodying Proprietary Information (including all copies), except that I may keep my personal copies of (i) my compensation records, (ii) materials distributed to shareholders generally and</w:t>
      </w:r>
    </w:p>
    <w:p>
      <w:pPr>
        <w:pStyle w:val="TextBody"/>
        <w:bidi w:val="0"/>
        <w:spacing w:lineRule="auto" w:line="295" w:before="11" w:after="283"/>
        <w:ind w:left="0" w:right="0" w:hanging="2"/>
        <w:jc w:val="both"/>
        <w:rPr>
          <w:rFonts w:ascii="Times New Roman;sans-serif" w:hAnsi="Times New Roman;sans-serif"/>
          <w:b w:val="false"/>
          <w:color w:val="0C0C0C"/>
          <w:sz w:val="22"/>
        </w:rPr>
      </w:pPr>
      <w:r>
        <w:rPr>
          <w:rFonts w:ascii="Times New Roman;sans-serif" w:hAnsi="Times New Roman;sans-serif"/>
          <w:b w:val="false"/>
          <w:color w:val="0C0C0C"/>
          <w:sz w:val="22"/>
        </w:rPr>
        <w:t>(iii) this Agreement. I also recognize and agree that I have no expectation of privacy with respect to Company's telecommunications, networking or information processing systems (including, without limitation, stored computer files, email messages and voice messages) and that my activity and any files or messages on or using any of those systems may be monitored at any time without notice.</w:t>
      </w:r>
    </w:p>
    <w:p>
      <w:pPr>
        <w:pStyle w:val="TextBody"/>
        <w:bidi w:val="0"/>
        <w:spacing w:before="8" w:after="283"/>
        <w:jc w:val="left"/>
        <w:rPr/>
      </w:pPr>
      <w:r>
        <w:rPr/>
      </w:r>
    </w:p>
    <w:p>
      <w:pPr>
        <w:pStyle w:val="TextBody"/>
        <w:bidi w:val="0"/>
        <w:spacing w:lineRule="auto" w:line="292" w:before="0" w:after="0"/>
        <w:ind w:left="0" w:right="0" w:firstLine="1384"/>
        <w:jc w:val="both"/>
        <w:rPr>
          <w:rFonts w:ascii="Times New Roman;sans-serif" w:hAnsi="Times New Roman;sans-serif"/>
          <w:b w:val="false"/>
          <w:color w:val="0C0C0C"/>
          <w:sz w:val="22"/>
        </w:rPr>
      </w:pPr>
      <w:r>
        <w:rPr>
          <w:rFonts w:ascii="Times New Roman;sans-serif" w:hAnsi="Times New Roman;sans-serif"/>
          <w:b w:val="false"/>
          <w:color w:val="0C0C0C"/>
          <w:sz w:val="22"/>
        </w:rPr>
        <w:t>5.Until one year after the term of my employment, I will not encourage or solicit any employee or consultant of Company to leave Company for any reason (except for the bona fide firing of Company personnel within the scope of my employment).</w:t>
      </w:r>
    </w:p>
    <w:p>
      <w:pPr>
        <w:pStyle w:val="TextBody"/>
        <w:bidi w:val="0"/>
        <w:spacing w:before="7" w:after="283"/>
        <w:jc w:val="left"/>
        <w:rPr/>
      </w:pPr>
      <w:r>
        <w:rPr/>
      </w:r>
    </w:p>
    <w:p>
      <w:pPr>
        <w:pStyle w:val="TextBody"/>
        <w:bidi w:val="0"/>
        <w:spacing w:lineRule="auto" w:line="292" w:before="0" w:after="0"/>
        <w:ind w:left="0" w:right="0" w:firstLine="1387"/>
        <w:jc w:val="both"/>
        <w:rPr>
          <w:rFonts w:ascii="Times New Roman;sans-serif" w:hAnsi="Times New Roman;sans-serif"/>
          <w:b w:val="false"/>
          <w:color w:val="0C0C0C"/>
          <w:sz w:val="22"/>
        </w:rPr>
      </w:pPr>
      <w:r>
        <w:rPr>
          <w:rFonts w:ascii="Times New Roman;sans-serif" w:hAnsi="Times New Roman;sans-serif"/>
          <w:b w:val="false"/>
          <w:color w:val="0C0C0C"/>
          <w:sz w:val="22"/>
        </w:rPr>
        <w:t>6.I agree that during the term of my employment with Company (whether or not during business hours), I will not engage in any activity that is in any way competitive with the business or demonstrably anticipated business of Company, and I will not assist any other person or organization in competing or in preparing to compete with any business or demonstrably anticipated business of Company.</w:t>
      </w:r>
    </w:p>
    <w:p>
      <w:pPr>
        <w:pStyle w:val="TextBody"/>
        <w:bidi w:val="0"/>
        <w:spacing w:before="4" w:after="283"/>
        <w:jc w:val="left"/>
        <w:rPr/>
      </w:pPr>
      <w:r>
        <w:rPr/>
      </w:r>
    </w:p>
    <w:p>
      <w:pPr>
        <w:pStyle w:val="TextBody"/>
        <w:bidi w:val="0"/>
        <w:spacing w:lineRule="auto" w:line="292" w:before="0" w:after="0"/>
        <w:ind w:left="0" w:right="0" w:firstLine="1391"/>
        <w:jc w:val="both"/>
        <w:rPr>
          <w:rFonts w:ascii="Times New Roman;sans-serif" w:hAnsi="Times New Roman;sans-serif"/>
          <w:b w:val="false"/>
          <w:color w:val="0C0C0C"/>
          <w:sz w:val="22"/>
        </w:rPr>
      </w:pPr>
      <w:r>
        <w:rPr>
          <w:rFonts w:ascii="Times New Roman;sans-serif" w:hAnsi="Times New Roman;sans-serif"/>
          <w:b w:val="false"/>
          <w:color w:val="0C0C0C"/>
          <w:sz w:val="22"/>
        </w:rPr>
        <w:t>7.I agree that this Agreement is not an employment contract for any particular term and that I have the right to resign and Company has the right to terminate my employment at will, at any time, for any or no reason, with or without cause. In addition, this Agreement does not purport to set forth all of the terms and conditions of my employment, and, as an employee of Company, I have obligations to Company which are not set forth in this Agreement. However, the terms of this Agreement govern over any inconsistent terms and can only be changed by a subsequent written agreement signed by the President of Company.</w:t>
      </w:r>
    </w:p>
    <w:p>
      <w:pPr>
        <w:pStyle w:val="TextBody"/>
        <w:bidi w:val="0"/>
        <w:spacing w:before="2" w:after="283"/>
        <w:jc w:val="left"/>
        <w:rPr/>
      </w:pPr>
      <w:r>
        <w:rPr/>
      </w:r>
    </w:p>
    <w:p>
      <w:pPr>
        <w:pStyle w:val="TextBody"/>
        <w:bidi w:val="0"/>
        <w:spacing w:lineRule="auto" w:line="292" w:before="0" w:after="0"/>
        <w:ind w:left="0" w:right="0" w:firstLine="1386"/>
        <w:jc w:val="both"/>
        <w:rPr/>
      </w:pPr>
      <w:r>
        <w:rPr>
          <w:rFonts w:ascii="Times New Roman;sans-serif" w:hAnsi="Times New Roman;sans-serif"/>
          <w:b w:val="false"/>
          <w:color w:val="0C0C0C"/>
          <w:sz w:val="22"/>
        </w:rPr>
        <w:t xml:space="preserve">8.I agree that my obligations under paragraphs 2, 3, 4 and </w:t>
      </w:r>
      <w:r>
        <w:rPr>
          <w:rFonts w:ascii="Times New Roman;sans-serif" w:hAnsi="Times New Roman;sans-serif"/>
          <w:b w:val="false"/>
          <w:i/>
          <w:color w:val="0C0C0C"/>
          <w:sz w:val="23"/>
        </w:rPr>
        <w:t xml:space="preserve">5 </w:t>
      </w:r>
      <w:r>
        <w:rPr>
          <w:rFonts w:ascii="Times New Roman;sans-serif" w:hAnsi="Times New Roman;sans-serif"/>
          <w:b w:val="false"/>
          <w:color w:val="0C0C0C"/>
          <w:sz w:val="22"/>
        </w:rPr>
        <w:t>of this Agreement shall continue in effect after termination of my employment, regardless of the reason or reasons for termination, and whether such termination is voluntary or involuntary on my part, and that Company is entitled to communicate my obligations under this Agreement to any future employer or potential employer of mine. My obligations under paragraphs 2, 3 and 4 also shall be binding upon my heirs, executors, assigns, and administrators and shall inure to the benefit of Company, its subsidiaries, successors and assigns.</w:t>
      </w:r>
    </w:p>
    <w:p>
      <w:pPr>
        <w:pStyle w:val="TextBody"/>
        <w:bidi w:val="0"/>
        <w:spacing w:before="9" w:after="283"/>
        <w:jc w:val="left"/>
        <w:rPr/>
      </w:pPr>
      <w:r>
        <w:rPr/>
      </w:r>
    </w:p>
    <w:p>
      <w:pPr>
        <w:pStyle w:val="TextBody"/>
        <w:bidi w:val="0"/>
        <w:spacing w:lineRule="auto" w:line="292" w:before="91" w:after="283"/>
        <w:ind w:left="0" w:right="0" w:firstLine="1392"/>
        <w:jc w:val="both"/>
        <w:rPr>
          <w:rFonts w:ascii="Times New Roman;sans-serif" w:hAnsi="Times New Roman;sans-serif"/>
          <w:b w:val="false"/>
          <w:color w:val="0C0C0C"/>
          <w:sz w:val="22"/>
        </w:rPr>
      </w:pPr>
      <w:r>
        <w:rPr>
          <w:rFonts w:ascii="Times New Roman;sans-serif" w:hAnsi="Times New Roman;sans-serif"/>
          <w:b w:val="false"/>
          <w:color w:val="0C0C0C"/>
          <w:sz w:val="22"/>
        </w:rPr>
        <w:t xml:space="preserve">9.Any dispute in the meaning, effect or validity of this Agreement shall be resolved in accordance with the laws of the State of California without regard to the conflict of laws provisions thereof I further agree that if one or more provisions of this Agreement are held to be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91" w:after="283"/>
        <w:jc w:val="both"/>
        <w:rPr>
          <w:rFonts w:ascii="Times New Roman;sans-serif" w:hAnsi="Times New Roman;sans-serif"/>
          <w:b w:val="false"/>
          <w:color w:val="0C0C0C"/>
          <w:sz w:val="22"/>
        </w:rPr>
      </w:pPr>
      <w:r>
        <w:rPr>
          <w:rFonts w:ascii="Times New Roman;sans-serif" w:hAnsi="Times New Roman;sans-serif"/>
          <w:b w:val="false"/>
          <w:color w:val="0C0C0C"/>
          <w:sz w:val="22"/>
        </w:rPr>
        <w:t>illegal or unenforceable under applicable California law, such illegal or unenforceable portion(s) shall be limited or excluded from this Agreement to the minimum extent required so that this Agreement shall otherwise remain in full force and effect and enforceable in accordance with its terms. This Agreement is fully assignable and transferable by Company, but any purported assignment or transfer by me is void. I also understand that any breach of this Agreement will cause irreparable harm to Company for which damages would not be an adequate remedy, and, therefore, Company will be entitled to injunctive relief with respect thereto in addition to any other remedies and without any requirement to post bond.</w:t>
      </w:r>
    </w:p>
    <w:p>
      <w:pPr>
        <w:pStyle w:val="TextBody"/>
        <w:bidi w:val="0"/>
        <w:spacing w:before="11" w:after="283"/>
        <w:jc w:val="left"/>
        <w:rPr/>
      </w:pPr>
      <w:r>
        <w:rPr/>
      </w:r>
    </w:p>
    <w:p>
      <w:pPr>
        <w:pStyle w:val="TextBody"/>
        <w:bidi w:val="0"/>
        <w:spacing w:lineRule="auto" w:line="292" w:before="0" w:after="0"/>
        <w:ind w:left="0" w:right="0" w:firstLine="1"/>
        <w:jc w:val="both"/>
        <w:rPr>
          <w:rFonts w:ascii="Times New Roman;sans-serif" w:hAnsi="Times New Roman;sans-serif"/>
          <w:b w:val="false"/>
          <w:color w:val="0C0C0C"/>
          <w:sz w:val="22"/>
        </w:rPr>
      </w:pPr>
      <w:r>
        <w:rPr>
          <w:rFonts w:ascii="Times New Roman;sans-serif" w:hAnsi="Times New Roman;sans-serif"/>
          <w:b w:val="false"/>
          <w:color w:val="0C0C0C"/>
          <w:sz w:val="22"/>
        </w:rPr>
        <w:t>NOTICE: This agreement does not affect any immunity under 18 USC Sections 1833(b) (1) or (2), which read as follows (note that for purposes of this statute only, individuals performing work as contractors or consultants are considered to be employees):</w:t>
      </w:r>
    </w:p>
    <w:p>
      <w:pPr>
        <w:pStyle w:val="TextBody"/>
        <w:bidi w:val="0"/>
        <w:spacing w:before="2" w:after="283"/>
        <w:jc w:val="left"/>
        <w:rPr/>
      </w:pPr>
      <w:r>
        <w:rPr/>
      </w:r>
    </w:p>
    <w:p>
      <w:pPr>
        <w:pStyle w:val="TextBody"/>
        <w:bidi w:val="0"/>
        <w:spacing w:lineRule="auto" w:line="292" w:before="0" w:after="0"/>
        <w:ind w:left="0" w:right="0" w:firstLine="3"/>
        <w:jc w:val="both"/>
        <w:rPr/>
      </w:pPr>
      <w:r>
        <w:rPr>
          <w:rFonts w:ascii="Times New Roman;sans-serif" w:hAnsi="Times New Roman;sans-serif"/>
          <w:b w:val="false"/>
          <w:color w:val="0C0C0C"/>
          <w:sz w:val="22"/>
        </w:rPr>
        <w:t xml:space="preserve">(1)An individual shall not be held criminally or civilly liable under any Federal or State trade secret law for the disclosure of a trade secret that (A) is made (i) in confidence to a Federal, State, or local government official, either directly or indirectly, or to an attorney; and </w:t>
      </w:r>
      <w:r>
        <w:rPr>
          <w:rFonts w:ascii="Times New Roman;sans-serif" w:hAnsi="Times New Roman;sans-serif"/>
          <w:b w:val="false"/>
          <w:color w:val="0C0C0C"/>
          <w:sz w:val="23"/>
        </w:rPr>
        <w:t xml:space="preserve">(ii) </w:t>
      </w:r>
      <w:r>
        <w:rPr>
          <w:rFonts w:ascii="Times New Roman;sans-serif" w:hAnsi="Times New Roman;sans-serif"/>
          <w:b w:val="false"/>
          <w:color w:val="0C0C0C"/>
          <w:sz w:val="22"/>
        </w:rPr>
        <w:t>solely for the purpose of reporting or investigating a suspected violation of law; or (B) is made in a complaint or other document filed in a lawsuit or other proceeding, if such filing is made under seal.</w:t>
      </w:r>
    </w:p>
    <w:p>
      <w:pPr>
        <w:pStyle w:val="TextBody"/>
        <w:bidi w:val="0"/>
        <w:spacing w:before="7" w:after="283"/>
        <w:jc w:val="left"/>
        <w:rPr/>
      </w:pPr>
      <w:r>
        <w:rPr/>
      </w:r>
    </w:p>
    <w:p>
      <w:pPr>
        <w:pStyle w:val="TextBody"/>
        <w:bidi w:val="0"/>
        <w:spacing w:lineRule="auto" w:line="295" w:before="0" w:after="0"/>
        <w:ind w:left="0" w:right="0" w:firstLine="7"/>
        <w:jc w:val="both"/>
        <w:rPr>
          <w:rFonts w:ascii="Times New Roman;sans-serif" w:hAnsi="Times New Roman;sans-serif"/>
          <w:b w:val="false"/>
          <w:color w:val="0C0C0C"/>
          <w:sz w:val="22"/>
        </w:rPr>
      </w:pPr>
      <w:r>
        <w:rPr>
          <w:rFonts w:ascii="Times New Roman;sans-serif" w:hAnsi="Times New Roman;sans-serif"/>
          <w:b w:val="false"/>
          <w:color w:val="0C0C0C"/>
          <w:sz w:val="22"/>
        </w:rPr>
        <w:t>(2)An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83"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6" w:before="275" w:after="283"/>
        <w:ind w:left="0" w:right="0" w:firstLine="1392"/>
        <w:jc w:val="both"/>
        <w:rPr>
          <w:rFonts w:ascii="Times New Roman;sans-serif" w:hAnsi="Times New Roman;sans-serif"/>
          <w:b/>
          <w:color w:val="0B0B0B"/>
          <w:sz w:val="24"/>
        </w:rPr>
      </w:pPr>
      <w:r>
        <w:rPr>
          <w:rFonts w:ascii="Times New Roman;sans-serif" w:hAnsi="Times New Roman;sans-serif"/>
          <w:b/>
          <w:color w:val="0B0B0B"/>
          <w:sz w:val="24"/>
        </w:rPr>
        <w:t>I HAVE READ TIDS AGREEMENT CAREFULLY AND I UNDERSTAND AND ACCEPT THE OBLIGATIONS WHICH IT IMPOSES UPON ME WITHOUT RESERVATION. NO PROMISES OR REPRESENTATIONS HAVE BEEN MADE TO ME TO INDUCE ME TO SIGN TIDS AGREEMENT. I SIGN TIDS AGREEMENT VOLUNTARILY AND FREELY, IN DUPLICATE, WITH THE UNDERSTANDING THAT THE COMPANY WILL RETAIN ONE COUNTERPART AND THE OTHER COUNTERPART WILL BE RETAINED BY ME.</w:t>
      </w:r>
    </w:p>
    <w:p>
      <w:pPr>
        <w:pStyle w:val="TextBody"/>
        <w:bidi w:val="0"/>
        <w:spacing w:before="146" w:after="283"/>
        <w:jc w:val="left"/>
        <w:rPr/>
      </w:pPr>
      <w:r>
        <w:rPr/>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 xml:space="preserve">Date: </w:t>
      </w:r>
      <w:r>
        <w:rPr>
          <w:rFonts w:ascii="Times New Roman;sans-serif" w:hAnsi="Times New Roman;sans-serif"/>
          <w:b w:val="false"/>
          <w:color w:val="000000"/>
          <w:sz w:val="22"/>
          <w:u w:val="single"/>
        </w:rPr>
        <w:t>April 17, 2020</w:t>
      </w:r>
      <w:r>
        <w:rPr>
          <w:color w:val="000000"/>
        </w:rPr>
        <w:t>            </w:t>
      </w:r>
      <w:r>
        <w:rPr>
          <w:rFonts w:ascii="Times New Roman;sans-serif" w:hAnsi="Times New Roman;sans-serif"/>
          <w:b w:val="false"/>
          <w:color w:val="000000"/>
          <w:sz w:val="22"/>
        </w:rPr>
        <w:t>Employee:</w:t>
      </w:r>
    </w:p>
    <w:p>
      <w:pPr>
        <w:pStyle w:val="TextBody"/>
        <w:bidi w:val="0"/>
        <w:spacing w:before="0" w:after="0"/>
        <w:jc w:val="left"/>
        <w:rPr/>
      </w:pPr>
      <w:r>
        <w:rPr/>
      </w:r>
    </w:p>
    <w:tbl>
      <w:tblPr>
        <w:tblW w:w="2697" w:type="dxa"/>
        <w:jc w:val="left"/>
        <w:tblInd w:w="0" w:type="dxa"/>
        <w:tblLayout w:type="fixed"/>
        <w:tblCellMar>
          <w:top w:w="28" w:type="dxa"/>
          <w:left w:w="28" w:type="dxa"/>
          <w:bottom w:w="28" w:type="dxa"/>
          <w:right w:w="28" w:type="dxa"/>
        </w:tblCellMar>
      </w:tblPr>
      <w:tblGrid>
        <w:gridCol w:w="842"/>
        <w:gridCol w:w="739"/>
        <w:gridCol w:w="744"/>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Leonard M Greenstein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Leonard M. Greenstein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(Printed)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Accepted and Agreed to:</w:t>
      </w:r>
    </w:p>
    <w:p>
      <w:pPr>
        <w:pStyle w:val="TextBody"/>
        <w:bidi w:val="0"/>
        <w:spacing w:before="0" w:after="0"/>
        <w:ind w:left="0" w:right="0" w:firstLine="720"/>
        <w:jc w:val="left"/>
        <w:rPr/>
      </w:pPr>
      <w:r>
        <w:rPr/>
      </w:r>
    </w:p>
    <w:tbl>
      <w:tblPr>
        <w:tblW w:w="3480" w:type="dxa"/>
        <w:jc w:val="left"/>
        <w:tblInd w:w="0" w:type="dxa"/>
        <w:tblLayout w:type="fixed"/>
        <w:tblCellMar>
          <w:top w:w="28" w:type="dxa"/>
          <w:left w:w="28" w:type="dxa"/>
          <w:bottom w:w="28" w:type="dxa"/>
          <w:right w:w="28" w:type="dxa"/>
        </w:tblCellMar>
      </w:tblPr>
      <w:tblGrid>
        <w:gridCol w:w="603"/>
        <w:gridCol w:w="531"/>
        <w:gridCol w:w="531"/>
        <w:gridCol w:w="531"/>
        <w:gridCol w:w="531"/>
        <w:gridCol w:w="753"/>
      </w:tblGrid>
      <w:tr>
        <w:trPr/>
        <w:tc>
          <w:tcPr>
            <w:tcW w:w="60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34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TARSUS PHARMACEUTICALS, INC.</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Bobby Azamian</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Bobby Azamian</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18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78"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23" w:after="283"/>
        <w:jc w:val="center"/>
        <w:rPr>
          <w:rFonts w:ascii="Times New Roman;sans-serif" w:hAnsi="Times New Roman;sans-serif"/>
          <w:b w:val="false"/>
          <w:color w:val="0A0A0A"/>
          <w:sz w:val="23"/>
        </w:rPr>
      </w:pPr>
      <w:r>
        <w:rPr>
          <w:rFonts w:ascii="Times New Roman;sans-serif" w:hAnsi="Times New Roman;sans-serif"/>
          <w:b w:val="false"/>
          <w:color w:val="0A0A0A"/>
          <w:sz w:val="23"/>
        </w:rPr>
        <w:t>APPENDIX A</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0" w:after="0"/>
        <w:ind w:left="0" w:right="0" w:firstLine="1384"/>
        <w:jc w:val="left"/>
        <w:rPr/>
      </w:pPr>
      <w:r>
        <w:rPr>
          <w:rFonts w:ascii="Times New Roman;sans-serif" w:hAnsi="Times New Roman;sans-serif"/>
          <w:b w:val="false"/>
          <w:color w:val="0A0A0A"/>
          <w:sz w:val="23"/>
        </w:rPr>
        <w:t xml:space="preserve">California Labor Code Section 2870. </w:t>
      </w:r>
      <w:r>
        <w:rPr>
          <w:rFonts w:ascii="Times New Roman;sans-serif" w:hAnsi="Times New Roman;sans-serif"/>
          <w:b/>
          <w:color w:val="0A0A0A"/>
          <w:sz w:val="22"/>
        </w:rPr>
        <w:t>Application of provision providing that employee shall assign or offer to assign rights in invention to employer.</w:t>
      </w:r>
    </w:p>
    <w:p>
      <w:pPr>
        <w:pStyle w:val="TextBody"/>
        <w:bidi w:val="0"/>
        <w:spacing w:before="1" w:after="283"/>
        <w:jc w:val="left"/>
        <w:rPr/>
      </w:pPr>
      <w:r>
        <w:rPr/>
      </w:r>
    </w:p>
    <w:p>
      <w:pPr>
        <w:pStyle w:val="TextBody"/>
        <w:bidi w:val="0"/>
        <w:spacing w:lineRule="auto" w:line="240" w:before="0" w:after="0"/>
        <w:ind w:left="0" w:right="0" w:firstLine="1383"/>
        <w:jc w:val="both"/>
        <w:rPr>
          <w:rFonts w:ascii="Times New Roman;sans-serif" w:hAnsi="Times New Roman;sans-serif"/>
          <w:b w:val="false"/>
          <w:color w:val="0A0A0A"/>
          <w:sz w:val="23"/>
        </w:rPr>
      </w:pPr>
      <w:r>
        <w:rPr>
          <w:rFonts w:ascii="Times New Roman;sans-serif" w:hAnsi="Times New Roman;sans-serif"/>
          <w:b w:val="false"/>
          <w:color w:val="0A0A0A"/>
          <w:sz w:val="23"/>
        </w:rPr>
        <w:t>(a)Any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pStyle w:val="TextBody"/>
        <w:bidi w:val="0"/>
        <w:spacing w:before="10" w:after="283"/>
        <w:jc w:val="left"/>
        <w:rPr/>
      </w:pPr>
      <w:r>
        <w:rPr/>
      </w:r>
    </w:p>
    <w:p>
      <w:pPr>
        <w:pStyle w:val="TextBody"/>
        <w:bidi w:val="0"/>
        <w:spacing w:lineRule="auto" w:line="240" w:before="0" w:after="0"/>
        <w:ind w:left="0" w:right="0" w:firstLine="2070"/>
        <w:jc w:val="both"/>
        <w:rPr>
          <w:rFonts w:ascii="Times New Roman;sans-serif" w:hAnsi="Times New Roman;sans-serif"/>
          <w:b w:val="false"/>
          <w:color w:val="0A0A0A"/>
          <w:sz w:val="23"/>
        </w:rPr>
      </w:pPr>
      <w:r>
        <w:rPr>
          <w:rFonts w:ascii="Times New Roman;sans-serif" w:hAnsi="Times New Roman;sans-serif"/>
          <w:b w:val="false"/>
          <w:color w:val="0A0A0A"/>
          <w:sz w:val="23"/>
        </w:rPr>
        <w:t>(1)Relate at the time of conception or reduction to practice of the invention to the employer's business, or actual or demonstrably anticipated research or development of the employer; or</w:t>
      </w:r>
    </w:p>
    <w:p>
      <w:pPr>
        <w:pStyle w:val="TextBody"/>
        <w:bidi w:val="0"/>
        <w:spacing w:before="10" w:after="283"/>
        <w:jc w:val="left"/>
        <w:rPr/>
      </w:pPr>
      <w:r>
        <w:rPr/>
      </w:r>
    </w:p>
    <w:p>
      <w:pPr>
        <w:pStyle w:val="TextBody"/>
        <w:bidi w:val="0"/>
        <w:spacing w:lineRule="auto" w:line="240" w:before="1" w:after="283"/>
        <w:ind w:left="0" w:right="0" w:hanging="698"/>
        <w:jc w:val="left"/>
        <w:rPr>
          <w:rFonts w:ascii="Times New Roman;sans-serif" w:hAnsi="Times New Roman;sans-serif"/>
          <w:b w:val="false"/>
          <w:color w:val="0A0A0A"/>
          <w:sz w:val="23"/>
        </w:rPr>
      </w:pPr>
      <w:r>
        <w:rPr>
          <w:rFonts w:ascii="Times New Roman;sans-serif" w:hAnsi="Times New Roman;sans-serif"/>
          <w:b w:val="false"/>
          <w:color w:val="0A0A0A"/>
          <w:sz w:val="23"/>
        </w:rPr>
        <w:t>(2)Result from any work performed by the employee for his employer.</w:t>
      </w:r>
    </w:p>
    <w:p>
      <w:pPr>
        <w:pStyle w:val="TextBody"/>
        <w:bidi w:val="0"/>
        <w:spacing w:lineRule="auto" w:line="280" w:before="230" w:after="283"/>
        <w:ind w:left="0" w:right="0" w:firstLine="1385"/>
        <w:jc w:val="both"/>
        <w:rPr>
          <w:rFonts w:ascii="Times New Roman;sans-serif" w:hAnsi="Times New Roman;sans-serif"/>
          <w:b w:val="false"/>
          <w:color w:val="0A0A0A"/>
          <w:sz w:val="23"/>
        </w:rPr>
      </w:pPr>
      <w:r>
        <w:rPr>
          <w:rFonts w:ascii="Times New Roman;sans-serif" w:hAnsi="Times New Roman;sans-serif"/>
          <w:b w:val="false"/>
          <w:color w:val="0A0A0A"/>
          <w:sz w:val="23"/>
        </w:rPr>
        <w:t>(b)To the extent a provision in an employment agreement purports to require an employee to assign an invention otherwise excluded from being required to be assigned under subdivision (a), the provision is against the public policy of this state and is unenforceable.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7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540" w:before="91" w:after="283"/>
        <w:ind w:left="0" w:right="0" w:hanging="1"/>
        <w:jc w:val="center"/>
        <w:rPr>
          <w:rFonts w:ascii="Times New Roman;sans-serif" w:hAnsi="Times New Roman;sans-serif"/>
          <w:b/>
          <w:color w:val="000000"/>
          <w:sz w:val="22"/>
        </w:rPr>
      </w:pPr>
      <w:r>
        <w:rPr>
          <w:rFonts w:ascii="Times New Roman;sans-serif" w:hAnsi="Times New Roman;sans-serif"/>
          <w:b/>
          <w:color w:val="000000"/>
          <w:sz w:val="22"/>
        </w:rPr>
        <w:t>EXHIBIT B SECOND RELEASE</w:t>
      </w:r>
    </w:p>
    <w:p>
      <w:pPr>
        <w:pStyle w:val="TextBody"/>
        <w:bidi w:val="0"/>
        <w:spacing w:before="4"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This General Release of All Claims and Covenant Not to Sue (the “</w:t>
      </w:r>
      <w:r>
        <w:rPr>
          <w:rFonts w:ascii="Times New Roman;sans-serif" w:hAnsi="Times New Roman;sans-serif"/>
          <w:b/>
          <w:i/>
          <w:color w:val="000000"/>
          <w:sz w:val="22"/>
        </w:rPr>
        <w:t>Second Release</w:t>
      </w:r>
      <w:r>
        <w:rPr>
          <w:color w:val="000000"/>
        </w:rPr>
        <w:t>”</w:t>
      </w:r>
      <w:r>
        <w:rPr>
          <w:rFonts w:ascii="Times New Roman;sans-serif" w:hAnsi="Times New Roman;sans-serif"/>
          <w:b w:val="false"/>
          <w:color w:val="000000"/>
          <w:sz w:val="22"/>
        </w:rPr>
        <w:t>) is entered into between [NAME] (“</w:t>
      </w:r>
      <w:r>
        <w:rPr>
          <w:rFonts w:ascii="Times New Roman;sans-serif" w:hAnsi="Times New Roman;sans-serif"/>
          <w:b/>
          <w:i/>
          <w:color w:val="000000"/>
          <w:sz w:val="22"/>
        </w:rPr>
        <w:t>Employee</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i/>
          <w:color w:val="000000"/>
          <w:sz w:val="22"/>
        </w:rPr>
        <w:t>You</w:t>
      </w:r>
      <w:r>
        <w:rPr>
          <w:color w:val="000000"/>
        </w:rPr>
        <w:t>”</w:t>
      </w:r>
      <w:r>
        <w:rPr>
          <w:rFonts w:ascii="Times New Roman;sans-serif" w:hAnsi="Times New Roman;sans-serif"/>
          <w:b w:val="false"/>
          <w:color w:val="000000"/>
          <w:sz w:val="22"/>
        </w:rPr>
        <w:t>) and Tarsus Pharmaceuticals,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(collectively, “</w:t>
      </w:r>
      <w:r>
        <w:rPr>
          <w:rFonts w:ascii="Times New Roman;sans-serif" w:hAnsi="Times New Roman;sans-serif"/>
          <w:b/>
          <w:i/>
          <w:color w:val="000000"/>
          <w:sz w:val="22"/>
        </w:rPr>
        <w:t>the parties</w:t>
      </w:r>
      <w:r>
        <w:rPr>
          <w:color w:val="000000"/>
        </w:rPr>
        <w:t>”</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Employee (You) and the Company previously entered into an agreement regarding your separation from employment with the Company (the “</w:t>
      </w:r>
      <w:r>
        <w:rPr>
          <w:rFonts w:ascii="Times New Roman;sans-serif" w:hAnsi="Times New Roman;sans-serif"/>
          <w:b/>
          <w:i/>
          <w:color w:val="000000"/>
          <w:sz w:val="22"/>
        </w:rPr>
        <w:t>Separation Agreement</w:t>
      </w:r>
      <w:r>
        <w:rPr>
          <w:rFonts w:ascii="Times New Roman;sans-serif" w:hAnsi="Times New Roman;sans-serif"/>
          <w:b w:val="false"/>
          <w:color w:val="000000"/>
          <w:sz w:val="22"/>
        </w:rPr>
        <w:t>,” to which this Second Release is attached as Exhibit B). Your employment with the Company terminated on June 15, 2023 (the “</w:t>
      </w:r>
      <w:r>
        <w:rPr>
          <w:rFonts w:ascii="Times New Roman;sans-serif" w:hAnsi="Times New Roman;sans-serif"/>
          <w:b/>
          <w:i/>
          <w:color w:val="000000"/>
          <w:sz w:val="22"/>
        </w:rPr>
        <w:t>Separation Date</w:t>
      </w:r>
      <w:r>
        <w:rPr>
          <w:color w:val="000000"/>
        </w:rPr>
        <w:t>”</w:t>
      </w:r>
      <w:r>
        <w:rPr>
          <w:rFonts w:ascii="Times New Roman;sans-serif" w:hAnsi="Times New Roman;sans-serif"/>
          <w:b w:val="false"/>
          <w:color w:val="000000"/>
          <w:sz w:val="22"/>
        </w:rPr>
        <w:t>); the Company has determined that you cooperatively and diligently provided the Garden Leave Services (as defined in the Separation Agreement); this agreement serves as the Second Release, pursuant to the Separation Agreement; and you and the Company desire to mutually, amicably and finally resolve and compromise all issues and claims surrounding your employment and separation from employment with the Company;</w:t>
      </w:r>
    </w:p>
    <w:p>
      <w:pPr>
        <w:pStyle w:val="TextBody"/>
        <w:bidi w:val="0"/>
        <w:spacing w:before="7"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for the mutual promises and undertakings of the parties as set forth below, you and the Company hereby enter into this Second Release. All other terms of the Separation Agreement, to the extent not inconsistent with the terms of this Second Release, are hereby incorporated as though fully stated herein and apply with equal force to this Second Release.</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Acknowledgment of Payment of Wages</w:t>
      </w:r>
      <w:r>
        <w:rPr>
          <w:rFonts w:ascii="Times New Roman;sans-serif" w:hAnsi="Times New Roman;sans-serif"/>
          <w:b w:val="false"/>
          <w:color w:val="000000"/>
          <w:sz w:val="22"/>
        </w:rPr>
        <w:t>: By signature below, you acknowledge that, on the Separation Date, the Company paid you for all wages, salary, accrued vacation, bonuses, commissions, reimbursable expenses previously submitted by you, and any similar payments due you from the Company as of the Separation Date. By signing below, you acknowledge that the Company does not owe you any other amounts, except as may become payable under the Separation Agreement and this Second Release.</w:t>
      </w:r>
    </w:p>
    <w:p>
      <w:pPr>
        <w:pStyle w:val="TextBody"/>
        <w:bidi w:val="0"/>
        <w:spacing w:before="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Return of Company Property</w:t>
      </w:r>
      <w:r>
        <w:rPr>
          <w:rFonts w:ascii="Times New Roman;sans-serif" w:hAnsi="Times New Roman;sans-serif"/>
          <w:b w:val="false"/>
          <w:color w:val="000000"/>
          <w:sz w:val="22"/>
        </w:rPr>
        <w:t>: You hereby warrant to the Company that you have returned to the Company all property or data of the Company of any type whatsoever that has been in your possession, custody or control.</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3.</w:t>
      </w:r>
      <w:r>
        <w:rPr>
          <w:rFonts w:ascii="Times New Roman;sans-serif" w:hAnsi="Times New Roman;sans-serif"/>
          <w:b w:val="false"/>
          <w:color w:val="000000"/>
          <w:sz w:val="22"/>
          <w:u w:val="single"/>
        </w:rPr>
        <w:t>Consideration; Continuation of Severance Benefits</w:t>
      </w:r>
      <w:r>
        <w:rPr>
          <w:rFonts w:ascii="Times New Roman;sans-serif" w:hAnsi="Times New Roman;sans-serif"/>
          <w:b w:val="false"/>
          <w:color w:val="000000"/>
          <w:sz w:val="22"/>
        </w:rPr>
        <w:t>: As consideration for signing this Second Release, the Company will continue paying Severance Benefits beyond your Separation Date, as specified in the Separation Agreement.</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10000"/>
          <w:sz w:val="22"/>
        </w:rPr>
        <w:t>4.</w:t>
      </w:r>
      <w:r>
        <w:rPr>
          <w:rFonts w:ascii="Times New Roman;sans-serif" w:hAnsi="Times New Roman;sans-serif"/>
          <w:b w:val="false"/>
          <w:color w:val="000000"/>
          <w:sz w:val="22"/>
          <w:u w:val="single"/>
        </w:rPr>
        <w:t>Employee Representations</w:t>
      </w:r>
      <w:r>
        <w:rPr>
          <w:rFonts w:ascii="Times New Roman;sans-serif" w:hAnsi="Times New Roman;sans-serif"/>
          <w:b w:val="false"/>
          <w:color w:val="000000"/>
          <w:sz w:val="22"/>
        </w:rPr>
        <w:t>: You again acknowledge that the Company relies on the following representations by you entering into this Second Release:</w:t>
      </w:r>
    </w:p>
    <w:p>
      <w:pPr>
        <w:pStyle w:val="TextBody"/>
        <w:bidi w:val="0"/>
        <w:spacing w:before="9" w:after="283"/>
        <w:jc w:val="left"/>
        <w:rPr/>
      </w:pPr>
      <w:r>
        <w:rPr/>
      </w:r>
    </w:p>
    <w:p>
      <w:pPr>
        <w:pStyle w:val="TextBody"/>
        <w:bidi w:val="0"/>
        <w:spacing w:lineRule="auto" w:line="268" w:before="0" w:after="0"/>
        <w:ind w:left="0" w:right="0" w:firstLine="1440"/>
        <w:jc w:val="both"/>
        <w:rPr/>
      </w:pPr>
      <w:r>
        <w:rPr>
          <w:rFonts w:ascii="Arial;sans-serif" w:hAnsi="Arial;sans-serif"/>
          <w:b w:val="false"/>
          <w:color w:val="010000"/>
          <w:sz w:val="22"/>
        </w:rPr>
        <w:t>a.</w:t>
      </w:r>
      <w:r>
        <w:rPr>
          <w:rFonts w:ascii="Times New Roman;sans-serif" w:hAnsi="Times New Roman;sans-serif"/>
          <w:b w:val="false"/>
          <w:color w:val="000000"/>
          <w:sz w:val="22"/>
        </w:rPr>
        <w:t>You do not have any claim against the Company or the Releasees, or otherwise have not made internal, administrative, or judicial complaints, claims, or actions against or regarding the Company or the Releasees, for claims you are releasing in this Agreement;</w:t>
      </w:r>
    </w:p>
    <w:p>
      <w:pPr>
        <w:pStyle w:val="TextBody"/>
        <w:bidi w:val="0"/>
        <w:spacing w:before="0" w:after="0"/>
        <w:ind w:left="0" w:right="0" w:firstLine="1800"/>
        <w:jc w:val="left"/>
        <w:rPr/>
      </w:pPr>
      <w:r>
        <w:rPr/>
      </w:r>
    </w:p>
    <w:p>
      <w:pPr>
        <w:pStyle w:val="TextBody"/>
        <w:bidi w:val="0"/>
        <w:spacing w:lineRule="auto" w:line="268" w:before="0" w:after="0"/>
        <w:ind w:left="0" w:right="0" w:firstLine="1440"/>
        <w:jc w:val="both"/>
        <w:rPr/>
      </w:pPr>
      <w:r>
        <w:rPr>
          <w:rFonts w:ascii="Arial;sans-serif" w:hAnsi="Arial;sans-serif"/>
          <w:b w:val="false"/>
          <w:color w:val="000000"/>
          <w:sz w:val="22"/>
        </w:rPr>
        <w:t>b.</w:t>
      </w:r>
      <w:r>
        <w:rPr>
          <w:rFonts w:ascii="Times New Roman;sans-serif" w:hAnsi="Times New Roman;sans-serif"/>
          <w:b w:val="false"/>
          <w:color w:val="000000"/>
          <w:sz w:val="22"/>
        </w:rPr>
        <w:t>You have reported to the Company any work-related injuries or occupational illnesses sustained by you during your employment with the Company;</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Arial;sans-serif" w:hAnsi="Arial;sans-serif"/>
          <w:b w:val="false"/>
          <w:color w:val="000000"/>
          <w:sz w:val="22"/>
        </w:rPr>
        <w:t>c.</w:t>
      </w:r>
      <w:r>
        <w:rPr>
          <w:rFonts w:ascii="Times New Roman;sans-serif" w:hAnsi="Times New Roman;sans-serif"/>
          <w:b w:val="false"/>
          <w:color w:val="000000"/>
          <w:sz w:val="22"/>
        </w:rPr>
        <w:t>You</w:t>
      </w:r>
      <w:r>
        <w:rPr>
          <w:color w:val="000000"/>
        </w:rPr>
        <w:t xml:space="preserve"> </w:t>
      </w:r>
      <w:r>
        <w:rPr>
          <w:rFonts w:ascii="Times New Roman;sans-serif" w:hAnsi="Times New Roman;sans-serif"/>
          <w:b w:val="false"/>
          <w:color w:val="000000"/>
          <w:sz w:val="22"/>
        </w:rPr>
        <w:t>have</w:t>
      </w:r>
      <w:r>
        <w:rPr>
          <w:color w:val="000000"/>
        </w:rPr>
        <w:t xml:space="preserve"> </w:t>
      </w:r>
      <w:r>
        <w:rPr>
          <w:rFonts w:ascii="Times New Roman;sans-serif" w:hAnsi="Times New Roman;sans-serif"/>
          <w:b w:val="false"/>
          <w:color w:val="000000"/>
          <w:sz w:val="22"/>
        </w:rPr>
        <w:t>been</w:t>
      </w:r>
      <w:r>
        <w:rPr>
          <w:color w:val="000000"/>
        </w:rPr>
        <w:t xml:space="preserve"> </w:t>
      </w:r>
      <w:r>
        <w:rPr>
          <w:rFonts w:ascii="Times New Roman;sans-serif" w:hAnsi="Times New Roman;sans-serif"/>
          <w:b w:val="false"/>
          <w:color w:val="000000"/>
          <w:sz w:val="22"/>
        </w:rPr>
        <w:t>properly</w:t>
      </w:r>
      <w:r>
        <w:rPr>
          <w:color w:val="000000"/>
        </w:rPr>
        <w:t xml:space="preserve"> </w:t>
      </w:r>
      <w:r>
        <w:rPr>
          <w:rFonts w:ascii="Times New Roman;sans-serif" w:hAnsi="Times New Roman;sans-serif"/>
          <w:b w:val="false"/>
          <w:color w:val="000000"/>
          <w:sz w:val="22"/>
        </w:rPr>
        <w:t>provided</w:t>
      </w:r>
      <w:r>
        <w:rPr>
          <w:color w:val="000000"/>
        </w:rPr>
        <w:t xml:space="preserve"> </w:t>
      </w:r>
      <w:r>
        <w:rPr>
          <w:rFonts w:ascii="Times New Roman;sans-serif" w:hAnsi="Times New Roman;sans-serif"/>
          <w:b w:val="false"/>
          <w:color w:val="000000"/>
          <w:sz w:val="22"/>
        </w:rPr>
        <w:t>any</w:t>
      </w:r>
      <w:r>
        <w:rPr>
          <w:color w:val="000000"/>
        </w:rPr>
        <w:t xml:space="preserve"> </w:t>
      </w:r>
      <w:r>
        <w:rPr>
          <w:rFonts w:ascii="Times New Roman;sans-serif" w:hAnsi="Times New Roman;sans-serif"/>
          <w:b w:val="false"/>
          <w:color w:val="000000"/>
          <w:sz w:val="22"/>
        </w:rPr>
        <w:t>leaves</w:t>
      </w:r>
      <w:r>
        <w:rPr>
          <w:color w:val="000000"/>
        </w:rPr>
        <w:t xml:space="preserve"> </w:t>
      </w:r>
      <w:r>
        <w:rPr>
          <w:rFonts w:ascii="Times New Roman;sans-serif" w:hAnsi="Times New Roman;sans-serif"/>
          <w:b w:val="false"/>
          <w:color w:val="000000"/>
          <w:sz w:val="22"/>
        </w:rPr>
        <w:t>of</w:t>
      </w:r>
      <w:r>
        <w:rPr>
          <w:color w:val="000000"/>
        </w:rPr>
        <w:t xml:space="preserve"> </w:t>
      </w:r>
      <w:r>
        <w:rPr>
          <w:rFonts w:ascii="Times New Roman;sans-serif" w:hAnsi="Times New Roman;sans-serif"/>
          <w:b w:val="false"/>
          <w:color w:val="000000"/>
          <w:sz w:val="22"/>
        </w:rPr>
        <w:t>absence</w:t>
      </w:r>
      <w:r>
        <w:rPr>
          <w:color w:val="000000"/>
        </w:rPr>
        <w:t xml:space="preserve"> </w:t>
      </w:r>
      <w:r>
        <w:rPr>
          <w:rFonts w:ascii="Times New Roman;sans-serif" w:hAnsi="Times New Roman;sans-serif"/>
          <w:b w:val="false"/>
          <w:color w:val="000000"/>
          <w:sz w:val="22"/>
        </w:rPr>
        <w:t>requested</w:t>
      </w:r>
      <w:r>
        <w:rPr>
          <w:color w:val="000000"/>
        </w:rPr>
        <w:t xml:space="preserve"> </w:t>
      </w:r>
      <w:r>
        <w:rPr>
          <w:rFonts w:ascii="Times New Roman;sans-serif" w:hAnsi="Times New Roman;sans-serif"/>
          <w:b w:val="false"/>
          <w:color w:val="000000"/>
          <w:sz w:val="22"/>
        </w:rPr>
        <w:t>and</w:t>
      </w:r>
      <w:r>
        <w:rPr>
          <w:color w:val="000000"/>
        </w:rPr>
        <w:t xml:space="preserve"> </w:t>
      </w:r>
      <w:r>
        <w:rPr>
          <w:rFonts w:ascii="Times New Roman;sans-serif" w:hAnsi="Times New Roman;sans-serif"/>
          <w:b w:val="false"/>
          <w:color w:val="000000"/>
          <w:sz w:val="22"/>
        </w:rPr>
        <w:t>available</w:t>
      </w:r>
      <w:r>
        <w:rPr>
          <w:color w:val="000000"/>
        </w:rPr>
        <w:t xml:space="preserve"> </w:t>
      </w:r>
      <w:r>
        <w:rPr>
          <w:rFonts w:ascii="Times New Roman;sans-serif" w:hAnsi="Times New Roman;sans-serif"/>
          <w:b w:val="false"/>
          <w:color w:val="000000"/>
          <w:sz w:val="22"/>
        </w:rPr>
        <w:t>to you based on your or your family members’ health or medical condition or military service, and have not been subjected to any improper treatment, conduct, or actions due to a request for or taking such leave;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40" w:before="91" w:after="283"/>
        <w:ind w:left="0" w:right="0" w:firstLine="1440"/>
        <w:jc w:val="both"/>
        <w:rPr/>
      </w:pPr>
      <w:r>
        <w:rPr>
          <w:rFonts w:ascii="Times New Roman;sans-serif" w:hAnsi="Times New Roman;sans-serif"/>
          <w:b w:val="false"/>
          <w:color w:val="010000"/>
          <w:sz w:val="22"/>
        </w:rPr>
        <w:t>d.</w:t>
      </w:r>
      <w:r>
        <w:rPr>
          <w:rFonts w:ascii="Times New Roman;sans-serif" w:hAnsi="Times New Roman;sans-serif"/>
          <w:b w:val="false"/>
          <w:color w:val="000000"/>
          <w:sz w:val="22"/>
        </w:rPr>
        <w:t>With receipt of your Final Pay, you have received all compensation due because of services you performed for the Company;</w: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e.</w:t>
      </w:r>
      <w:r>
        <w:rPr>
          <w:color w:val="000000"/>
        </w:rPr>
        <w:t xml:space="preserve"> </w:t>
      </w:r>
      <w:r>
        <w:rPr>
          <w:rFonts w:ascii="Times New Roman;sans-serif" w:hAnsi="Times New Roman;sans-serif"/>
          <w:b w:val="false"/>
          <w:color w:val="000000"/>
          <w:sz w:val="22"/>
        </w:rPr>
        <w:t>You have been properly provided paid time off and, consistent with the Company’s non-accrual vacation policy, you will not have any accrued but unused vacation time or paid time off as of the Separation Date for which you are entitled to payment; and</w:t>
      </w:r>
    </w:p>
    <w:p>
      <w:pPr>
        <w:pStyle w:val="TextBody"/>
        <w:bidi w:val="0"/>
        <w:spacing w:before="0" w:after="0"/>
        <w:ind w:left="0" w:right="0" w:firstLine="7"/>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f.</w:t>
      </w:r>
      <w:r>
        <w:rPr>
          <w:color w:val="000000"/>
        </w:rPr>
        <w:t xml:space="preserve"> </w:t>
      </w:r>
      <w:r>
        <w:rPr>
          <w:rFonts w:ascii="Times New Roman;sans-serif" w:hAnsi="Times New Roman;sans-serif"/>
          <w:b w:val="false"/>
          <w:color w:val="000000"/>
          <w:sz w:val="22"/>
        </w:rPr>
        <w:t>You are not aware of any conduct by any person that violates Company policy or the Company’s legal, compliance, or regulatory obligations, or any other suspected ethical or compliance issues by the Company or the other Releasees that you have not brought to the attention of the Company.</w:t>
      </w:r>
    </w:p>
    <w:p>
      <w:pPr>
        <w:pStyle w:val="TextBody"/>
        <w:bidi w:val="0"/>
        <w:spacing w:before="9" w:after="283"/>
        <w:jc w:val="left"/>
        <w:rPr/>
      </w:pPr>
      <w:r>
        <w:rPr/>
      </w:r>
    </w:p>
    <w:p>
      <w:pPr>
        <w:pStyle w:val="TextBody"/>
        <w:bidi w:val="0"/>
        <w:spacing w:lineRule="auto" w:line="240" w:before="1" w:after="283"/>
        <w:ind w:left="0" w:right="0" w:firstLine="144"/>
        <w:jc w:val="both"/>
        <w:rPr/>
      </w:pPr>
      <w:r>
        <w:rPr>
          <w:rFonts w:ascii="Times New Roman;sans-serif" w:hAnsi="Times New Roman;sans-serif"/>
          <w:b w:val="false"/>
          <w:color w:val="010000"/>
          <w:sz w:val="22"/>
        </w:rPr>
        <w:t>5.</w:t>
      </w:r>
      <w:r>
        <w:rPr>
          <w:rFonts w:ascii="Times New Roman;sans-serif" w:hAnsi="Times New Roman;sans-serif"/>
          <w:b w:val="false"/>
          <w:color w:val="000000"/>
          <w:sz w:val="22"/>
          <w:u w:val="single"/>
        </w:rPr>
        <w:t>General Release and Waiver of Claims by You</w:t>
      </w:r>
      <w:r>
        <w:rPr>
          <w:rFonts w:ascii="Times New Roman;sans-serif" w:hAnsi="Times New Roman;sans-serif"/>
          <w:b w:val="false"/>
          <w:color w:val="000000"/>
          <w:sz w:val="22"/>
        </w:rPr>
        <w:t>: To the fullest extent permitted by law, you on behalf of yourself, your heirs, family members, executors, estates, agents and assigns, or any controlled affiliate and any trust or other entity of which you or your heirs, estates or family directly or indirectly hold a majority beneficial interest, fully, finally, and forever release and discharge the Company and its owners, agents, officers, shareholders, employees, directors, attorneys, subscribers, subsidiaries, affiliates, successors, investors, and assigns (collectively “</w:t>
      </w:r>
      <w:r>
        <w:rPr>
          <w:rFonts w:ascii="Times New Roman;sans-serif" w:hAnsi="Times New Roman;sans-serif"/>
          <w:b/>
          <w:i/>
          <w:color w:val="000000"/>
          <w:sz w:val="22"/>
        </w:rPr>
        <w:t>Releasees</w:t>
      </w:r>
      <w:r>
        <w:rPr>
          <w:color w:val="000000"/>
        </w:rPr>
        <w:t>”</w:t>
      </w:r>
      <w:r>
        <w:rPr>
          <w:rFonts w:ascii="Times New Roman;sans-serif" w:hAnsi="Times New Roman;sans-serif"/>
          <w:b w:val="false"/>
          <w:color w:val="000000"/>
          <w:sz w:val="22"/>
        </w:rPr>
        <w:t>) of and from all claims and potential claims that may legally be waived by private agreement, whether known or unknown, which you have asserted or could assert against the Company arising out of or relating in any way to acts, circumstances, facts, transactions, or omissions based on facts occurring up to and including the date you sign this Agreement (the “</w:t>
      </w:r>
      <w:r>
        <w:rPr>
          <w:rFonts w:ascii="Times New Roman;sans-serif" w:hAnsi="Times New Roman;sans-serif"/>
          <w:b/>
          <w:i/>
          <w:color w:val="000000"/>
          <w:sz w:val="22"/>
        </w:rPr>
        <w:t>Released Claims</w:t>
      </w:r>
      <w:r>
        <w:rPr>
          <w:color w:val="000000"/>
        </w:rPr>
        <w:t>”</w:t>
      </w:r>
      <w:r>
        <w:rPr>
          <w:rFonts w:ascii="Times New Roman;sans-serif" w:hAnsi="Times New Roman;sans-serif"/>
          <w:b w:val="false"/>
          <w:color w:val="000000"/>
          <w:sz w:val="22"/>
        </w:rPr>
        <w:t>). The Released Claims specifically include but are not limited to: claims under common law or equity; claims for additional compensation or benefits arising out of your employment or your separation from employment; wage and hour claims; unlawful discharge; breach of contract; breach of the covenant of good faith and fair dealing; fraud; violation of public policy; defamation; physical injury; emotional distress; negligence; claims under Title VII of the 1964 Civil Rights Act; the Age Discrimination in Employment Act (“</w:t>
      </w:r>
      <w:r>
        <w:rPr>
          <w:rFonts w:ascii="Times New Roman;sans-serif" w:hAnsi="Times New Roman;sans-serif"/>
          <w:b/>
          <w:i/>
          <w:color w:val="000000"/>
          <w:sz w:val="22"/>
        </w:rPr>
        <w:t>ADEA</w:t>
      </w:r>
      <w:r>
        <w:rPr>
          <w:color w:val="000000"/>
        </w:rPr>
        <w:t>”</w:t>
      </w:r>
      <w:r>
        <w:rPr>
          <w:rFonts w:ascii="Times New Roman;sans-serif" w:hAnsi="Times New Roman;sans-serif"/>
          <w:b w:val="false"/>
          <w:color w:val="000000"/>
          <w:sz w:val="22"/>
        </w:rPr>
        <w:t>); Older Workers Benefit Protection Act (“</w:t>
      </w:r>
      <w:r>
        <w:rPr>
          <w:rFonts w:ascii="Times New Roman;sans-serif" w:hAnsi="Times New Roman;sans-serif"/>
          <w:b/>
          <w:i/>
          <w:color w:val="000000"/>
          <w:sz w:val="22"/>
        </w:rPr>
        <w:t>OWBPA</w:t>
      </w:r>
      <w:r>
        <w:rPr>
          <w:color w:val="000000"/>
        </w:rPr>
        <w:t>”</w:t>
      </w:r>
      <w:r>
        <w:rPr>
          <w:rFonts w:ascii="Times New Roman;sans-serif" w:hAnsi="Times New Roman;sans-serif"/>
          <w:b w:val="false"/>
          <w:color w:val="000000"/>
          <w:sz w:val="22"/>
        </w:rPr>
        <w:t>); the Employee Retirement Income Security Act of 1974 (“</w:t>
      </w:r>
      <w:r>
        <w:rPr>
          <w:rFonts w:ascii="Times New Roman;sans-serif" w:hAnsi="Times New Roman;sans-serif"/>
          <w:b/>
          <w:i/>
          <w:color w:val="000000"/>
          <w:sz w:val="22"/>
        </w:rPr>
        <w:t>ERISA</w:t>
      </w:r>
      <w:r>
        <w:rPr>
          <w:color w:val="000000"/>
        </w:rPr>
        <w:t>”</w:t>
      </w:r>
      <w:r>
        <w:rPr>
          <w:rFonts w:ascii="Times New Roman;sans-serif" w:hAnsi="Times New Roman;sans-serif"/>
          <w:b w:val="false"/>
          <w:color w:val="000000"/>
          <w:sz w:val="22"/>
        </w:rPr>
        <w:t>); the Americans with Disabilities Act; the Workers Adjustment and Retraining Notification Act; the Equal Pay Act; the Family Medical Leave Act; the Civil Rights Act of 1866; the Pregnancy Discrimination Act; under the California Fair Employment and Housing Act, or the California Labor Code, and any other federal, state, or local laws, constitution, rule, ordinance, order, and/or regulations, including their amendments and respective implementing regulations.</w:t>
      </w:r>
    </w:p>
    <w:p>
      <w:pPr>
        <w:pStyle w:val="TextBody"/>
        <w:bidi w:val="0"/>
        <w:spacing w:before="9"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5a. </w:t>
      </w:r>
      <w:r>
        <w:rPr>
          <w:rFonts w:ascii="Times New Roman;sans-serif" w:hAnsi="Times New Roman;sans-serif"/>
          <w:b w:val="false"/>
          <w:color w:val="000000"/>
          <w:sz w:val="22"/>
          <w:u w:val="single"/>
        </w:rPr>
        <w:t>General Release and Waiver of Claims by the Company</w:t>
      </w:r>
      <w:r>
        <w:rPr>
          <w:rFonts w:ascii="Times New Roman;sans-serif" w:hAnsi="Times New Roman;sans-serif"/>
          <w:b w:val="false"/>
          <w:color w:val="000000"/>
          <w:sz w:val="22"/>
        </w:rPr>
        <w:t>: The Company agrees to, with respect solely and only to conduct that has arisen on, or prior to, the date this Agreement is executed, fully and forever release, relieve, waive, relinquish, and discharge you from all actions, causes of action, suits, claims and demands of any kind whatsoever, at law or in equity, which the Company had, now has or hereafter can, shall or may have against you, arising out of, by reason of, or relating in any way whatsoever to any matter, cause or thing from the beginning of your employment with the Company through the date you sign this Agreement, including but not limited to claims arising directly or indirectly from your employment with the Company, and/or the termination of that employment, claims arising directly or indirectly from the actions or inaction of you, and claims under any federal, state or local laws, statutes, constitutions, regulations, rules, ordinances or orders, provided, however, that this release of claims excludes any acts or omissions which involve criminal activity, fraud, or embezzlement by you. This release is limited solely and only to claims that have arisen prior to, the date this Agreement is executed and transmitted to you and it does not release or discharge any claims that may occur after that date.</w:t>
      </w:r>
    </w:p>
    <w:p>
      <w:pPr>
        <w:pStyle w:val="TextBody"/>
        <w:bidi w:val="0"/>
        <w:spacing w:before="3" w:after="283"/>
        <w:jc w:val="left"/>
        <w:rPr/>
      </w:pPr>
      <w:r>
        <w:rPr/>
      </w:r>
    </w:p>
    <w:p>
      <w:pPr>
        <w:pStyle w:val="TextBody"/>
        <w:bidi w:val="0"/>
        <w:spacing w:lineRule="auto" w:line="316"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By signing below, the Parties expressly waive any benefits of Section 1542 of the Civil Code of the State of California, which provides: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319"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2"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6.</w:t>
      </w:r>
      <w:r>
        <w:rPr>
          <w:rFonts w:ascii="Times New Roman;sans-serif" w:hAnsi="Times New Roman;sans-serif"/>
          <w:b w:val="false"/>
          <w:color w:val="000000"/>
          <w:sz w:val="22"/>
          <w:u w:val="single"/>
        </w:rPr>
        <w:t>Covenant Not to Sue</w:t>
      </w:r>
      <w:r>
        <w:rPr>
          <w:rFonts w:ascii="Times New Roman;sans-serif" w:hAnsi="Times New Roman;sans-serif"/>
          <w:b w:val="false"/>
          <w:color w:val="000000"/>
          <w:sz w:val="22"/>
        </w:rPr>
        <w:t>: To the fullest extent permitted by law, at no time after you sign this Second Release will you pursue, or cause or knowingly permit the prosecution, in any state, federal or foreign court, or before any local, state, federal or foreign administrative agency, or any other tribunal, of any charge, claim or action of any kind, nature and character whatsoever, known or unknown, which you may now have, have ever had, or may in the future have against Releasees, which is based in whole or in part on any matter released by this Agreement. If approached by anyone for counsel or assistance in the presentation or prosecution of any disputes, differences, grievances, claims, charges, or complaints against any of the Releasees, you shall do no more than state that you cannot provide counsel or assistance. Nothing in this paragraph shall prohibit or impair you or the Company from complying with all applicable laws, nor shall this Agreement be construed to obligate either party to commit (or aid or abet in the commission of) any unlawful act.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10000"/>
          <w:sz w:val="22"/>
        </w:rPr>
        <w:t>7.</w:t>
      </w:r>
      <w:r>
        <w:rPr>
          <w:rFonts w:ascii="Times New Roman;sans-serif" w:hAnsi="Times New Roman;sans-serif"/>
          <w:b w:val="false"/>
          <w:color w:val="000000"/>
          <w:sz w:val="22"/>
          <w:u w:val="single"/>
        </w:rPr>
        <w:t>Review of Second Release; Expiration of Offer:</w:t>
      </w:r>
      <w:r>
        <w:rPr>
          <w:color w:val="000000"/>
        </w:rPr>
        <w:t xml:space="preserve"> </w:t>
      </w:r>
      <w:r>
        <w:rPr>
          <w:rFonts w:ascii="Times New Roman;sans-serif" w:hAnsi="Times New Roman;sans-serif"/>
          <w:b w:val="false"/>
          <w:color w:val="000000"/>
          <w:sz w:val="22"/>
        </w:rPr>
        <w:t>You understand that, for this Second Release to become effective, you must sign it between June 15-18, 2023 and then return it via email to [*]</w:t>
      </w:r>
      <w:r>
        <w:rPr>
          <w:color w:val="0000FF"/>
        </w:rPr>
        <w:t xml:space="preserve"> </w:t>
      </w:r>
      <w:r>
        <w:rPr>
          <w:rFonts w:ascii="Times New Roman;sans-serif" w:hAnsi="Times New Roman;sans-serif"/>
          <w:b w:val="false"/>
          <w:color w:val="000000"/>
          <w:sz w:val="22"/>
        </w:rPr>
        <w:t>by no later than June 18, 2023 (the “Effective Date”). By signing below, you affirm that you have had more than twenty-one (21) days to consider this Second Release and that you were advised to consult with an attorney prior to signing this agreement.</w:t>
      </w:r>
    </w:p>
    <w:p>
      <w:pPr>
        <w:pStyle w:val="TextBody"/>
        <w:bidi w:val="0"/>
        <w:spacing w:before="8"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If you agree to the terms outlined in this Second Release, please sign below and return it to me within the timeframe noted above.</w:t>
      </w:r>
    </w:p>
    <w:p>
      <w:pPr>
        <w:pStyle w:val="TextBody"/>
        <w:bidi w:val="0"/>
        <w:spacing w:before="0" w:after="0"/>
        <w:jc w:val="left"/>
        <w:rPr/>
      </w:pPr>
      <w:r>
        <w:rPr/>
      </w:r>
    </w:p>
    <w:p>
      <w:pPr>
        <w:pStyle w:val="TextBody"/>
        <w:bidi w:val="0"/>
        <w:spacing w:before="0" w:after="0"/>
        <w:jc w:val="left"/>
        <w:rPr/>
      </w:pPr>
      <w:r>
        <w:rPr/>
      </w:r>
    </w:p>
    <w:tbl>
      <w:tblPr>
        <w:tblW w:w="3627" w:type="dxa"/>
        <w:jc w:val="left"/>
        <w:tblInd w:w="0" w:type="dxa"/>
        <w:tblLayout w:type="fixed"/>
        <w:tblCellMar>
          <w:top w:w="28" w:type="dxa"/>
          <w:left w:w="28" w:type="dxa"/>
          <w:bottom w:w="28" w:type="dxa"/>
          <w:right w:w="28" w:type="dxa"/>
        </w:tblCellMar>
      </w:tblPr>
      <w:tblGrid>
        <w:gridCol w:w="210"/>
        <w:gridCol w:w="186"/>
        <w:gridCol w:w="189"/>
        <w:gridCol w:w="109"/>
        <w:gridCol w:w="109"/>
        <w:gridCol w:w="109"/>
        <w:gridCol w:w="794"/>
        <w:gridCol w:w="794"/>
        <w:gridCol w:w="1127"/>
      </w:tblGrid>
      <w:tr>
        <w:trPr/>
        <w:tc>
          <w:tcPr>
            <w:tcW w:w="2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Bobak Azamian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Bobak Azamian, CEO</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Tarsus Pharmaceuticals,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15, 2023</w:t>
            </w:r>
          </w:p>
        </w:tc>
      </w:tr>
    </w:tbl>
    <w:p>
      <w:pPr>
        <w:pStyle w:val="TextBody"/>
        <w:bidi w:val="0"/>
        <w:spacing w:before="195" w:after="283"/>
        <w:jc w:val="left"/>
        <w:rPr/>
      </w:pPr>
      <w:r>
        <w:rPr/>
      </w:r>
    </w:p>
    <w:p>
      <w:pPr>
        <w:pStyle w:val="TextBody"/>
        <w:bidi w:val="0"/>
        <w:spacing w:before="195" w:after="283"/>
        <w:jc w:val="left"/>
        <w:rPr/>
      </w:pPr>
      <w:r>
        <w:rPr/>
      </w:r>
    </w:p>
    <w:p>
      <w:pPr>
        <w:pStyle w:val="TextBody"/>
        <w:bidi w:val="0"/>
        <w:spacing w:before="0" w:after="0"/>
        <w:jc w:val="left"/>
        <w:rPr/>
      </w:pPr>
      <w:r>
        <w:rPr/>
      </w:r>
    </w:p>
    <w:tbl>
      <w:tblPr>
        <w:tblW w:w="3326" w:type="dxa"/>
        <w:jc w:val="left"/>
        <w:tblInd w:w="0" w:type="dxa"/>
        <w:tblLayout w:type="fixed"/>
        <w:tblCellMar>
          <w:top w:w="28" w:type="dxa"/>
          <w:left w:w="28" w:type="dxa"/>
          <w:bottom w:w="28" w:type="dxa"/>
          <w:right w:w="28" w:type="dxa"/>
        </w:tblCellMar>
      </w:tblPr>
      <w:tblGrid>
        <w:gridCol w:w="210"/>
        <w:gridCol w:w="186"/>
        <w:gridCol w:w="189"/>
        <w:gridCol w:w="109"/>
        <w:gridCol w:w="109"/>
        <w:gridCol w:w="109"/>
        <w:gridCol w:w="707"/>
        <w:gridCol w:w="707"/>
        <w:gridCol w:w="1000"/>
      </w:tblGrid>
      <w:tr>
        <w:trPr/>
        <w:tc>
          <w:tcPr>
            <w:tcW w:w="2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Leonard M. Greenstein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15, 2023</w:t>
            </w:r>
          </w:p>
        </w:tc>
      </w:tr>
    </w:tbl>
    <w:p>
      <w:pPr>
        <w:pStyle w:val="TextBody"/>
        <w:bidi w:val="0"/>
        <w:ind w:left="0" w:right="0" w:firstLine="720"/>
        <w:jc w:val="left"/>
        <w:rPr/>
      </w:pPr>
      <w:r>
        <w:rPr/>
      </w:r>
    </w:p>
    <w:p>
      <w:pPr>
        <w:pStyle w:val="TextBody"/>
        <w:bidi w:val="0"/>
        <w:spacing w:before="0" w:after="0"/>
        <w:jc w:val="center"/>
        <w:rPr/>
      </w:pPr>
      <w:bookmarkStart w:id="0" w:name="exhibit102-tarsusformofs.htm"/>
      <w:bookmarkStart w:id="1" w:name="ksexhibit102tarsusformofs"/>
      <w:bookmarkEnd w:id="0"/>
      <w:bookmarkEnd w:id="1"/>
      <w:r>
        <w:rPr/>
        <w:drawing>
          <wp:inline distT="0" distB="0" distL="0" distR="0">
            <wp:extent cx="10048875" cy="13001625"/>
            <wp:effectExtent l="0" t="0" r="0" b="0"/>
            <wp:docPr id="6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TARSUS PHARMACEUTICALS, INC. EXECUTIVE SEVERANCE AND CHANGE IN CONTROL AGREEMENT This Executive Severance and Change in Control Agreement (the “Agreement”) is made and entered into by and between [_________] (the “Executive”) and Tarsus Pharmaceuticals, Inc., a Delaware corporation (the “Company”), effective as of [___________]. This Agreement provides severance and acceleration benefits in connection with certain qualifying terminations of Executive’s employment with the Company. [Upon its effectiveness, this Agreement shall supersede the severance benefits (including equity acceleration) set forth in Executive’s offer letter with the Company dated as of [_____] (the “Offer Letter”).]1 Certain capitalized terms are defined in Section 7. The Company and Executive agree as follows: 1. Severance Benefits. (a) Termination Not Involving a Change in Control. If Executive is subject to an Involuntary Termination which occurs more than three months prior to a Change in Control (if any) or more than twelve months after a Change in Control and Executive satisfies the conditions described in Section 1(c) below, then Executive shall be entitled to the following severance benefits: (i) a lump-sum cash severance payment equal to [six/twelve]2 months of Executive’s Base Salary; and (ii) if Executive elects to continue health insurance coverage under the Consolidated Omnibus Budget Reconciliation Act (“COBRA”) following Executive’s termination of employment, then the Company will pay or reimburse Executive for the full amount of all applicable COBRA premiums for Executive and Executive’s eligible dependents (the “COBRA Benefit”) until the earliest of (a) the close of the [six/twelve]3 month period following Executive’s termination of employment, (b) the date Executive ceases to be eligible for COBRA continuation coverage for any reason, including plan termination, or (c) the date when Executive becomes eligible for substantially equivalent health insurance coverage in connection with new employment or self-employment; provided, however, that if necessary to avoid adverse tax consequences to Executive or the Company, the Company, in its sole discretion, reserves the right to treat the COBRA Benefit as taxable income. (b) Involuntary Termination Involving a Change in Control. If Executive is subject to an Involuntary Termination which occurs within three months prior to, or twelve 1 To be included for all executives with severance benefits set forth in their offer letters. If any executive has equity acceleration in an award agreement that varies from the benefits provided herein and needs to be superseded, please advise and we can add an appropriate provision for it. 2 12 months for CEO and CXO agreements; 6 months for all other executives. 3 12 months for CEO and CXO agreements; 6 months for all other executives. Exhibit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months following, a Change in Control and Executive satisfies the conditions described in Section 1(c) below, then Executive shall be entitled to the following severance benefits: (i) a lump-sum cash severance payment equal to [nine/twelve/eighteen]4 months of Executive’s Base Salary; (ii) the Bonus Payment; (iii) if Executive elects to continue health insurance coverage under COBRA following Executive’s termination of employment, then the Company will provide the COBRA Benefit until the earliest of (a) the close of the [nine/twelve/eighteen]5 month period following Executive’s termination of employment, (b) the date Executive ceases to be eligible for COBRA continuation coverage for any reason, including plan termination, or (c) the date when Executive becomes eligible for substantially equivalent health insurance coverage in connection with new employment or self-employment; provided, however, that if necessary to avoid adverse tax consequences to Executive or the Company, the Company, in its sole discretion, reserves the right to treat the COBRA Benefit as taxable income; and (iv) unless the Company provides otherwise when an equity award is granted, 100% of the unvested portion of each outstanding equity award that Executive holds as of the Involuntary Termination will vest and, if applicable, become exercisable. In the case of equity awards subject to performance conditions, the unvested portion of the award will be determined based on achievement of the related performance goals at 100%. For avoidance of doubt, if Executive is subject to an Involuntary Termination that occurs within three months prior to a Change in Control, the portion of Executive’s then-outstanding and unvested equity awards that is eligible to vest and become exercisable pursuant to clause (iv) will remain outstanding for three months or the occurrence of a Change in Control, whichever is sooner, so that any additional benefits due pursuant to clause (iv) may be provided if a Change in Control occurs within three months after Executive’s Involuntary Termination, provided that in no event will any of Executive’s stock options remain outstanding beyond the option’s maximum term to expiration. If a Change in Control does not occur within three months after an Involuntary Termination, any unvested portion of Executive’s equity awards that remained outstanding following Executive’s Involuntary Termination will immediately and automatically be forfeited. (c) Preconditions to Severance and Change in Control Benefits / Timing of Benefits. As a condition to Executive’s receipt of any benefits described in Section 1, Executive shall execute and allow to become effective the Company’s then-standard general release of claims, comply with the Executive’s continuing obligations (including the return of Company property) to the Company, and, if requested by the Company, immediately resign from all positions Executive holds with the Company, including as a member of the Company’s Board of Directors and as a member of the board of directors of any subsidiaries of the Company. Executive must execute and return the release on or before the date specified by the Company, which will in no event be later than 50 days after Executive’s employment terminates. If Executive fails to return the release by the deadline or if Executive revokes the release, then Executive will not be entitled to the benefits described in this Section 1. All such benefits will be paid or provided within 60 days after Executive’s Involuntary Termination, or if later, on the date a Change in Control occurs. If such 60 day period spans calendar years, then payment will in any event be made in the second calendar year. 4 18 months for CEO agreement; 12 months for CXO agreements; 9 months for all other executives. 5 12 months for CEO and CXO agreements; 6 months for all other executives.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-3- 2. Section 409A. The Company intends that all payments and benefits provided under this Agreement or otherwise are exempt from, or comply with, with the requirements of Section 409A of the Internal Revenue Code of 1986, as amended (the “Code”) so that none of the payments or benefits will be subject to the additional tax imposed under Code Section 409A, and any ambiguities herein will be interpreted in accordance with such intent. For purposes of Code Section 409A, each payment, installment or benefit payable under this Agreement is hereby designated as a separate payment. In addition, if the Company determines that Executive is a “specified employee” under Code Section 409A(a)(2)(B)(i) at the time of Executive’s Separation, then (i) any severance payments or benefits, to the extent that they are subject to Code Section 409A, will not be paid or otherwise provided until the first business day following (A) expiration of the six-month period measured from Executive’s Separation or (B) the date of Executive’s death and (ii) any installments that otherwise would have been paid or provided prior to such date will be paid or provided in a lump sum when the severance payments or benefits commence. 3. Section 280G. Notwithstanding anything contained in this Agreement to the contrary, in the event that the payments and benefits provided pursuant to this Agreement, together with all other payments and benefits received or to be received by Executive (“Payments”), constitute “parachute payments” within the meaning of Code Section 280G, and, but for this Section 3, would be subject to the excise tax imposed by Code Section 4999 (the “Excise Tax”), then the Payments shall be made to Executive either (i) in full or (ii) as to such lesser amount as would result in no portion of the Payments being subject to the Excise Tax (a “Reduced Payment”), whichever of the foregoing amounts, taking into account applicable federal, state and local income taxes and the Excise Tax, results in Executive’s receipt on an after-tax basis, of the greatest amount of benefits, notwithstanding that all or some portion of the Payments may be subject to the Excise Tax. If a Reduced Payment is to be made under this section, reduction of Payments will occur in the following order: reduction of cash payments, then cancellation of equity-based payments and accelerated vesting of equity awards, and then reduction of employee benefits. If accelerated vesting of equity awards is to be reduced, such acceleration of vesting will be cancelled in the reverse order of the date of grant. In the event that cash payments or other benefits are reduced, such reduction shall occur in reverse order beginning with the payments and benefits which are to be paid furthest away in time. All determinations required to be made under this Section 3 (including whether any of the Payments are parachute payments and whether to make a Reduced Payment) will be made by an independent accounting firm selected by the Company. For purposes of making the calculations required by this section, the accounting firm may make reasonable assumptions and approximations concerning applicable taxes and may rely on reasonably, good faith interpretations concerning the application of Code Sections 280G and 4999. The Company will bear the costs that the accounting firm may reasonably incur in connection with the calculations contemplated by this Section 3. The accounting firm’s determination will be binding on both Executive and the Company absent manifest error. 4. Company’s Successors. Any successor to the Company to all or substantially all of the Company’s business and/or assets (whether pursuant to a Change in Control, direct or indirect, and whether by purchase, merger, consolidation, liquidation or otherwise) shall assume the Company’s obligations under this Agreement and agree expressly to perform the Company’s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obligations under this Agreement in the same manner and to the same extent as the Company would be required to perform such obligations in the absence of a succession. 5. Miscellaneous Provisions. (a) Modification or Waiver. No provision of this Agreement may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 (b) Death of Executive. In the event of Executive’s death following a qualifying termination of employment pursuant to which the Executive is entitled to receive benefits pursuant to Section 1, but prior to the full payment thereof, such unpaid amounts will remain payable to the Executive, and all such amounts, unless otherwise provided herein, shall be paid in accordance with the terms herein to the Executive’s estate. (c) Integration. This Agreement represents the entire agreement and understanding between the parties as to the subject matter herein and supersedes all prior or contemporaneous agreements, whether written or oral, with respect to the subject matter of this Agreement. In the event of any conflict or inconsistency between the terms and conditions of this Agreement and the Offer Letter, the provisions of this Agreement shall govern. (d) Choice of Law. The validity, interpretation, construction and performance of this Agreement shall be governed by the internal substantive laws, but not the conflicts of law rules, of the State of California. (e) Tax Withholding. Any payments provided for hereunder are subject to reduction to reflect applicable withholding and payroll taxes and other reductions required under federal, state or local law. (f) Notices. Any notice required by the terms of this Agreement shall be given in writing. It shall be deemed effective upon (i) personal delivery, (ii) deposit with the United States Postal Service, by registered or certified mail, with postage and fees prepaid or (iii) deposit with Federal Express Corporation, with shipping charges prepaid. Notice shall be addressed to the Company at its principal executive office (attention General Counsel) and to the Executive at the address that he or she most recently provided to the Company in accordance with this Subsection (f). (g) Severability. The invalidity or unenforceability of any provision or provisions of this Agreement shall not affect the validity or enforceability of any other provision hereof, which shall remain in full force and effect. (h) Counterparts. This Agreement may be executed in counterparts, each of which shall be deemed an original, but all of which together will constitute one and the same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-5- 6. At-Will Employment. Nothing contained in this Agreement shall (a) confer upon Executive any right to continue in the employ of the Company, (b) constitute any contract or agreement of employment, or (c) interfere in any way with the at-will nature of Executive’s employment with the Company. 7. Definitions. The following terms referred to in this Agreement shall have the following meanings: (a) “Base Salary” means Executive’s annual base salary as in effect immediately prior to Executive’s Involuntary Termination; provided, however, that in the event of a Resignation for Good Reason due to a material reduction in Executive’s base salary, “Base Salary” means Executive’s annual base salary as in effect immediately prior to such reduction or as in effect immediately prior to a Change in Control, whichever is greater. (b) “Bonus Payment” means a lump-sum cash payment equal to the sum of (i) a pro-rated portion of Executive’s target bonus amount for the year of termination and (ii) [75/100/150]6% of Executive’s target bonus amount for the year of termination. (c) “Cause” means (i) Executive’s unauthorized use or disclosure of the Company’s confidential information or trade secrets, which use or disclosure causes material harm to the Company, (ii) Executive’s material breach of any agreement with the Company, (iii) Executive’s material failure to comply with the Company’s written policies or rules, (iv) Executive’s conviction of, or plea of “guilty” or “no contest” to, a felony under the laws of the United States or any State, (v) Executive’s gross negligence or willful misconduct, (vi) Executive’s continuing failure to perform assigned duties after receiving written notification of the failure from the Company’s Board of Directors or (vii) Executive’s failure to cooperate in good faith with a governmental or internal investigation of the Company or its directors, officers or employees, if the Company has requested such cooperation. (d) “Change in Control” means: (i) Any “person” (as such term is used in Sections 13(d) and 14(d) of the Securities Exchange Act of 1934, as amended (the “Exchange Act”)) becomes the “beneficial owner” (as defined in Rule 13d-3 of the Exchange Act), directly or indirectly, of securities of the Company representing more than 50% of the total voting power represented by the Company’s then-outstanding voting securities; (ii) The consummation of the sale or disposition by the Company of all or substantially all of the Company’s assets; (iii) 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6 150% for CEO agreement; 100% for CXO agreements; 75% for all other executives.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entity or its parent) more than 50% of the total voting power represented by the voting securities of the Company or such surviving entity or its parent outstanding immediately after such merger or consolidation; or (iv) Individuals who are members of the Company’s Board of Directors (the “Incumbent Board”) cease for any reason to constitute at least a majority of the members of the Company’s Board of Directors over a period of 12 months; provided, however, that if the appointment or election (or nomination for election) of any new board member was approved or recommended by a majority vote of the members of the Incumbent Board then still in office, such new member shall, for purposes of this Agreement, be considered as a member of the Incumbent Board.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In addition, if a Change in Control constitutes a payment event with respect to any amount which is subject to Code Section 409A, then the transaction must also constitute a “change in control event” as defined in Treasury Regulation Section 1.409A-3(i)(5) to the extent required by Code Section 409A. (e) “Involuntary Termination” means either (i) a Termination without Cause or (ii) a Resignation for Good Reason. (f) “Resignation for Good Reason” means a Separation as a result of Executive’s resignation from employment after one of the following conditions has come into existence without Executive’s consent: (i) a material diminution of Executive’s annual base salary, (ii) a material diminution of Executive’s authority, duties or responsibilities, or (iii) a material change in the geographic location at which Executive must perform services for the Company. In order to constitute a Resignation for Good Reason, Executive must give the Company written notice of the condition within 90 days after it comes into existence, the Company must fail to remedy the condition within 30 days after receiving Executive’s written notice and Executive must terminate his or her employment within 12 months after the condition came into existence. (g) “Separation” means a “separation from service” as defined in the regulations under Code Section 409A. (h) “Termination Without Cause” means a Separation as a result of the termination of Executive’s employment by the Company without Cause, provided Executive was willing and able to continue performing services within the meaning of Treasury Regulation 1.409A-1(n)(1).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IN WITNESS WHEREOF, each of the parties has executed this Agreement, in the case of the Company by its duly authorized officer, as of the day and year indicated below. COMPANY Tarsus Pharmaceuticals, Inc. By: Name: Title: Date: EXECUTIVE By: Name: Title: Date: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CERTIFICATION PURSUANT TO</w:t>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RULES 13a-14(a) AND 15d-14(a) UNDER THE SECURITIES EXCHANGE ACT OF 1934,</w:t>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Bobak Azamian, M.D., Ph.D., certify that: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I have reviewed this Quarterly Report on Form 10-Q of Tarsus Pharmaceuticals, Inc;</w:t>
      </w:r>
    </w:p>
    <w:p>
      <w:pPr>
        <w:pStyle w:val="TextBody"/>
        <w:bidi w:val="0"/>
        <w:spacing w:lineRule="auto" w:line="276"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pPr>
      <w:r>
        <w:rPr>
          <w:rFonts w:ascii="Times New Roman;sans-serif" w:hAnsi="Times New Roman;sans-serif"/>
          <w:b w:val="false"/>
          <w:color w:val="000000"/>
          <w:sz w:val="18"/>
        </w:rPr>
        <w:t>(b)</w:t>
      </w:r>
      <w:r>
        <w:rPr>
          <w:color w:val="000000"/>
        </w:rPr>
        <w:t xml:space="preserve"> </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pPr>
      <w:r>
        <w:rPr>
          <w:rFonts w:ascii="Times New Roman;sans-serif" w:hAnsi="Times New Roman;sans-serif"/>
          <w:b w:val="false"/>
          <w:color w:val="000000"/>
          <w:sz w:val="18"/>
        </w:rPr>
        <w:t>(c)</w:t>
      </w:r>
      <w:r>
        <w:rPr>
          <w:color w:val="000000"/>
        </w:rPr>
        <w:t xml:space="preserve"> </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pPr>
      <w:r>
        <w:rPr>
          <w:rFonts w:ascii="Times New Roman;sans-serif" w:hAnsi="Times New Roman;sans-serif"/>
          <w:b w:val="false"/>
          <w:color w:val="000000"/>
          <w:sz w:val="18"/>
        </w:rPr>
        <w:t>(d)</w:t>
      </w:r>
      <w:r>
        <w:rPr>
          <w:color w:val="000000"/>
        </w:rPr>
        <w:t xml:space="preserve">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pPr>
      <w:r>
        <w:rPr>
          <w:rFonts w:ascii="Times New Roman;sans-serif" w:hAnsi="Times New Roman;sans-serif"/>
          <w:b w:val="false"/>
          <w:color w:val="000000"/>
          <w:sz w:val="18"/>
        </w:rPr>
        <w:t>5.</w:t>
      </w:r>
      <w:r>
        <w:rPr>
          <w:color w:val="000000"/>
        </w:rPr>
        <w:t xml:space="preserve"> </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pPr>
      <w:r>
        <w:rPr>
          <w:rFonts w:ascii="Times New Roman;sans-serif" w:hAnsi="Times New Roman;sans-serif"/>
          <w:b w:val="false"/>
          <w:color w:val="000000"/>
          <w:sz w:val="18"/>
        </w:rPr>
        <w:t>(a)</w:t>
      </w:r>
      <w:r>
        <w:rPr>
          <w:color w:val="000000"/>
        </w:rPr>
        <w:t xml:space="preserve"> </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pPr>
      <w:r>
        <w:rPr>
          <w:rFonts w:ascii="Times New Roman;sans-serif" w:hAnsi="Times New Roman;sans-serif"/>
          <w:b w:val="false"/>
          <w:color w:val="000000"/>
          <w:sz w:val="18"/>
        </w:rPr>
        <w:t>(b)</w:t>
      </w:r>
      <w:r>
        <w:rPr>
          <w:color w:val="000000"/>
        </w:rPr>
        <w:t xml:space="preserve"> </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tbl>
      <w:tblPr>
        <w:tblW w:w="6848" w:type="dxa"/>
        <w:jc w:val="left"/>
        <w:tblInd w:w="0" w:type="dxa"/>
        <w:tblLayout w:type="fixed"/>
        <w:tblCellMar>
          <w:top w:w="28" w:type="dxa"/>
          <w:left w:w="28" w:type="dxa"/>
          <w:bottom w:w="28" w:type="dxa"/>
          <w:right w:w="28" w:type="dxa"/>
        </w:tblCellMar>
      </w:tblPr>
      <w:tblGrid>
        <w:gridCol w:w="218"/>
        <w:gridCol w:w="192"/>
        <w:gridCol w:w="192"/>
        <w:gridCol w:w="192"/>
        <w:gridCol w:w="192"/>
        <w:gridCol w:w="192"/>
        <w:gridCol w:w="192"/>
        <w:gridCol w:w="192"/>
        <w:gridCol w:w="192"/>
        <w:gridCol w:w="109"/>
        <w:gridCol w:w="109"/>
        <w:gridCol w:w="109"/>
        <w:gridCol w:w="109"/>
        <w:gridCol w:w="109"/>
        <w:gridCol w:w="109"/>
        <w:gridCol w:w="109"/>
        <w:gridCol w:w="109"/>
        <w:gridCol w:w="109"/>
        <w:gridCol w:w="437"/>
        <w:gridCol w:w="437"/>
        <w:gridCol w:w="437"/>
        <w:gridCol w:w="437"/>
        <w:gridCol w:w="437"/>
        <w:gridCol w:w="437"/>
        <w:gridCol w:w="437"/>
        <w:gridCol w:w="437"/>
        <w:gridCol w:w="617"/>
      </w:tblGrid>
      <w:tr>
        <w:trPr/>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ans-serif" w:hAnsi="Times New Roman;sans-serif"/>
                <w:b w:val="false"/>
                <w:color w:val="000000"/>
                <w:sz w:val="18"/>
              </w:rPr>
            </w:pPr>
            <w:r>
              <w:rPr>
                <w:rFonts w:ascii="Times New Roman;sans-serif" w:hAnsi="Times New Roman;sans-serif"/>
                <w:b w:val="false"/>
                <w:color w:val="000000"/>
                <w:sz w:val="18"/>
              </w:rPr>
              <w:t>Date: August 10, 2023</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righ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411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/s/ Bobak Azamian, M.D., Ph.D.</w:t>
            </w:r>
          </w:p>
        </w:tc>
      </w:tr>
      <w:tr>
        <w:trPr/>
        <w:tc>
          <w:tcPr>
            <w:tcW w:w="17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Bobak Azamian, M.D., Ph.D.</w:t>
            </w:r>
          </w:p>
          <w:p>
            <w:pPr>
              <w:pStyle w:val="TableContents"/>
              <w:bidi w:val="0"/>
              <w:spacing w:lineRule="auto" w:line="276"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President, Chief Executive Officer and Board Chairman</w:t>
            </w:r>
          </w:p>
          <w:p>
            <w:pPr>
              <w:pStyle w:val="TableContents"/>
              <w:bidi w:val="0"/>
              <w:spacing w:lineRule="auto" w:line="276"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CERTIFICATION PURSUANT TO</w:t>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RULES 13a-14(a) AND 15d-14(a) UNDER THE SECURITIES EXCHANGE ACT OF 1934,</w:t>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Jeffrey Farrow, certify that: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I have reviewed this Quarterly Report on Form 10-Q of Tarsus Pharmaceuticals, Inc;</w:t>
      </w:r>
    </w:p>
    <w:p>
      <w:pPr>
        <w:pStyle w:val="TextBody"/>
        <w:bidi w:val="0"/>
        <w:spacing w:lineRule="auto" w:line="276"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pPr>
      <w:r>
        <w:rPr>
          <w:rFonts w:ascii="Times New Roman;sans-serif" w:hAnsi="Times New Roman;sans-serif"/>
          <w:b w:val="false"/>
          <w:color w:val="000000"/>
          <w:sz w:val="18"/>
        </w:rPr>
        <w:t>(b)</w:t>
      </w:r>
      <w:r>
        <w:rPr>
          <w:color w:val="000000"/>
        </w:rPr>
        <w:t xml:space="preserve"> </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pPr>
      <w:r>
        <w:rPr>
          <w:rFonts w:ascii="Times New Roman;sans-serif" w:hAnsi="Times New Roman;sans-serif"/>
          <w:b w:val="false"/>
          <w:color w:val="000000"/>
          <w:sz w:val="18"/>
        </w:rPr>
        <w:t>(c)</w:t>
      </w:r>
      <w:r>
        <w:rPr>
          <w:color w:val="000000"/>
        </w:rPr>
        <w:t xml:space="preserve"> </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pPr>
      <w:r>
        <w:rPr>
          <w:rFonts w:ascii="Times New Roman;sans-serif" w:hAnsi="Times New Roman;sans-serif"/>
          <w:b w:val="false"/>
          <w:color w:val="000000"/>
          <w:sz w:val="18"/>
        </w:rPr>
        <w:t>(d)</w:t>
      </w:r>
      <w:r>
        <w:rPr>
          <w:color w:val="000000"/>
        </w:rPr>
        <w:t xml:space="preserve">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pPr>
      <w:r>
        <w:rPr>
          <w:rFonts w:ascii="Times New Roman;sans-serif" w:hAnsi="Times New Roman;sans-serif"/>
          <w:b w:val="false"/>
          <w:color w:val="000000"/>
          <w:sz w:val="18"/>
        </w:rPr>
        <w:t>5.</w:t>
      </w:r>
      <w:r>
        <w:rPr>
          <w:color w:val="000000"/>
        </w:rPr>
        <w:t xml:space="preserve"> </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pPr>
      <w:r>
        <w:rPr>
          <w:rFonts w:ascii="Times New Roman;sans-serif" w:hAnsi="Times New Roman;sans-serif"/>
          <w:b w:val="false"/>
          <w:color w:val="000000"/>
          <w:sz w:val="18"/>
        </w:rPr>
        <w:t>(a)</w:t>
      </w:r>
      <w:r>
        <w:rPr>
          <w:color w:val="000000"/>
        </w:rPr>
        <w:t xml:space="preserve"> </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pPr>
      <w:r>
        <w:rPr>
          <w:rFonts w:ascii="Times New Roman;sans-serif" w:hAnsi="Times New Roman;sans-serif"/>
          <w:b w:val="false"/>
          <w:color w:val="000000"/>
          <w:sz w:val="18"/>
        </w:rPr>
        <w:t>(b)</w:t>
      </w:r>
      <w:r>
        <w:rPr>
          <w:color w:val="000000"/>
        </w:rPr>
        <w:t xml:space="preserve"> </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tbl>
      <w:tblPr>
        <w:tblW w:w="7338" w:type="dxa"/>
        <w:jc w:val="left"/>
        <w:tblInd w:w="0" w:type="dxa"/>
        <w:tblLayout w:type="fixed"/>
        <w:tblCellMar>
          <w:top w:w="28" w:type="dxa"/>
          <w:left w:w="28" w:type="dxa"/>
          <w:bottom w:w="28" w:type="dxa"/>
          <w:right w:w="28" w:type="dxa"/>
        </w:tblCellMar>
      </w:tblPr>
      <w:tblGrid>
        <w:gridCol w:w="218"/>
        <w:gridCol w:w="192"/>
        <w:gridCol w:w="192"/>
        <w:gridCol w:w="192"/>
        <w:gridCol w:w="192"/>
        <w:gridCol w:w="192"/>
        <w:gridCol w:w="192"/>
        <w:gridCol w:w="192"/>
        <w:gridCol w:w="192"/>
        <w:gridCol w:w="109"/>
        <w:gridCol w:w="109"/>
        <w:gridCol w:w="109"/>
        <w:gridCol w:w="109"/>
        <w:gridCol w:w="109"/>
        <w:gridCol w:w="109"/>
        <w:gridCol w:w="109"/>
        <w:gridCol w:w="109"/>
        <w:gridCol w:w="109"/>
        <w:gridCol w:w="489"/>
        <w:gridCol w:w="489"/>
        <w:gridCol w:w="489"/>
        <w:gridCol w:w="489"/>
        <w:gridCol w:w="489"/>
        <w:gridCol w:w="489"/>
        <w:gridCol w:w="489"/>
        <w:gridCol w:w="489"/>
        <w:gridCol w:w="691"/>
      </w:tblGrid>
      <w:tr>
        <w:trPr/>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ans-serif" w:hAnsi="Times New Roman;sans-serif"/>
                <w:b w:val="false"/>
                <w:color w:val="000000"/>
                <w:sz w:val="18"/>
              </w:rPr>
            </w:pPr>
            <w:r>
              <w:rPr>
                <w:rFonts w:ascii="Times New Roman;sans-serif" w:hAnsi="Times New Roman;sans-serif"/>
                <w:b w:val="false"/>
                <w:color w:val="000000"/>
                <w:sz w:val="18"/>
              </w:rPr>
              <w:t>Date: August 10, 2023</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righ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46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/s/ Jeffrey Farrow</w:t>
            </w:r>
          </w:p>
        </w:tc>
      </w:tr>
      <w:tr>
        <w:trPr/>
        <w:tc>
          <w:tcPr>
            <w:tcW w:w="17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Jeffrey Farrow</w:t>
            </w:r>
          </w:p>
          <w:p>
            <w:pPr>
              <w:pStyle w:val="TableContents"/>
              <w:bidi w:val="0"/>
              <w:spacing w:lineRule="auto" w:line="276"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Chief Financial Officer and Chief Strategy Officer</w:t>
            </w:r>
          </w:p>
          <w:p>
            <w:pPr>
              <w:pStyle w:val="TableContents"/>
              <w:bidi w:val="0"/>
              <w:spacing w:lineRule="auto" w:line="276" w:before="0" w:after="0"/>
              <w:ind w:left="0" w:right="0" w:firstLine="18"/>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Principal Financial Officer and Principal Accounting Officer</w:t>
            </w:r>
            <w:r>
              <w:rPr>
                <w:rFonts w:ascii="Times New Roman;sans-serif" w:hAnsi="Times New Roman;sans-serif"/>
                <w:b w:val="false"/>
                <w:color w:val="000000"/>
                <w:sz w:val="18"/>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 OF PRINCIPAL EXECUTIVE OFFICER AND PRINCIPAL FINANCIAL OFFICER</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 AS ADOPTED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Tarsus Pharmaceuticals, Inc. (the “Company”) on Form 10-Q for the period ended June 30, 2023 as filed with the Securities and Exchange Commission on the date hereof (the “Report”), I, Bobak Azamian, hereby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69"/>
        <w:gridCol w:w="869"/>
        <w:gridCol w:w="869"/>
        <w:gridCol w:w="869"/>
        <w:gridCol w:w="869"/>
        <w:gridCol w:w="869"/>
        <w:gridCol w:w="869"/>
        <w:gridCol w:w="869"/>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w:t>
            </w:r>
          </w:p>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73"/>
        <w:gridCol w:w="873"/>
        <w:gridCol w:w="873"/>
        <w:gridCol w:w="873"/>
        <w:gridCol w:w="873"/>
        <w:gridCol w:w="873"/>
        <w:gridCol w:w="873"/>
        <w:gridCol w:w="873"/>
        <w:gridCol w:w="1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w:t>
            </w:r>
          </w:p>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results of operations of the Company.</w:t>
            </w:r>
          </w:p>
        </w:tc>
      </w:tr>
    </w:tbl>
    <w:tbl>
      <w:tblPr>
        <w:tblW w:w="7597" w:type="dxa"/>
        <w:jc w:val="left"/>
        <w:tblInd w:w="0" w:type="dxa"/>
        <w:tblLayout w:type="fixed"/>
        <w:tblCellMar>
          <w:top w:w="28" w:type="dxa"/>
          <w:left w:w="28" w:type="dxa"/>
          <w:bottom w:w="28" w:type="dxa"/>
          <w:right w:w="28" w:type="dxa"/>
        </w:tblCellMar>
      </w:tblPr>
      <w:tblGrid>
        <w:gridCol w:w="245"/>
        <w:gridCol w:w="215"/>
        <w:gridCol w:w="215"/>
        <w:gridCol w:w="215"/>
        <w:gridCol w:w="215"/>
        <w:gridCol w:w="215"/>
        <w:gridCol w:w="215"/>
        <w:gridCol w:w="215"/>
        <w:gridCol w:w="215"/>
        <w:gridCol w:w="109"/>
        <w:gridCol w:w="109"/>
        <w:gridCol w:w="109"/>
        <w:gridCol w:w="109"/>
        <w:gridCol w:w="109"/>
        <w:gridCol w:w="109"/>
        <w:gridCol w:w="109"/>
        <w:gridCol w:w="109"/>
        <w:gridCol w:w="109"/>
        <w:gridCol w:w="720"/>
        <w:gridCol w:w="720"/>
        <w:gridCol w:w="720"/>
        <w:gridCol w:w="720"/>
        <w:gridCol w:w="720"/>
        <w:gridCol w:w="1051"/>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10, 2023</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5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pPr>
            <w:r>
              <w:rPr>
                <w:rFonts w:ascii="Times New Roman;sans-serif" w:hAnsi="Times New Roman;sans-serif"/>
                <w:b w:val="false"/>
                <w:color w:val="000000"/>
                <w:sz w:val="20"/>
              </w:rPr>
              <w:t xml:space="preserve">/s/ </w:t>
            </w:r>
            <w:r>
              <w:rPr>
                <w:rFonts w:ascii="Times New Roman;sans-serif" w:hAnsi="Times New Roman;sans-serif"/>
                <w:b w:val="false"/>
                <w:color w:val="000000"/>
                <w:sz w:val="18"/>
              </w:rPr>
              <w:t>Bobak Azamian, M.D., Ph.D.</w:t>
            </w:r>
          </w:p>
        </w:tc>
      </w:tr>
      <w:tr>
        <w:trPr/>
        <w:tc>
          <w:tcPr>
            <w:tcW w:w="19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18"/>
              </w:rPr>
            </w:pPr>
            <w:r>
              <w:rPr>
                <w:rFonts w:ascii="Times New Roman;sans-serif" w:hAnsi="Times New Roman;sans-serif"/>
                <w:b w:val="false"/>
                <w:color w:val="000000"/>
                <w:sz w:val="18"/>
              </w:rPr>
              <w:t>Bobak Azamian, M.D., Ph.D.</w:t>
            </w:r>
          </w:p>
        </w:tc>
      </w:tr>
      <w:tr>
        <w:trPr/>
        <w:tc>
          <w:tcPr>
            <w:tcW w:w="19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gridSpan w:val="6"/>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Board Chairman</w:t>
            </w:r>
          </w:p>
        </w:tc>
      </w:tr>
      <w:tr>
        <w:trPr/>
        <w:tc>
          <w:tcPr>
            <w:tcW w:w="19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gridSpan w:val="6"/>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 OF PRINCIPAL EXECUTIVE OFFICER AND PRINCIPAL FINANCIAL OFFICER</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 AS ADOPTED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Tarsus Pharmaceuticals, Inc. (the “Company”) on Form 10-Q for the period ended June 30, 2023 as filed with the Securities and Exchange Commission on the date hereof (the “Report”), I, Jeffrey Farrow, hereby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69"/>
        <w:gridCol w:w="869"/>
        <w:gridCol w:w="869"/>
        <w:gridCol w:w="869"/>
        <w:gridCol w:w="869"/>
        <w:gridCol w:w="869"/>
        <w:gridCol w:w="869"/>
        <w:gridCol w:w="869"/>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w:t>
            </w:r>
          </w:p>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73"/>
        <w:gridCol w:w="873"/>
        <w:gridCol w:w="873"/>
        <w:gridCol w:w="873"/>
        <w:gridCol w:w="873"/>
        <w:gridCol w:w="873"/>
        <w:gridCol w:w="873"/>
        <w:gridCol w:w="873"/>
        <w:gridCol w:w="1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w:t>
            </w:r>
          </w:p>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results of operations of the Company.</w:t>
            </w:r>
          </w:p>
        </w:tc>
      </w:tr>
    </w:tbl>
    <w:tbl>
      <w:tblPr>
        <w:tblW w:w="8272" w:type="dxa"/>
        <w:jc w:val="left"/>
        <w:tblInd w:w="0" w:type="dxa"/>
        <w:tblLayout w:type="fixed"/>
        <w:tblCellMar>
          <w:top w:w="28" w:type="dxa"/>
          <w:left w:w="28" w:type="dxa"/>
          <w:bottom w:w="28" w:type="dxa"/>
          <w:right w:w="28" w:type="dxa"/>
        </w:tblCellMar>
      </w:tblPr>
      <w:tblGrid>
        <w:gridCol w:w="245"/>
        <w:gridCol w:w="215"/>
        <w:gridCol w:w="215"/>
        <w:gridCol w:w="215"/>
        <w:gridCol w:w="215"/>
        <w:gridCol w:w="215"/>
        <w:gridCol w:w="215"/>
        <w:gridCol w:w="215"/>
        <w:gridCol w:w="215"/>
        <w:gridCol w:w="109"/>
        <w:gridCol w:w="109"/>
        <w:gridCol w:w="109"/>
        <w:gridCol w:w="109"/>
        <w:gridCol w:w="109"/>
        <w:gridCol w:w="109"/>
        <w:gridCol w:w="109"/>
        <w:gridCol w:w="109"/>
        <w:gridCol w:w="109"/>
        <w:gridCol w:w="829"/>
        <w:gridCol w:w="829"/>
        <w:gridCol w:w="829"/>
        <w:gridCol w:w="829"/>
        <w:gridCol w:w="829"/>
        <w:gridCol w:w="1181"/>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10, 2023</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19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r>
      <w:tr>
        <w:trPr/>
        <w:tc>
          <w:tcPr>
            <w:tcW w:w="19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6" w:type="dxa"/>
            <w:gridSpan w:val="6"/>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19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6" w:type="dxa"/>
            <w:gridSpan w:val="6"/>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35254</Words>
  <Characters>195056</Characters>
  <CharactersWithSpaces>228850</CharactersWithSpaces>
  <Paragraphs>2611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exhibit102-tarsusformofs</dc:title>
</cp:coreProperties>
</file>