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Greenstein Leonard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11" w:lineRule="auto"/>
        <w:rPr>
          <w:sz w:val="20"/>
          <w:szCs w:val="20"/>
          <w:color w:val="auto"/>
        </w:rPr>
      </w:pPr>
      <w:r>
        <w:rPr>
          <w:rFonts w:ascii="Times New Roman" w:cs="Times New Roman" w:eastAsia="Times New Roman" w:hAnsi="Times New Roman"/>
          <w:sz w:val="17"/>
          <w:szCs w:val="17"/>
          <w:color w:val="0000FF"/>
        </w:rPr>
        <w:t>C/O TARSUS PHARMACEUTICALS, INC. 15440 LAGUNA CANYON ROAD, SUITE 160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Tarsus 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TARS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01/19/2023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45" w:lineRule="exact"/>
        <w:rPr>
          <w:sz w:val="24"/>
          <w:szCs w:val="24"/>
          <w:color w:val="auto"/>
        </w:rPr>
      </w:pPr>
    </w:p>
    <w:p>
      <w:pPr>
        <w:sectPr>
          <w:pgSz w:w="11900" w:h="16838" w:orient="portrait"/>
          <w:cols w:equalWidth="0" w:num="3">
            <w:col w:w="3540" w:space="380"/>
            <w:col w:w="3160" w:space="65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3540" w:type="dxa"/>
            <w:vAlign w:val="bottom"/>
            <w:gridSpan w:val="6"/>
          </w:tcPr>
          <w:p>
            <w:pPr>
              <w:ind w:left="140"/>
              <w:spacing w:after="0" w:line="114" w:lineRule="exact"/>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line="11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IRVINE</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92618</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01/19/2023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5,000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14.56</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39,289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by an automatic sale pursuant to a Rule 10b5-1 trading plan adopted by the Reporting Person on June 14, 2022.</w:t>
      </w:r>
    </w:p>
    <w:p>
      <w:pPr>
        <w:spacing w:after="0" w:line="5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pooled and sold in multiple transactions at prices ranging from $14.35 to $14.70.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Leonard M. Greenstein,</w:t>
            </w:r>
          </w:p>
        </w:tc>
        <w:tc>
          <w:tcPr>
            <w:tcW w:w="2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01/20/2023</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19692"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2023-01-20T17:46:26Z</dcterms:created>
  <dcterms:modified xsi:type="dcterms:W3CDTF">2023-01-20T17:46:26Z</dcterms:modified>
</cp:coreProperties>
</file>