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517525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8" w:lineRule="exact"/>
        <w:rPr>
          <w:sz w:val="24"/>
          <w:szCs w:val="24"/>
          <w:color w:val="auto"/>
        </w:rPr>
      </w:pPr>
    </w:p>
    <w:p>
      <w:pPr>
        <w:ind w:left="5100"/>
        <w:spacing w:after="0"/>
        <w:rPr>
          <w:sz w:val="20"/>
          <w:szCs w:val="20"/>
          <w:color w:val="auto"/>
        </w:rPr>
      </w:pPr>
      <w:r>
        <w:rPr>
          <w:rFonts w:ascii="Arial" w:cs="Arial" w:eastAsia="Arial" w:hAnsi="Arial"/>
          <w:sz w:val="14"/>
          <w:szCs w:val="14"/>
          <w:color w:val="auto"/>
        </w:rPr>
        <w:t>_______________</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8-K</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231F20"/>
        </w:rPr>
        <w:t>CURRENT REPORT</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231F20"/>
        </w:rPr>
        <w:t>Pursuant to Section 13 OR 15(d) of The Securities Exchange Act of 1934</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Date of Report (date of earliest event reported): June 15, 2023</w:t>
      </w:r>
    </w:p>
    <w:p>
      <w:pPr>
        <w:spacing w:after="0" w:line="148" w:lineRule="exact"/>
        <w:rPr>
          <w:sz w:val="24"/>
          <w:szCs w:val="24"/>
          <w:color w:val="auto"/>
        </w:rPr>
      </w:pPr>
    </w:p>
    <w:p>
      <w:pPr>
        <w:ind w:left="5100"/>
        <w:spacing w:after="0"/>
        <w:rPr>
          <w:sz w:val="20"/>
          <w:szCs w:val="20"/>
          <w:color w:val="auto"/>
        </w:rPr>
      </w:pPr>
      <w:r>
        <w:rPr>
          <w:rFonts w:ascii="Arial" w:cs="Arial" w:eastAsia="Arial" w:hAnsi="Arial"/>
          <w:sz w:val="14"/>
          <w:szCs w:val="14"/>
          <w:color w:val="auto"/>
        </w:rPr>
        <w:t>_______________</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TARSUS PHARMACEUTICALS,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3" w:lineRule="exact"/>
        <w:rPr>
          <w:sz w:val="24"/>
          <w:szCs w:val="24"/>
          <w:color w:val="auto"/>
        </w:rPr>
      </w:pPr>
    </w:p>
    <w:p>
      <w:pPr>
        <w:ind w:left="5100"/>
        <w:spacing w:after="0"/>
        <w:rPr>
          <w:sz w:val="20"/>
          <w:szCs w:val="20"/>
          <w:color w:val="auto"/>
        </w:rPr>
      </w:pPr>
      <w:r>
        <w:rPr>
          <w:rFonts w:ascii="Arial" w:cs="Arial" w:eastAsia="Arial" w:hAnsi="Arial"/>
          <w:sz w:val="14"/>
          <w:szCs w:val="14"/>
          <w:color w:val="auto"/>
        </w:rPr>
        <w:t>_______________</w:t>
      </w:r>
    </w:p>
    <w:p>
      <w:pPr>
        <w:spacing w:after="0" w:line="21" w:lineRule="exact"/>
        <w:rPr>
          <w:sz w:val="24"/>
          <w:szCs w:val="24"/>
          <w:color w:val="auto"/>
        </w:rPr>
      </w:pPr>
    </w:p>
    <w:tbl>
      <w:tblPr>
        <w:tblLayout w:type="fixed"/>
        <w:tblInd w:w="1380" w:type="dxa"/>
        <w:tblCellMar>
          <w:top w:w="0" w:type="dxa"/>
          <w:left w:w="0" w:type="dxa"/>
          <w:bottom w:w="0" w:type="dxa"/>
          <w:right w:w="0" w:type="dxa"/>
        </w:tblCellMar>
      </w:tblPr>
      <w:tr>
        <w:trPr>
          <w:trHeight w:val="140"/>
        </w:trPr>
        <w:tc>
          <w:tcPr>
            <w:tcW w:w="2600" w:type="dxa"/>
            <w:vAlign w:val="bottom"/>
          </w:tcPr>
          <w:p>
            <w:pPr>
              <w:jc w:val="center"/>
              <w:ind w:right="952"/>
              <w:spacing w:after="0"/>
              <w:rPr>
                <w:sz w:val="20"/>
                <w:szCs w:val="20"/>
                <w:color w:val="auto"/>
              </w:rPr>
            </w:pPr>
            <w:r>
              <w:rPr>
                <w:rFonts w:ascii="Arial" w:cs="Arial" w:eastAsia="Arial" w:hAnsi="Arial"/>
                <w:sz w:val="11"/>
                <w:szCs w:val="11"/>
                <w:b w:val="1"/>
                <w:bCs w:val="1"/>
                <w:color w:val="auto"/>
                <w:w w:val="90"/>
              </w:rPr>
              <w:t>Delaware</w:t>
            </w:r>
          </w:p>
        </w:tc>
        <w:tc>
          <w:tcPr>
            <w:tcW w:w="3080" w:type="dxa"/>
            <w:vAlign w:val="bottom"/>
            <w:vMerge w:val="restart"/>
          </w:tcPr>
          <w:p>
            <w:pPr>
              <w:jc w:val="right"/>
              <w:ind w:right="1292"/>
              <w:spacing w:after="0"/>
              <w:rPr>
                <w:sz w:val="20"/>
                <w:szCs w:val="20"/>
                <w:color w:val="auto"/>
              </w:rPr>
            </w:pPr>
            <w:r>
              <w:rPr>
                <w:rFonts w:ascii="Arial" w:cs="Arial" w:eastAsia="Arial" w:hAnsi="Arial"/>
                <w:sz w:val="11"/>
                <w:szCs w:val="11"/>
                <w:b w:val="1"/>
                <w:bCs w:val="1"/>
                <w:color w:val="auto"/>
              </w:rPr>
              <w:t>001-39614</w:t>
            </w:r>
          </w:p>
        </w:tc>
        <w:tc>
          <w:tcPr>
            <w:tcW w:w="2360" w:type="dxa"/>
            <w:vAlign w:val="bottom"/>
          </w:tcPr>
          <w:p>
            <w:pPr>
              <w:jc w:val="right"/>
              <w:ind w:right="332"/>
              <w:spacing w:after="0"/>
              <w:rPr>
                <w:sz w:val="20"/>
                <w:szCs w:val="20"/>
                <w:color w:val="auto"/>
              </w:rPr>
            </w:pPr>
            <w:r>
              <w:rPr>
                <w:rFonts w:ascii="Arial" w:cs="Arial" w:eastAsia="Arial" w:hAnsi="Arial"/>
                <w:sz w:val="11"/>
                <w:szCs w:val="11"/>
                <w:b w:val="1"/>
                <w:bCs w:val="1"/>
                <w:color w:val="auto"/>
              </w:rPr>
              <w:t>81-4717861</w:t>
            </w:r>
          </w:p>
        </w:tc>
        <w:tc>
          <w:tcPr>
            <w:tcW w:w="0" w:type="dxa"/>
            <w:vAlign w:val="bottom"/>
          </w:tcPr>
          <w:p>
            <w:pPr>
              <w:spacing w:after="0"/>
              <w:rPr>
                <w:sz w:val="1"/>
                <w:szCs w:val="1"/>
                <w:color w:val="auto"/>
              </w:rPr>
            </w:pPr>
          </w:p>
        </w:tc>
      </w:tr>
      <w:tr>
        <w:trPr>
          <w:trHeight w:val="72"/>
        </w:trPr>
        <w:tc>
          <w:tcPr>
            <w:tcW w:w="2600" w:type="dxa"/>
            <w:vAlign w:val="bottom"/>
          </w:tcPr>
          <w:p>
            <w:pPr>
              <w:spacing w:after="0"/>
              <w:rPr>
                <w:sz w:val="6"/>
                <w:szCs w:val="6"/>
                <w:color w:val="auto"/>
              </w:rPr>
            </w:pPr>
          </w:p>
        </w:tc>
        <w:tc>
          <w:tcPr>
            <w:tcW w:w="3080" w:type="dxa"/>
            <w:vAlign w:val="bottom"/>
            <w:vMerge w:val="continue"/>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600" w:type="dxa"/>
            <w:vAlign w:val="bottom"/>
          </w:tcPr>
          <w:p>
            <w:pPr>
              <w:jc w:val="center"/>
              <w:ind w:right="952"/>
              <w:spacing w:after="0"/>
              <w:rPr>
                <w:sz w:val="20"/>
                <w:szCs w:val="20"/>
                <w:color w:val="auto"/>
              </w:rPr>
            </w:pPr>
            <w:r>
              <w:rPr>
                <w:rFonts w:ascii="Arial" w:cs="Arial" w:eastAsia="Arial" w:hAnsi="Arial"/>
                <w:sz w:val="8"/>
                <w:szCs w:val="8"/>
                <w:b w:val="1"/>
                <w:bCs w:val="1"/>
                <w:color w:val="auto"/>
                <w:w w:val="96"/>
              </w:rPr>
              <w:t>(State or other jurisdiction of incorporation)</w:t>
            </w:r>
          </w:p>
        </w:tc>
        <w:tc>
          <w:tcPr>
            <w:tcW w:w="3080" w:type="dxa"/>
            <w:vAlign w:val="bottom"/>
          </w:tcPr>
          <w:p>
            <w:pPr>
              <w:jc w:val="center"/>
              <w:ind w:right="32"/>
              <w:spacing w:after="0"/>
              <w:rPr>
                <w:sz w:val="20"/>
                <w:szCs w:val="20"/>
                <w:color w:val="auto"/>
              </w:rPr>
            </w:pPr>
            <w:r>
              <w:rPr>
                <w:rFonts w:ascii="Arial" w:cs="Arial" w:eastAsia="Arial" w:hAnsi="Arial"/>
                <w:sz w:val="8"/>
                <w:szCs w:val="8"/>
                <w:b w:val="1"/>
                <w:bCs w:val="1"/>
                <w:color w:val="auto"/>
                <w:w w:val="94"/>
              </w:rPr>
              <w:t>(Commission File Number)</w:t>
            </w:r>
          </w:p>
        </w:tc>
        <w:tc>
          <w:tcPr>
            <w:tcW w:w="2360" w:type="dxa"/>
            <w:vAlign w:val="bottom"/>
          </w:tcPr>
          <w:p>
            <w:pPr>
              <w:jc w:val="center"/>
              <w:ind w:left="1032"/>
              <w:spacing w:after="0"/>
              <w:rPr>
                <w:sz w:val="20"/>
                <w:szCs w:val="20"/>
                <w:color w:val="auto"/>
              </w:rPr>
            </w:pPr>
            <w:r>
              <w:rPr>
                <w:rFonts w:ascii="Arial" w:cs="Arial" w:eastAsia="Arial" w:hAnsi="Arial"/>
                <w:sz w:val="8"/>
                <w:szCs w:val="8"/>
                <w:b w:val="1"/>
                <w:bCs w:val="1"/>
                <w:color w:val="auto"/>
                <w:w w:val="97"/>
              </w:rPr>
              <w:t>(I.R.S. Employer Identification No.)</w:t>
            </w:r>
          </w:p>
        </w:tc>
        <w:tc>
          <w:tcPr>
            <w:tcW w:w="0" w:type="dxa"/>
            <w:vAlign w:val="bottom"/>
          </w:tcPr>
          <w:p>
            <w:pPr>
              <w:spacing w:after="0"/>
              <w:rPr>
                <w:sz w:val="1"/>
                <w:szCs w:val="1"/>
                <w:color w:val="auto"/>
              </w:rPr>
            </w:pPr>
          </w:p>
        </w:tc>
      </w:tr>
    </w:tbl>
    <w:p>
      <w:pPr>
        <w:spacing w:after="0" w:line="15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231F20"/>
        </w:rPr>
        <w:t>15440 Laguna Canyon Road, Suite 160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231F20"/>
        </w:rPr>
        <w:t>Irvine, CA 92618</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8"/>
          <w:szCs w:val="8"/>
          <w:b w:val="1"/>
          <w:bCs w:val="1"/>
          <w:color w:val="231F20"/>
        </w:rPr>
        <w:t>(Address of principal executive offices, including Zip Code)</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 (949) 409-9820</w:t>
      </w:r>
    </w:p>
    <w:p>
      <w:pPr>
        <w:spacing w:after="0" w:line="154"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298" w:lineRule="exact"/>
        <w:rPr>
          <w:sz w:val="24"/>
          <w:szCs w:val="24"/>
          <w:color w:val="auto"/>
        </w:rPr>
      </w:pPr>
    </w:p>
    <w:p>
      <w:pPr>
        <w:ind w:left="340" w:hanging="336"/>
        <w:spacing w:after="0"/>
        <w:tabs>
          <w:tab w:leader="none" w:pos="34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179" w:lineRule="exact"/>
        <w:rPr>
          <w:rFonts w:ascii="MS PGothic" w:cs="MS PGothic" w:eastAsia="MS PGothic" w:hAnsi="MS PGothic"/>
          <w:sz w:val="11"/>
          <w:szCs w:val="11"/>
          <w:color w:val="auto"/>
        </w:rPr>
      </w:pPr>
    </w:p>
    <w:p>
      <w:pPr>
        <w:ind w:left="340" w:hanging="336"/>
        <w:spacing w:after="0"/>
        <w:tabs>
          <w:tab w:leader="none" w:pos="34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231F20"/>
        </w:rPr>
        <w:t>Soliciting material pursuant to Rule 14a-12 under the Exchange Act (17 CFR 240.14a-12)</w:t>
      </w:r>
    </w:p>
    <w:p>
      <w:pPr>
        <w:spacing w:after="0" w:line="86" w:lineRule="exact"/>
        <w:rPr>
          <w:rFonts w:ascii="MS PGothic" w:cs="MS PGothic" w:eastAsia="MS PGothic" w:hAnsi="MS PGothic"/>
          <w:sz w:val="11"/>
          <w:szCs w:val="11"/>
          <w:color w:val="auto"/>
        </w:rPr>
      </w:pPr>
    </w:p>
    <w:p>
      <w:pPr>
        <w:ind w:left="340" w:hanging="336"/>
        <w:spacing w:after="0"/>
        <w:tabs>
          <w:tab w:leader="none" w:pos="340" w:val="left"/>
        </w:tabs>
        <w:numPr>
          <w:ilvl w:val="0"/>
          <w:numId w:val="1"/>
        </w:numPr>
        <w:rPr>
          <w:rFonts w:ascii="MS PGothic" w:cs="MS PGothic" w:eastAsia="MS PGothic" w:hAnsi="MS PGothic"/>
          <w:sz w:val="22"/>
          <w:szCs w:val="22"/>
          <w:color w:val="auto"/>
          <w:vertAlign w:val="superscript"/>
        </w:rPr>
      </w:pPr>
      <w:r>
        <w:rPr>
          <w:rFonts w:ascii="Arial" w:cs="Arial" w:eastAsia="Arial" w:hAnsi="Arial"/>
          <w:sz w:val="11"/>
          <w:szCs w:val="11"/>
          <w:color w:val="231F20"/>
        </w:rPr>
        <w:t>Pre-commencement communications pursuant to Rule 14d-2(b) under the Exchange Act (17 CFR 240.14d-2(b))</w:t>
      </w:r>
    </w:p>
    <w:p>
      <w:pPr>
        <w:spacing w:after="0" w:line="160" w:lineRule="exact"/>
        <w:rPr>
          <w:rFonts w:ascii="MS PGothic" w:cs="MS PGothic" w:eastAsia="MS PGothic" w:hAnsi="MS PGothic"/>
          <w:sz w:val="22"/>
          <w:szCs w:val="22"/>
          <w:color w:val="auto"/>
          <w:vertAlign w:val="superscript"/>
        </w:rPr>
      </w:pPr>
    </w:p>
    <w:p>
      <w:pPr>
        <w:ind w:left="340" w:hanging="336"/>
        <w:spacing w:after="0"/>
        <w:tabs>
          <w:tab w:leader="none" w:pos="34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231F20"/>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4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8"/>
              </w:rPr>
              <w:t>Title of each class</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Trading Symbol(s)</w:t>
            </w: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8"/>
              </w:rPr>
              <w:t>Name of each exchange on which registered</w:t>
            </w:r>
          </w:p>
        </w:tc>
      </w:tr>
      <w:tr>
        <w:trPr>
          <w:trHeight w:val="113"/>
        </w:trPr>
        <w:tc>
          <w:tcPr>
            <w:tcW w:w="478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1"/>
                <w:szCs w:val="11"/>
                <w:color w:val="auto"/>
                <w:w w:val="87"/>
              </w:rPr>
              <w:t>Common Stock, $0.0001 par value per share</w:t>
            </w:r>
          </w:p>
        </w:tc>
        <w:tc>
          <w:tcPr>
            <w:tcW w:w="192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1"/>
                <w:szCs w:val="11"/>
                <w:color w:val="auto"/>
                <w:w w:val="88"/>
              </w:rPr>
              <w:t>TARS</w:t>
            </w:r>
          </w:p>
        </w:tc>
        <w:tc>
          <w:tcPr>
            <w:tcW w:w="4600" w:type="dxa"/>
            <w:vAlign w:val="bottom"/>
          </w:tcPr>
          <w:p>
            <w:pPr>
              <w:jc w:val="center"/>
              <w:spacing w:after="0" w:line="113" w:lineRule="exact"/>
              <w:rPr>
                <w:sz w:val="20"/>
                <w:szCs w:val="20"/>
                <w:color w:val="auto"/>
              </w:rPr>
            </w:pPr>
            <w:r>
              <w:rPr>
                <w:rFonts w:ascii="Arial" w:cs="Arial" w:eastAsia="Arial" w:hAnsi="Arial"/>
                <w:sz w:val="11"/>
                <w:szCs w:val="11"/>
                <w:color w:val="auto"/>
                <w:w w:val="90"/>
              </w:rPr>
              <w:t>The Nasdaq Stock Market LLC</w:t>
            </w:r>
          </w:p>
        </w:tc>
      </w:tr>
      <w:tr>
        <w:trPr>
          <w:trHeight w:val="136"/>
        </w:trPr>
        <w:tc>
          <w:tcPr>
            <w:tcW w:w="478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4600" w:type="dxa"/>
            <w:vAlign w:val="bottom"/>
          </w:tcPr>
          <w:p>
            <w:pPr>
              <w:jc w:val="center"/>
              <w:spacing w:after="0"/>
              <w:rPr>
                <w:sz w:val="20"/>
                <w:szCs w:val="20"/>
                <w:color w:val="auto"/>
              </w:rPr>
            </w:pPr>
            <w:r>
              <w:rPr>
                <w:rFonts w:ascii="Arial" w:cs="Arial" w:eastAsia="Arial" w:hAnsi="Arial"/>
                <w:sz w:val="11"/>
                <w:szCs w:val="11"/>
                <w:color w:val="auto"/>
                <w:w w:val="89"/>
              </w:rPr>
              <w:t>Nasdaq Global Select Market</w:t>
            </w:r>
          </w:p>
        </w:tc>
      </w:tr>
      <w:tr>
        <w:trPr>
          <w:trHeight w:val="22"/>
        </w:trPr>
        <w:tc>
          <w:tcPr>
            <w:tcW w:w="4780" w:type="dxa"/>
            <w:vAlign w:val="bottom"/>
            <w:tcBorders>
              <w:right w:val="single" w:sz="8" w:color="auto"/>
            </w:tcBorders>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bl>
    <w:p>
      <w:pPr>
        <w:spacing w:after="0" w:line="202" w:lineRule="exact"/>
        <w:rPr>
          <w:sz w:val="24"/>
          <w:szCs w:val="24"/>
          <w:color w:val="auto"/>
        </w:rPr>
      </w:pPr>
    </w:p>
    <w:p>
      <w:pPr>
        <w:ind w:right="100"/>
        <w:spacing w:after="0" w:line="139" w:lineRule="exact"/>
        <w:rPr>
          <w:sz w:val="20"/>
          <w:szCs w:val="20"/>
          <w:color w:val="auto"/>
        </w:rPr>
      </w:pPr>
      <w:r>
        <w:rPr>
          <w:rFonts w:ascii="Arial" w:cs="Arial" w:eastAsia="Arial" w:hAnsi="Arial"/>
          <w:sz w:val="11"/>
          <w:szCs w:val="11"/>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Arial" w:cs="Arial" w:eastAsia="Arial" w:hAnsi="Arial"/>
          <w:sz w:val="11"/>
          <w:szCs w:val="11"/>
          <w:color w:val="231F20"/>
        </w:rPr>
        <w:t>Emerging growth</w:t>
      </w:r>
      <w:r>
        <w:rPr>
          <w:rFonts w:ascii="Arial" w:cs="Arial" w:eastAsia="Arial" w:hAnsi="Arial"/>
          <w:sz w:val="11"/>
          <w:szCs w:val="11"/>
          <w:color w:val="auto"/>
        </w:rPr>
        <w:t xml:space="preserve"> </w:t>
      </w:r>
      <w:r>
        <w:rPr>
          <w:rFonts w:ascii="Arial" w:cs="Arial" w:eastAsia="Arial" w:hAnsi="Arial"/>
          <w:sz w:val="11"/>
          <w:szCs w:val="11"/>
          <w:color w:val="231F20"/>
        </w:rPr>
        <w:t xml:space="preserve">company </w:t>
      </w:r>
      <w:r>
        <w:rPr>
          <w:rFonts w:ascii="MS PGothic" w:cs="MS PGothic" w:eastAsia="MS PGothic" w:hAnsi="MS PGothic"/>
          <w:sz w:val="11"/>
          <w:szCs w:val="11"/>
          <w:color w:val="231F20"/>
        </w:rPr>
        <w:t>☒</w:t>
      </w:r>
    </w:p>
    <w:p>
      <w:pPr>
        <w:spacing w:after="0" w:line="100"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581025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142240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159385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008" w:right="29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54" w:lineRule="exact"/>
        <w:rPr>
          <w:sz w:val="20"/>
          <w:szCs w:val="20"/>
          <w:color w:val="auto"/>
        </w:rPr>
      </w:pPr>
    </w:p>
    <w:p>
      <w:pPr>
        <w:ind w:right="40" w:firstLine="432"/>
        <w:spacing w:after="0" w:line="306" w:lineRule="auto"/>
        <w:rPr>
          <w:sz w:val="20"/>
          <w:szCs w:val="20"/>
          <w:color w:val="auto"/>
        </w:rPr>
      </w:pPr>
      <w:r>
        <w:rPr>
          <w:rFonts w:ascii="Arial" w:cs="Arial" w:eastAsia="Arial" w:hAnsi="Arial"/>
          <w:sz w:val="11"/>
          <w:szCs w:val="11"/>
          <w:color w:val="auto"/>
        </w:rPr>
        <w:t>On June 15, 2023, Tarsus Pharmaceuticals, Inc. (the “Company”) hosted a Virtual Investor Webcast for investors, including a corporate presentation highlighting the commercialization strategy, plans and progress for TP-03, its investigational potential treatment for Demodex blepharitis, which was posted to the investor section of the Company’s website. A copy of this presentation is filed as Exhibit 99.1 to this Current Report on Form 8-K (the “Report”).</w:t>
      </w:r>
    </w:p>
    <w:p>
      <w:pPr>
        <w:spacing w:after="0" w:line="109" w:lineRule="exact"/>
        <w:rPr>
          <w:sz w:val="20"/>
          <w:szCs w:val="20"/>
          <w:color w:val="auto"/>
        </w:rPr>
      </w:pPr>
    </w:p>
    <w:p>
      <w:pPr>
        <w:jc w:val="both"/>
        <w:ind w:right="400" w:firstLine="432"/>
        <w:spacing w:after="0" w:line="247" w:lineRule="auto"/>
        <w:rPr>
          <w:sz w:val="20"/>
          <w:szCs w:val="20"/>
          <w:color w:val="auto"/>
        </w:rPr>
      </w:pPr>
      <w:r>
        <w:rPr>
          <w:rFonts w:ascii="Arial" w:cs="Arial" w:eastAsia="Arial" w:hAnsi="Arial"/>
          <w:sz w:val="12"/>
          <w:szCs w:val="12"/>
          <w:color w:val="auto"/>
        </w:rPr>
        <w:t>The information in this Report, including Exhibit 99.1 hereto, is being furnished and shall not be deemed “filed” for the purposes of Section 18 of the Securities Exchange Act of 1934, as amended (“Exchange Act”), or otherwise subject to the liabilities of that Section, and shall not be deemed incorporated by reference in any registration statement or other filing pursuant to the Securities Act of 1933, as amended, or the Exchange Act, except as otherwise expressly stated in such filing.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560" w:type="dxa"/>
            <w:vAlign w:val="bottom"/>
          </w:tcPr>
          <w:p>
            <w:pPr>
              <w:spacing w:after="0"/>
              <w:rPr>
                <w:sz w:val="20"/>
                <w:szCs w:val="20"/>
                <w:color w:val="auto"/>
              </w:rPr>
            </w:pPr>
            <w:r>
              <w:rPr>
                <w:rFonts w:ascii="Arial" w:cs="Arial" w:eastAsia="Arial" w:hAnsi="Arial"/>
                <w:sz w:val="12"/>
                <w:szCs w:val="12"/>
                <w:b w:val="1"/>
                <w:bCs w:val="1"/>
                <w:color w:val="auto"/>
              </w:rPr>
              <w:t>Item 9.01 Financial Statements and Exhibits.</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97"/>
        </w:trPr>
        <w:tc>
          <w:tcPr>
            <w:tcW w:w="2560" w:type="dxa"/>
            <w:vAlign w:val="bottom"/>
          </w:tcPr>
          <w:p>
            <w:pPr>
              <w:spacing w:after="0"/>
              <w:rPr>
                <w:sz w:val="20"/>
                <w:szCs w:val="20"/>
                <w:color w:val="auto"/>
              </w:rPr>
            </w:pPr>
            <w:r>
              <w:rPr>
                <w:rFonts w:ascii="Arial" w:cs="Arial" w:eastAsia="Arial" w:hAnsi="Arial"/>
                <w:sz w:val="12"/>
                <w:szCs w:val="12"/>
                <w:color w:val="auto"/>
              </w:rPr>
              <w:t>(d) Exhibits.</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4"/>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Exhibit No.</w:t>
            </w:r>
          </w:p>
        </w:tc>
        <w:tc>
          <w:tcPr>
            <w:tcW w:w="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Description</w:t>
            </w:r>
          </w:p>
        </w:tc>
        <w:tc>
          <w:tcPr>
            <w:tcW w:w="40" w:type="dxa"/>
            <w:vAlign w:val="bottom"/>
          </w:tcPr>
          <w:p>
            <w:pPr>
              <w:spacing w:after="0"/>
              <w:rPr>
                <w:sz w:val="24"/>
                <w:szCs w:val="24"/>
                <w:color w:val="auto"/>
              </w:rPr>
            </w:pPr>
          </w:p>
        </w:tc>
      </w:tr>
      <w:tr>
        <w:trPr>
          <w:trHeight w:val="129"/>
        </w:trPr>
        <w:tc>
          <w:tcPr>
            <w:tcW w:w="2560" w:type="dxa"/>
            <w:vAlign w:val="bottom"/>
          </w:tcPr>
          <w:p>
            <w:pPr>
              <w:jc w:val="right"/>
              <w:ind w:right="380"/>
              <w:spacing w:after="0" w:line="129" w:lineRule="exact"/>
              <w:rPr>
                <w:sz w:val="20"/>
                <w:szCs w:val="20"/>
                <w:color w:val="auto"/>
              </w:rPr>
            </w:pPr>
            <w:r>
              <w:rPr>
                <w:rFonts w:ascii="Arial" w:cs="Arial" w:eastAsia="Arial" w:hAnsi="Arial"/>
                <w:sz w:val="12"/>
                <w:szCs w:val="12"/>
                <w:color w:val="auto"/>
              </w:rPr>
              <w:t>99.1</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tcBorders>
              <w:bottom w:val="single" w:sz="8" w:color="0000FF"/>
            </w:tcBorders>
          </w:tcPr>
          <w:p>
            <w:pPr>
              <w:spacing w:after="0" w:line="129" w:lineRule="exact"/>
              <w:rPr>
                <w:sz w:val="20"/>
                <w:szCs w:val="20"/>
                <w:color w:val="auto"/>
              </w:rPr>
            </w:pPr>
            <w:r>
              <w:rPr>
                <w:rFonts w:ascii="Arial" w:cs="Arial" w:eastAsia="Arial" w:hAnsi="Arial"/>
                <w:sz w:val="12"/>
                <w:szCs w:val="12"/>
                <w:color w:val="0000FF"/>
                <w:w w:val="88"/>
              </w:rPr>
              <w:t>Tarsus Pharmaceuticals, Inc. Corporate Presentation</w:t>
            </w:r>
          </w:p>
        </w:tc>
        <w:tc>
          <w:tcPr>
            <w:tcW w:w="5740" w:type="dxa"/>
            <w:vAlign w:val="bottom"/>
            <w:gridSpan w:val="2"/>
          </w:tcPr>
          <w:p>
            <w:pPr>
              <w:spacing w:after="0"/>
              <w:rPr>
                <w:sz w:val="11"/>
                <w:szCs w:val="11"/>
                <w:color w:val="auto"/>
              </w:rPr>
            </w:pPr>
          </w:p>
        </w:tc>
      </w:tr>
      <w:tr>
        <w:trPr>
          <w:trHeight w:val="187"/>
        </w:trPr>
        <w:tc>
          <w:tcPr>
            <w:tcW w:w="2560" w:type="dxa"/>
            <w:vAlign w:val="bottom"/>
          </w:tcPr>
          <w:p>
            <w:pPr>
              <w:jc w:val="right"/>
              <w:ind w:right="380"/>
              <w:spacing w:after="0"/>
              <w:rPr>
                <w:sz w:val="20"/>
                <w:szCs w:val="20"/>
                <w:color w:val="auto"/>
              </w:rPr>
            </w:pPr>
            <w:r>
              <w:rPr>
                <w:rFonts w:ascii="Arial" w:cs="Arial" w:eastAsia="Arial" w:hAnsi="Arial"/>
                <w:sz w:val="12"/>
                <w:szCs w:val="12"/>
                <w:color w:val="auto"/>
              </w:rPr>
              <w:t>104</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60" w:type="dxa"/>
            <w:vAlign w:val="bottom"/>
            <w:gridSpan w:val="3"/>
          </w:tcPr>
          <w:p>
            <w:pPr>
              <w:spacing w:after="0"/>
              <w:rPr>
                <w:sz w:val="20"/>
                <w:szCs w:val="20"/>
                <w:color w:val="auto"/>
              </w:rPr>
            </w:pPr>
            <w:r>
              <w:rPr>
                <w:rFonts w:ascii="Arial" w:cs="Arial" w:eastAsia="Arial" w:hAnsi="Arial"/>
                <w:sz w:val="12"/>
                <w:szCs w:val="12"/>
                <w:color w:val="auto"/>
              </w:rPr>
              <w:t>Cover Page Interactive Data File (embedded within XBRL document)</w:t>
            </w:r>
          </w:p>
        </w:tc>
      </w:tr>
      <w:tr>
        <w:trPr>
          <w:trHeight w:val="675"/>
        </w:trPr>
        <w:tc>
          <w:tcPr>
            <w:tcW w:w="25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2"/>
          <w:szCs w:val="12"/>
          <w:color w:val="auto"/>
        </w:rPr>
        <w:t>SIGNATURES</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7760" w:type="dxa"/>
            <w:vAlign w:val="bottom"/>
          </w:tcPr>
          <w:p>
            <w:pPr>
              <w:spacing w:after="0"/>
              <w:rPr>
                <w:sz w:val="20"/>
                <w:szCs w:val="20"/>
                <w:color w:val="auto"/>
              </w:rPr>
            </w:pPr>
            <w:r>
              <w:rPr>
                <w:rFonts w:ascii="Arial" w:cs="Arial" w:eastAsia="Arial" w:hAnsi="Arial"/>
                <w:sz w:val="12"/>
                <w:szCs w:val="12"/>
                <w:b w:val="1"/>
                <w:bCs w:val="1"/>
                <w:color w:val="auto"/>
              </w:rPr>
              <w:t>TARSUS PHARMACEUTICALS, INC.</w:t>
            </w:r>
          </w:p>
        </w:tc>
      </w:tr>
      <w:tr>
        <w:trPr>
          <w:trHeight w:val="346"/>
        </w:trPr>
        <w:tc>
          <w:tcPr>
            <w:tcW w:w="1160" w:type="dxa"/>
            <w:vAlign w:val="bottom"/>
          </w:tcPr>
          <w:p>
            <w:pPr>
              <w:spacing w:after="0"/>
              <w:rPr>
                <w:sz w:val="20"/>
                <w:szCs w:val="20"/>
                <w:color w:val="auto"/>
              </w:rPr>
            </w:pPr>
            <w:r>
              <w:rPr>
                <w:rFonts w:ascii="Arial" w:cs="Arial" w:eastAsia="Arial" w:hAnsi="Arial"/>
                <w:sz w:val="12"/>
                <w:szCs w:val="12"/>
                <w:color w:val="auto"/>
              </w:rPr>
              <w:t>Date:</w:t>
            </w:r>
          </w:p>
        </w:tc>
        <w:tc>
          <w:tcPr>
            <w:tcW w:w="2360" w:type="dxa"/>
            <w:vAlign w:val="bottom"/>
          </w:tcPr>
          <w:p>
            <w:pPr>
              <w:ind w:left="880"/>
              <w:spacing w:after="0"/>
              <w:rPr>
                <w:sz w:val="20"/>
                <w:szCs w:val="20"/>
                <w:color w:val="auto"/>
              </w:rPr>
            </w:pPr>
            <w:r>
              <w:rPr>
                <w:rFonts w:ascii="Arial" w:cs="Arial" w:eastAsia="Arial" w:hAnsi="Arial"/>
                <w:sz w:val="12"/>
                <w:szCs w:val="12"/>
                <w:color w:val="auto"/>
              </w:rPr>
              <w:t>June 15, 2023</w:t>
            </w:r>
          </w:p>
        </w:tc>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Jeffrey Farrow</w:t>
            </w:r>
          </w:p>
        </w:tc>
      </w:tr>
      <w:tr>
        <w:trPr>
          <w:trHeight w:val="156"/>
        </w:trPr>
        <w:tc>
          <w:tcPr>
            <w:tcW w:w="11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7760" w:type="dxa"/>
            <w:vAlign w:val="bottom"/>
          </w:tcPr>
          <w:p>
            <w:pPr>
              <w:ind w:left="20"/>
              <w:spacing w:after="0"/>
              <w:rPr>
                <w:sz w:val="20"/>
                <w:szCs w:val="20"/>
                <w:color w:val="auto"/>
              </w:rPr>
            </w:pPr>
            <w:r>
              <w:rPr>
                <w:rFonts w:ascii="Arial" w:cs="Arial" w:eastAsia="Arial" w:hAnsi="Arial"/>
                <w:sz w:val="12"/>
                <w:szCs w:val="12"/>
                <w:color w:val="auto"/>
              </w:rPr>
              <w:t>Jeffrey Farrow</w:t>
            </w:r>
          </w:p>
        </w:tc>
      </w:tr>
      <w:tr>
        <w:trPr>
          <w:trHeight w:val="180"/>
        </w:trPr>
        <w:tc>
          <w:tcPr>
            <w:tcW w:w="11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7760" w:type="dxa"/>
            <w:vAlign w:val="bottom"/>
          </w:tcPr>
          <w:p>
            <w:pPr>
              <w:ind w:left="20"/>
              <w:spacing w:after="0"/>
              <w:rPr>
                <w:sz w:val="20"/>
                <w:szCs w:val="20"/>
                <w:color w:val="auto"/>
              </w:rPr>
            </w:pPr>
            <w:r>
              <w:rPr>
                <w:rFonts w:ascii="Arial" w:cs="Arial" w:eastAsia="Arial" w:hAnsi="Arial"/>
                <w:sz w:val="12"/>
                <w:szCs w:val="12"/>
                <w:color w:val="auto"/>
              </w:rPr>
              <w:t>Chief Financial Officer and Chief Strategy Officer</w:t>
            </w:r>
          </w:p>
        </w:tc>
      </w:tr>
    </w:tbl>
    <w:p>
      <w:pPr>
        <w:sectPr>
          <w:pgSz w:w="11900" w:h="16838" w:orient="portrait"/>
          <w:cols w:equalWidth="0" w:num="1">
            <w:col w:w="11280"/>
          </w:cols>
          <w:pgMar w:left="320" w:top="833"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549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9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2023-06-15T15:12:34Z</dcterms:created>
  <dcterms:modified xsi:type="dcterms:W3CDTF">2023-06-15T15:12:34Z</dcterms:modified>
</cp:coreProperties>
</file>