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center"/>
        <w:ind w:left="440" w:right="160"/>
        <w:spacing w:after="0" w:line="234" w:lineRule="auto"/>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August 7, 2020.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116205</wp:posOffset>
            </wp:positionV>
            <wp:extent cx="1405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116205</wp:posOffset>
            </wp:positionV>
            <wp:extent cx="1405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117475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TARSUS PHARMACEUTICALS, INC.</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107950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1"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284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2836</w:t>
            </w:r>
          </w:p>
        </w:tc>
        <w:tc>
          <w:tcPr>
            <w:tcW w:w="24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81-4717861</w:t>
            </w:r>
          </w:p>
        </w:tc>
      </w:tr>
      <w:tr>
        <w:trPr>
          <w:trHeight w:val="148"/>
        </w:trPr>
        <w:tc>
          <w:tcPr>
            <w:tcW w:w="284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109220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15440 Laguna Canyon Road</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Irvine, California 92618</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(949) 409-9820</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107950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Bobak Azamian, M.D., Ph.D.</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Tarsus Pharmaceuticals, Inc.</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15440 Laguna Canyon Road</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Irvine, California 92618</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(949) 409-9820</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107950</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1" w:lineRule="exact"/>
        <w:rPr>
          <w:sz w:val="24"/>
          <w:szCs w:val="24"/>
          <w:color w:val="auto"/>
        </w:rPr>
      </w:pPr>
    </w:p>
    <w:tbl>
      <w:tblPr>
        <w:tblLayout w:type="fixed"/>
        <w:tblInd w:w="78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356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640" w:type="dxa"/>
            <w:vAlign w:val="bottom"/>
          </w:tcPr>
          <w:p>
            <w:pPr>
              <w:spacing w:after="0"/>
              <w:rPr>
                <w:sz w:val="16"/>
                <w:szCs w:val="16"/>
                <w:color w:val="auto"/>
              </w:rPr>
            </w:pPr>
          </w:p>
        </w:tc>
      </w:tr>
      <w:tr>
        <w:trPr>
          <w:trHeight w:val="174"/>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Ilan Lovinsky</w:t>
            </w:r>
          </w:p>
        </w:tc>
        <w:tc>
          <w:tcPr>
            <w:tcW w:w="35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Leo M. Greenstein</w:t>
            </w:r>
          </w:p>
        </w:tc>
        <w:tc>
          <w:tcPr>
            <w:tcW w:w="264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Ilir Mujalovic</w:t>
            </w:r>
          </w:p>
        </w:tc>
      </w:tr>
      <w:tr>
        <w:trPr>
          <w:trHeight w:val="148"/>
        </w:trPr>
        <w:tc>
          <w:tcPr>
            <w:tcW w:w="324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Jeffrey R. Vetter</w:t>
            </w:r>
          </w:p>
        </w:tc>
        <w:tc>
          <w:tcPr>
            <w:tcW w:w="35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c>
          <w:tcPr>
            <w:tcW w:w="26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Shearman &amp; Sterling LLP</w:t>
            </w:r>
          </w:p>
        </w:tc>
      </w:tr>
      <w:tr>
        <w:trPr>
          <w:trHeight w:val="149"/>
        </w:trPr>
        <w:tc>
          <w:tcPr>
            <w:tcW w:w="324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Ryan J. Gunderson</w:t>
            </w:r>
          </w:p>
        </w:tc>
        <w:tc>
          <w:tcPr>
            <w:tcW w:w="35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Tarsus Pharmaceuticals, Inc.</w:t>
            </w:r>
          </w:p>
        </w:tc>
        <w:tc>
          <w:tcPr>
            <w:tcW w:w="26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599 Lexington Avenue</w:t>
            </w:r>
          </w:p>
        </w:tc>
      </w:tr>
      <w:tr>
        <w:trPr>
          <w:trHeight w:val="148"/>
        </w:trPr>
        <w:tc>
          <w:tcPr>
            <w:tcW w:w="324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Gunderson Dettmer Stough Villeneuve</w:t>
            </w:r>
          </w:p>
        </w:tc>
        <w:tc>
          <w:tcPr>
            <w:tcW w:w="35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15440 Laguna Canyon Road</w:t>
            </w:r>
          </w:p>
        </w:tc>
        <w:tc>
          <w:tcPr>
            <w:tcW w:w="26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10022</w:t>
            </w:r>
          </w:p>
        </w:tc>
      </w:tr>
      <w:tr>
        <w:trPr>
          <w:trHeight w:val="148"/>
        </w:trPr>
        <w:tc>
          <w:tcPr>
            <w:tcW w:w="3240" w:type="dxa"/>
            <w:vAlign w:val="bottom"/>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Franklin &amp; Hachigian, LLP</w:t>
            </w:r>
          </w:p>
        </w:tc>
        <w:tc>
          <w:tcPr>
            <w:tcW w:w="35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Irvine, California 92618</w:t>
            </w:r>
          </w:p>
        </w:tc>
        <w:tc>
          <w:tcPr>
            <w:tcW w:w="26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(212) 848-4000</w:t>
            </w:r>
          </w:p>
        </w:tc>
      </w:tr>
      <w:tr>
        <w:trPr>
          <w:trHeight w:val="149"/>
        </w:trPr>
        <w:tc>
          <w:tcPr>
            <w:tcW w:w="324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3570 Carmel Mountain Road, Suite 200</w:t>
            </w:r>
          </w:p>
        </w:tc>
        <w:tc>
          <w:tcPr>
            <w:tcW w:w="35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(949) 409-9820</w:t>
            </w:r>
          </w:p>
        </w:tc>
        <w:tc>
          <w:tcPr>
            <w:tcW w:w="2640" w:type="dxa"/>
            <w:vAlign w:val="bottom"/>
          </w:tcPr>
          <w:p>
            <w:pPr>
              <w:spacing w:after="0"/>
              <w:rPr>
                <w:sz w:val="12"/>
                <w:szCs w:val="12"/>
                <w:color w:val="auto"/>
              </w:rPr>
            </w:pPr>
          </w:p>
        </w:tc>
      </w:tr>
      <w:tr>
        <w:trPr>
          <w:trHeight w:val="148"/>
        </w:trPr>
        <w:tc>
          <w:tcPr>
            <w:tcW w:w="3240" w:type="dxa"/>
            <w:vAlign w:val="bottom"/>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San Diego, California 92130</w:t>
            </w:r>
          </w:p>
        </w:tc>
        <w:tc>
          <w:tcPr>
            <w:tcW w:w="3560" w:type="dxa"/>
            <w:vAlign w:val="bottom"/>
          </w:tcPr>
          <w:p>
            <w:pPr>
              <w:spacing w:after="0"/>
              <w:rPr>
                <w:sz w:val="12"/>
                <w:szCs w:val="12"/>
                <w:color w:val="auto"/>
              </w:rPr>
            </w:pPr>
          </w:p>
        </w:tc>
        <w:tc>
          <w:tcPr>
            <w:tcW w:w="2640" w:type="dxa"/>
            <w:vAlign w:val="bottom"/>
          </w:tcPr>
          <w:p>
            <w:pPr>
              <w:spacing w:after="0"/>
              <w:rPr>
                <w:sz w:val="12"/>
                <w:szCs w:val="12"/>
                <w:color w:val="auto"/>
              </w:rPr>
            </w:pPr>
          </w:p>
        </w:tc>
      </w:tr>
      <w:tr>
        <w:trPr>
          <w:trHeight w:val="190"/>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(858) 436-8000</w:t>
            </w:r>
          </w:p>
        </w:tc>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109220</wp:posOffset>
            </wp:positionV>
            <wp:extent cx="140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95"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the effective date of this registration statement.</w:t>
      </w:r>
    </w:p>
    <w:p>
      <w:pPr>
        <w:spacing w:after="0" w:line="44" w:lineRule="exact"/>
        <w:rPr>
          <w:sz w:val="24"/>
          <w:szCs w:val="24"/>
          <w:color w:val="auto"/>
        </w:rPr>
      </w:pPr>
    </w:p>
    <w:p>
      <w:pPr>
        <w:ind w:left="120" w:right="500" w:firstLine="881"/>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180" w:firstLine="881"/>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340" w:firstLine="881"/>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340" w:firstLine="881"/>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500" w:firstLine="881"/>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 w:lineRule="exact"/>
        <w:rPr>
          <w:sz w:val="24"/>
          <w:szCs w:val="24"/>
          <w:color w:val="auto"/>
        </w:rPr>
      </w:pPr>
    </w:p>
    <w:p>
      <w:pPr>
        <w:ind w:left="120" w:right="140" w:firstLine="881"/>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100965</wp:posOffset>
            </wp:positionV>
            <wp:extent cx="140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8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60"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00" w:type="dxa"/>
            <w:vAlign w:val="bottom"/>
            <w:tcBorders>
              <w:top w:val="single" w:sz="8" w:color="auto"/>
              <w:bottom w:val="single" w:sz="8" w:color="auto"/>
            </w:tcBorders>
          </w:tcPr>
          <w:p>
            <w:pPr>
              <w:spacing w:after="0"/>
              <w:rPr>
                <w:sz w:val="3"/>
                <w:szCs w:val="3"/>
                <w:color w:val="auto"/>
              </w:rPr>
            </w:pPr>
          </w:p>
        </w:tc>
        <w:tc>
          <w:tcPr>
            <w:tcW w:w="76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00" w:type="dxa"/>
            <w:vAlign w:val="bottom"/>
          </w:tcPr>
          <w:p>
            <w:pPr>
              <w:spacing w:after="0"/>
              <w:rPr>
                <w:sz w:val="9"/>
                <w:szCs w:val="9"/>
                <w:color w:val="auto"/>
              </w:rPr>
            </w:pPr>
          </w:p>
        </w:tc>
        <w:tc>
          <w:tcPr>
            <w:tcW w:w="7640" w:type="dxa"/>
            <w:vAlign w:val="bottom"/>
            <w:tcBorders>
              <w:right w:val="single" w:sz="8" w:color="auto"/>
            </w:tcBorders>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54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76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00" w:type="dxa"/>
            <w:vAlign w:val="bottom"/>
            <w:tcBorders>
              <w:bottom w:val="single" w:sz="8" w:color="auto"/>
            </w:tcBorders>
          </w:tcPr>
          <w:p>
            <w:pPr>
              <w:spacing w:after="0"/>
              <w:rPr>
                <w:sz w:val="16"/>
                <w:szCs w:val="16"/>
                <w:color w:val="auto"/>
              </w:rPr>
            </w:pPr>
          </w:p>
        </w:tc>
        <w:tc>
          <w:tcPr>
            <w:tcW w:w="7640" w:type="dxa"/>
            <w:vAlign w:val="bottom"/>
            <w:tcBorders>
              <w:bottom w:val="single" w:sz="8" w:color="auto"/>
              <w:right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Offering Price </w:t>
            </w:r>
            <w:r>
              <w:rPr>
                <w:rFonts w:ascii="Times New Roman" w:cs="Times New Roman" w:eastAsia="Times New Roman" w:hAnsi="Times New Roman"/>
                <w:sz w:val="12"/>
                <w:szCs w:val="12"/>
                <w:b w:val="1"/>
                <w:bCs w:val="1"/>
                <w:color w:val="auto"/>
              </w:rPr>
              <w:t>(1)(2)</w:t>
            </w:r>
          </w:p>
        </w:tc>
        <w:tc>
          <w:tcPr>
            <w:tcW w:w="154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 xml:space="preserve">Registration Fee </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42"/>
        </w:trPr>
        <w:tc>
          <w:tcPr>
            <w:tcW w:w="7940" w:type="dxa"/>
            <w:vAlign w:val="bottom"/>
            <w:tcBorders>
              <w:bottom w:val="single" w:sz="8" w:color="auto"/>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Common Stock, $0.0001 par value per share</w:t>
            </w:r>
          </w:p>
        </w:tc>
        <w:tc>
          <w:tcPr>
            <w:tcW w:w="1540" w:type="dxa"/>
            <w:vAlign w:val="bottom"/>
            <w:tcBorders>
              <w:bottom w:val="single" w:sz="8" w:color="auto"/>
              <w:right w:val="single" w:sz="8" w:color="auto"/>
            </w:tcBorders>
          </w:tcPr>
          <w:p>
            <w:pPr>
              <w:jc w:val="right"/>
              <w:ind w:right="991"/>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7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Estimated pursuant to Rule 457(o) under the Securities Act of 1933, as amended.</w:t>
            </w:r>
          </w:p>
        </w:tc>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7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Includes the aggregate offering price of additional shares that the underwriters have the option to purchase.</w:t>
            </w:r>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7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Calculated pursuant to Rule 457(o) based on an estimate of the proposed maximum aggregate offering price.</w:t>
            </w: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100965</wp:posOffset>
            </wp:positionV>
            <wp:extent cx="1405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1" w:lineRule="exact"/>
        <w:rPr>
          <w:sz w:val="24"/>
          <w:szCs w:val="24"/>
          <w:color w:val="auto"/>
        </w:rPr>
      </w:pPr>
    </w:p>
    <w:p>
      <w:pPr>
        <w:jc w:val="both"/>
        <w:ind w:left="120" w:right="20" w:firstLine="881"/>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Pursuant to the applicable provisions of the Fixing America’s Surface Transportation Act, we are omitting our unaudited financial statements as of and for the three months ended March 31, 2020 and March 31, 2019. While this financial information is otherwise required by Regulation S-X, we reasonably believe that it will not be required to be included in the prospectus at the time of the contemplated offering. We intend to amend this registration statement to include all financial information required by Regulation S-X at the date of such amendment before distributing a preliminary prospectus to investors.</w:t>
      </w:r>
    </w:p>
    <w:p>
      <w:pPr>
        <w:sectPr>
          <w:pgSz w:w="11900" w:h="16838" w:orient="portrait"/>
          <w:cols w:equalWidth="0" w:num="1">
            <w:col w:w="11080"/>
          </w:cols>
          <w:pgMar w:left="32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FF4338"/>
        </w:rPr>
        <w:t>Subject to Completion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FF4338"/>
        </w:rPr>
        <w:t>Preliminary Prospectus dated August 7, 2020</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155575</wp:posOffset>
            </wp:positionV>
            <wp:extent cx="1808480" cy="402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848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Tarsus Pharmaceuticals, Inc.</w:t>
      </w:r>
    </w:p>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This is Tarsus Pharmaceuticals, Inc.’s initial public offering. We are selling</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w:t>
      </w:r>
    </w:p>
    <w:p>
      <w:pPr>
        <w:spacing w:after="0" w:line="117" w:lineRule="exact"/>
        <w:rPr>
          <w:sz w:val="20"/>
          <w:szCs w:val="20"/>
          <w:color w:val="auto"/>
        </w:rPr>
      </w:pPr>
    </w:p>
    <w:p>
      <w:pPr>
        <w:sectPr>
          <w:pgSz w:w="11900" w:h="16838" w:orient="portrait"/>
          <w:cols w:equalWidth="0" w:num="2">
            <w:col w:w="6400" w:space="720"/>
            <w:col w:w="4020"/>
          </w:cols>
          <w:pgMar w:left="320" w:top="455" w:right="439" w:bottom="1440" w:gutter="0" w:footer="0" w:header="0"/>
          <w:type w:val="continuous"/>
        </w:sectPr>
      </w:pPr>
    </w:p>
    <w:p>
      <w:pPr>
        <w:ind w:left="1000"/>
        <w:spacing w:after="0"/>
        <w:tabs>
          <w:tab w:leader="none" w:pos="5280" w:val="left"/>
          <w:tab w:leader="none" w:pos="6260" w:val="left"/>
        </w:tabs>
        <w:rPr>
          <w:sz w:val="20"/>
          <w:szCs w:val="20"/>
          <w:color w:val="auto"/>
        </w:rPr>
      </w:pPr>
      <w:r>
        <w:rPr>
          <w:rFonts w:ascii="Times New Roman" w:cs="Times New Roman" w:eastAsia="Times New Roman" w:hAnsi="Times New Roman"/>
          <w:sz w:val="18"/>
          <w:szCs w:val="18"/>
          <w:color w:val="auto"/>
        </w:rPr>
        <w:t>We expect the public offering price to be between $</w:t>
      </w:r>
      <w:r>
        <w:rPr>
          <w:sz w:val="20"/>
          <w:szCs w:val="20"/>
          <w:color w:val="auto"/>
        </w:rPr>
        <w:tab/>
      </w:r>
      <w:r>
        <w:rPr>
          <w:rFonts w:ascii="Times New Roman" w:cs="Times New Roman" w:eastAsia="Times New Roman" w:hAnsi="Times New Roman"/>
          <w:sz w:val="18"/>
          <w:szCs w:val="18"/>
          <w:color w:val="auto"/>
        </w:rPr>
        <w:t>and $</w:t>
      </w:r>
      <w:r>
        <w:rPr>
          <w:sz w:val="20"/>
          <w:szCs w:val="20"/>
          <w:color w:val="auto"/>
        </w:rPr>
        <w:tab/>
      </w:r>
      <w:r>
        <w:rPr>
          <w:rFonts w:ascii="Times New Roman" w:cs="Times New Roman" w:eastAsia="Times New Roman" w:hAnsi="Times New Roman"/>
          <w:sz w:val="17"/>
          <w:szCs w:val="17"/>
          <w:color w:val="auto"/>
        </w:rPr>
        <w:t>per share. Currently, no public market exists for the shares of our</w:t>
      </w:r>
    </w:p>
    <w:p>
      <w:pPr>
        <w:sectPr>
          <w:pgSz w:w="11900" w:h="16838" w:orient="portrait"/>
          <w:cols w:equalWidth="0" w:num="1">
            <w:col w:w="11140"/>
          </w:cols>
          <w:pgMar w:left="320" w:top="455" w:right="439" w:bottom="1440" w:gutter="0" w:footer="0" w:header="0"/>
          <w:type w:val="continuous"/>
        </w:sectPr>
      </w:pP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We intend to apply to list our common stock on the Nasdaq Global Market under the symbol “TARS.”</w:t>
      </w:r>
    </w:p>
    <w:p>
      <w:pPr>
        <w:spacing w:after="0" w:line="86" w:lineRule="exact"/>
        <w:rPr>
          <w:sz w:val="20"/>
          <w:szCs w:val="20"/>
          <w:color w:val="auto"/>
        </w:rPr>
      </w:pPr>
    </w:p>
    <w:p>
      <w:pPr>
        <w:ind w:left="120" w:right="80" w:firstLine="881"/>
        <w:spacing w:after="0" w:line="246" w:lineRule="auto"/>
        <w:rPr>
          <w:sz w:val="20"/>
          <w:szCs w:val="20"/>
          <w:color w:val="auto"/>
        </w:rPr>
      </w:pPr>
      <w:r>
        <w:rPr>
          <w:rFonts w:ascii="Times New Roman" w:cs="Times New Roman" w:eastAsia="Times New Roman" w:hAnsi="Times New Roman"/>
          <w:sz w:val="22"/>
          <w:szCs w:val="22"/>
          <w:b w:val="1"/>
          <w:bCs w:val="1"/>
          <w:color w:val="auto"/>
        </w:rPr>
        <w:t>We are an emerging growth company as defined under the U.S. federal securities laws and, as such, may elect to comply with certain reduced public company reporting requirements for this and future filings. See “Prospectus Summary—Implications of Being an Emerging Growth Company.”</w:t>
      </w:r>
    </w:p>
    <w:p>
      <w:pPr>
        <w:spacing w:after="0" w:line="59" w:lineRule="exact"/>
        <w:rPr>
          <w:sz w:val="20"/>
          <w:szCs w:val="20"/>
          <w:color w:val="auto"/>
        </w:rPr>
      </w:pPr>
    </w:p>
    <w:p>
      <w:pPr>
        <w:ind w:left="120" w:right="360" w:firstLine="881"/>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common stock involves risks that are described in the “</w:t>
      </w:r>
      <w:hyperlink w:anchor="page19">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section beginning on page 15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5"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4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Underwriting discount </w:t>
            </w:r>
            <w:r>
              <w:rPr>
                <w:rFonts w:ascii="Times New Roman" w:cs="Times New Roman" w:eastAsia="Times New Roman" w:hAnsi="Times New Roman"/>
                <w:sz w:val="15"/>
                <w:szCs w:val="15"/>
                <w:color w:val="auto"/>
              </w:rPr>
              <w:t>(1)</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bl>
    <w:p>
      <w:pPr>
        <w:spacing w:after="0" w:line="99" w:lineRule="exact"/>
        <w:rPr>
          <w:sz w:val="20"/>
          <w:szCs w:val="20"/>
          <w:color w:val="auto"/>
        </w:rPr>
      </w:pPr>
    </w:p>
    <w:p>
      <w:pPr>
        <w:ind w:left="1720" w:right="2300" w:hanging="281"/>
        <w:spacing w:after="0" w:line="261" w:lineRule="auto"/>
        <w:tabs>
          <w:tab w:leader="none" w:pos="1707"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you to “Underwriting” beginning on page 185 of this prospectus for additional information regarding underwriting compensation.</w:t>
      </w:r>
    </w:p>
    <w:p>
      <w:pPr>
        <w:sectPr>
          <w:pgSz w:w="11900" w:h="16838" w:orient="portrait"/>
          <w:cols w:equalWidth="0" w:num="1">
            <w:col w:w="11140"/>
          </w:cols>
          <w:pgMar w:left="320" w:top="455" w:right="439" w:bottom="1440" w:gutter="0" w:footer="0" w:header="0"/>
          <w:type w:val="continuous"/>
        </w:sectPr>
      </w:pPr>
    </w:p>
    <w:p>
      <w:pPr>
        <w:spacing w:after="0" w:line="73" w:lineRule="exact"/>
        <w:rPr>
          <w:sz w:val="20"/>
          <w:szCs w:val="20"/>
          <w:color w:val="auto"/>
        </w:rPr>
      </w:pPr>
    </w:p>
    <w:p>
      <w:pPr>
        <w:ind w:left="120" w:firstLine="881"/>
        <w:spacing w:after="0" w:line="312" w:lineRule="auto"/>
        <w:rPr>
          <w:sz w:val="20"/>
          <w:szCs w:val="20"/>
          <w:color w:val="auto"/>
        </w:rPr>
      </w:pPr>
      <w:r>
        <w:rPr>
          <w:rFonts w:ascii="Times New Roman" w:cs="Times New Roman" w:eastAsia="Times New Roman" w:hAnsi="Times New Roman"/>
          <w:sz w:val="17"/>
          <w:szCs w:val="17"/>
          <w:color w:val="auto"/>
        </w:rPr>
        <w:t>The underwriters may also exercise their option to purchase up to an additional offering price, less the underwriting discount, for 30 days after the date of this prospectus.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 stock from us, at the public</w:t>
      </w:r>
    </w:p>
    <w:p>
      <w:pPr>
        <w:spacing w:after="0" w:line="340" w:lineRule="exact"/>
        <w:rPr>
          <w:sz w:val="20"/>
          <w:szCs w:val="20"/>
          <w:color w:val="auto"/>
        </w:rPr>
      </w:pPr>
    </w:p>
    <w:p>
      <w:pPr>
        <w:sectPr>
          <w:pgSz w:w="11900" w:h="16838" w:orient="portrait"/>
          <w:cols w:equalWidth="0" w:num="2">
            <w:col w:w="6700" w:space="620"/>
            <w:col w:w="3820"/>
          </w:cols>
          <w:pgMar w:left="320" w:top="455" w:right="439" w:bottom="1440" w:gutter="0" w:footer="0" w:header="0"/>
          <w:type w:val="continuous"/>
        </w:sectPr>
      </w:pPr>
    </w:p>
    <w:p>
      <w:pPr>
        <w:ind w:left="120" w:right="700" w:firstLine="88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1"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The shares of common stock will be ready for delivery on or about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145415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7" w:lineRule="exact"/>
        <w:rPr>
          <w:sz w:val="20"/>
          <w:szCs w:val="20"/>
          <w:color w:val="auto"/>
        </w:rPr>
      </w:pPr>
    </w:p>
    <w:tbl>
      <w:tblPr>
        <w:tblLayout w:type="fixed"/>
        <w:tblInd w:w="120" w:type="dxa"/>
        <w:tblCellMar>
          <w:top w:w="0" w:type="dxa"/>
          <w:left w:w="0" w:type="dxa"/>
          <w:bottom w:w="0" w:type="dxa"/>
          <w:right w:w="0" w:type="dxa"/>
        </w:tblCellMar>
      </w:tblPr>
      <w:tr>
        <w:trPr>
          <w:trHeight w:val="383"/>
        </w:trPr>
        <w:tc>
          <w:tcPr>
            <w:tcW w:w="192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w w:val="98"/>
              </w:rPr>
              <w:t>BofA Securities</w:t>
            </w:r>
          </w:p>
        </w:tc>
        <w:tc>
          <w:tcPr>
            <w:tcW w:w="2420" w:type="dxa"/>
            <w:vAlign w:val="bottom"/>
          </w:tcPr>
          <w:p>
            <w:pPr>
              <w:spacing w:after="0"/>
              <w:rPr>
                <w:sz w:val="24"/>
                <w:szCs w:val="24"/>
                <w:color w:val="auto"/>
              </w:rPr>
            </w:pPr>
          </w:p>
        </w:tc>
        <w:tc>
          <w:tcPr>
            <w:tcW w:w="2320" w:type="dxa"/>
            <w:vAlign w:val="bottom"/>
          </w:tcPr>
          <w:p>
            <w:pPr>
              <w:ind w:left="540"/>
              <w:spacing w:after="0"/>
              <w:rPr>
                <w:sz w:val="20"/>
                <w:szCs w:val="20"/>
                <w:color w:val="auto"/>
              </w:rPr>
            </w:pPr>
            <w:r>
              <w:rPr>
                <w:rFonts w:ascii="Times New Roman" w:cs="Times New Roman" w:eastAsia="Times New Roman" w:hAnsi="Times New Roman"/>
                <w:sz w:val="29"/>
                <w:szCs w:val="29"/>
                <w:b w:val="1"/>
                <w:bCs w:val="1"/>
                <w:color w:val="auto"/>
              </w:rPr>
              <w:t>Jefferies</w:t>
            </w:r>
          </w:p>
        </w:tc>
        <w:tc>
          <w:tcPr>
            <w:tcW w:w="4360" w:type="dxa"/>
            <w:vAlign w:val="bottom"/>
          </w:tcPr>
          <w:p>
            <w:pPr>
              <w:jc w:val="right"/>
              <w:spacing w:after="0"/>
              <w:rPr>
                <w:sz w:val="20"/>
                <w:szCs w:val="20"/>
                <w:color w:val="auto"/>
              </w:rPr>
            </w:pPr>
            <w:r>
              <w:rPr>
                <w:rFonts w:ascii="Times New Roman" w:cs="Times New Roman" w:eastAsia="Times New Roman" w:hAnsi="Times New Roman"/>
                <w:sz w:val="29"/>
                <w:szCs w:val="29"/>
                <w:b w:val="1"/>
                <w:bCs w:val="1"/>
                <w:color w:val="auto"/>
              </w:rPr>
              <w:t>Raymond James</w:t>
            </w:r>
          </w:p>
        </w:tc>
      </w:tr>
      <w:tr>
        <w:trPr>
          <w:trHeight w:val="420"/>
        </w:trPr>
        <w:tc>
          <w:tcPr>
            <w:tcW w:w="192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25"/>
                <w:szCs w:val="25"/>
                <w:b w:val="1"/>
                <w:bCs w:val="1"/>
                <w:color w:val="auto"/>
              </w:rPr>
              <w:t>LifeSci Capital</w:t>
            </w:r>
          </w:p>
        </w:tc>
        <w:tc>
          <w:tcPr>
            <w:tcW w:w="4360" w:type="dxa"/>
            <w:vAlign w:val="bottom"/>
          </w:tcPr>
          <w:p>
            <w:pPr>
              <w:jc w:val="right"/>
              <w:ind w:right="1400"/>
              <w:spacing w:after="0"/>
              <w:rPr>
                <w:sz w:val="20"/>
                <w:szCs w:val="20"/>
                <w:color w:val="auto"/>
              </w:rPr>
            </w:pPr>
            <w:r>
              <w:rPr>
                <w:rFonts w:ascii="Times New Roman" w:cs="Times New Roman" w:eastAsia="Times New Roman" w:hAnsi="Times New Roman"/>
                <w:sz w:val="25"/>
                <w:szCs w:val="25"/>
                <w:b w:val="1"/>
                <w:bCs w:val="1"/>
                <w:color w:val="auto"/>
              </w:rPr>
              <w:t>Ladenburg Thalmann</w:t>
            </w:r>
          </w:p>
        </w:tc>
      </w:tr>
      <w:tr>
        <w:trPr>
          <w:trHeight w:val="221"/>
        </w:trPr>
        <w:tc>
          <w:tcPr>
            <w:tcW w:w="19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4360" w:type="dxa"/>
            <w:vAlign w:val="bottom"/>
          </w:tcPr>
          <w:p>
            <w:pPr>
              <w:spacing w:after="0"/>
              <w:rPr>
                <w:sz w:val="19"/>
                <w:szCs w:val="19"/>
                <w:color w:val="auto"/>
              </w:rPr>
            </w:pPr>
          </w:p>
        </w:tc>
      </w:tr>
      <w:tr>
        <w:trPr>
          <w:trHeight w:val="318"/>
        </w:trPr>
        <w:tc>
          <w:tcPr>
            <w:tcW w:w="1920" w:type="dxa"/>
            <w:vAlign w:val="bottom"/>
          </w:tcPr>
          <w:p>
            <w:pPr>
              <w:spacing w:after="0"/>
              <w:rPr>
                <w:sz w:val="24"/>
                <w:szCs w:val="24"/>
                <w:color w:val="auto"/>
              </w:rPr>
            </w:pPr>
          </w:p>
        </w:tc>
        <w:tc>
          <w:tcPr>
            <w:tcW w:w="47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360" w:type="dxa"/>
            <w:vAlign w:val="bottom"/>
          </w:tcPr>
          <w:p>
            <w:pPr>
              <w:jc w:val="right"/>
              <w:ind w:right="3620"/>
              <w:spacing w:after="0"/>
              <w:rPr>
                <w:sz w:val="20"/>
                <w:szCs w:val="20"/>
                <w:color w:val="auto"/>
              </w:rPr>
            </w:pPr>
            <w:r>
              <w:rPr>
                <w:rFonts w:ascii="Times New Roman" w:cs="Times New Roman" w:eastAsia="Times New Roman" w:hAnsi="Times New Roman"/>
                <w:sz w:val="18"/>
                <w:szCs w:val="18"/>
                <w:color w:val="auto"/>
              </w:rPr>
              <w:t>, 2020.</w:t>
            </w:r>
          </w:p>
        </w:tc>
      </w:tr>
    </w:tbl>
    <w:p>
      <w:pPr>
        <w:sectPr>
          <w:pgSz w:w="11900" w:h="16838" w:orient="portrait"/>
          <w:cols w:equalWidth="0" w:num="1">
            <w:col w:w="11140"/>
          </w:cols>
          <w:pgMar w:left="320" w:top="455" w:right="439" w:bottom="1440" w:gutter="0" w:footer="0" w:header="0"/>
          <w:type w:val="continuous"/>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998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tc>
        <w:tc>
          <w:tcPr>
            <w:tcW w:w="1100" w:type="dxa"/>
            <w:vAlign w:val="bottom"/>
          </w:tcPr>
          <w:p>
            <w:pPr>
              <w:spacing w:after="0"/>
              <w:rPr>
                <w:sz w:val="20"/>
                <w:szCs w:val="20"/>
                <w:color w:val="auto"/>
              </w:rPr>
            </w:pPr>
          </w:p>
        </w:tc>
      </w:tr>
      <w:tr>
        <w:trPr>
          <w:trHeight w:val="513"/>
        </w:trPr>
        <w:tc>
          <w:tcPr>
            <w:tcW w:w="998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00" w:type="dxa"/>
            <w:vAlign w:val="bottom"/>
          </w:tcPr>
          <w:p>
            <w:pPr>
              <w:spacing w:after="0"/>
              <w:rPr>
                <w:sz w:val="24"/>
                <w:szCs w:val="24"/>
                <w:color w:val="auto"/>
              </w:rPr>
            </w:pPr>
          </w:p>
        </w:tc>
      </w:tr>
      <w:tr>
        <w:trPr>
          <w:trHeight w:val="441"/>
        </w:trPr>
        <w:tc>
          <w:tcPr>
            <w:tcW w:w="998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PROSPECTUS SUMMARY</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RISK FACTORS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SPECIAL NOTE REGARDING FORWARD-LOOKING STATEMENTS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MARKET, INDUSTRY AND OTHER DATA</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USE OF PROCEEDS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DIVIDEND POLICY</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CAPITALIZATION</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DILUTION</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SELECTED FINANCIAL DATA</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BUSINESS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56">
              <w:r>
                <w:rPr>
                  <w:rFonts w:ascii="Times New Roman" w:cs="Times New Roman" w:eastAsia="Times New Roman" w:hAnsi="Times New Roman"/>
                  <w:sz w:val="18"/>
                  <w:szCs w:val="18"/>
                  <w:u w:val="single" w:color="auto"/>
                  <w:color w:val="0000EE"/>
                </w:rPr>
                <w:t>MANAGEMENT</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64">
              <w:r>
                <w:rPr>
                  <w:rFonts w:ascii="Times New Roman" w:cs="Times New Roman" w:eastAsia="Times New Roman" w:hAnsi="Times New Roman"/>
                  <w:sz w:val="18"/>
                  <w:szCs w:val="18"/>
                  <w:u w:val="single" w:color="auto"/>
                  <w:color w:val="0000EE"/>
                </w:rPr>
                <w:t>EXECUTIVE COMPENSATION</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CERTAIN RELATIONSHIPS AND RELATED PARTY TRANSACTIONS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75">
              <w:r>
                <w:rPr>
                  <w:rFonts w:ascii="Times New Roman" w:cs="Times New Roman" w:eastAsia="Times New Roman" w:hAnsi="Times New Roman"/>
                  <w:sz w:val="18"/>
                  <w:szCs w:val="18"/>
                  <w:u w:val="single" w:color="auto"/>
                  <w:color w:val="0000EE"/>
                </w:rPr>
                <w:t>PRINCIPAL STOCKHOLDERS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77">
              <w:r>
                <w:rPr>
                  <w:rFonts w:ascii="Times New Roman" w:cs="Times New Roman" w:eastAsia="Times New Roman" w:hAnsi="Times New Roman"/>
                  <w:sz w:val="18"/>
                  <w:szCs w:val="18"/>
                  <w:u w:val="single" w:color="auto"/>
                  <w:color w:val="0000EE"/>
                </w:rPr>
                <w:t>DESCRIPTION OF CAPITAL STOCK</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82">
              <w:r>
                <w:rPr>
                  <w:rFonts w:ascii="Times New Roman" w:cs="Times New Roman" w:eastAsia="Times New Roman" w:hAnsi="Times New Roman"/>
                  <w:sz w:val="18"/>
                  <w:szCs w:val="18"/>
                  <w:u w:val="single" w:color="auto"/>
                  <w:color w:val="0000EE"/>
                </w:rPr>
                <w:t>SHARES ELIGIBLE FOR FUTURE SALE</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85">
              <w:r>
                <w:rPr>
                  <w:rFonts w:ascii="Times New Roman" w:cs="Times New Roman" w:eastAsia="Times New Roman" w:hAnsi="Times New Roman"/>
                  <w:sz w:val="18"/>
                  <w:szCs w:val="18"/>
                  <w:u w:val="single" w:color="auto"/>
                  <w:color w:val="0000EE"/>
                </w:rPr>
                <w:t>MATERIAL U.S. FEDERAL INCOME TAX CONSEQUENCES FOR NON-U.S. HOLDERS OF OUR COMMON STOCK</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89">
              <w:r>
                <w:rPr>
                  <w:rFonts w:ascii="Times New Roman" w:cs="Times New Roman" w:eastAsia="Times New Roman" w:hAnsi="Times New Roman"/>
                  <w:sz w:val="18"/>
                  <w:szCs w:val="18"/>
                  <w:u w:val="single" w:color="auto"/>
                  <w:color w:val="0000EE"/>
                </w:rPr>
                <w:t>UNDERWRITING</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97">
              <w:r>
                <w:rPr>
                  <w:rFonts w:ascii="Times New Roman" w:cs="Times New Roman" w:eastAsia="Times New Roman" w:hAnsi="Times New Roman"/>
                  <w:sz w:val="18"/>
                  <w:szCs w:val="18"/>
                  <w:u w:val="single" w:color="auto"/>
                  <w:color w:val="0000EE"/>
                </w:rPr>
                <w:t>LEGAL MATTERS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97">
              <w:r>
                <w:rPr>
                  <w:rFonts w:ascii="Times New Roman" w:cs="Times New Roman" w:eastAsia="Times New Roman" w:hAnsi="Times New Roman"/>
                  <w:sz w:val="18"/>
                  <w:szCs w:val="18"/>
                  <w:u w:val="single" w:color="auto"/>
                  <w:color w:val="0000EE"/>
                </w:rPr>
                <w:t>EXPERTS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97">
              <w:r>
                <w:rPr>
                  <w:rFonts w:ascii="Times New Roman" w:cs="Times New Roman" w:eastAsia="Times New Roman" w:hAnsi="Times New Roman"/>
                  <w:sz w:val="18"/>
                  <w:szCs w:val="18"/>
                  <w:u w:val="single" w:color="auto"/>
                  <w:color w:val="0000EE"/>
                </w:rPr>
                <w:t>WHERE YOU CAN FIND ADDITIONAL INFORMATION</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4"/>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INDEX TO FINANCIAL STATEMENTS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bl>
    <w:p>
      <w:pPr>
        <w:spacing w:after="0" w:line="198"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or to make any representations other than those contained in this prospectus, any amendment or supplement to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8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13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4813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852"/>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“Business,” “Management’s Discussion and Analysis of Financial Condition and Results of Operations” and our financial statements and related notes included elsewhere in this prospectus before making an investment decision. In this prospectus, unless context requires otherwise, references to “we,” “us,” “our,” “Tarsus,” or “the Company” refer to Tarsus Pharmaceuticals, Inc.</w:t>
      </w:r>
    </w:p>
    <w:p>
      <w:pPr>
        <w:spacing w:after="0" w:line="1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right="40" w:firstLine="852"/>
        <w:spacing w:after="0" w:line="252" w:lineRule="auto"/>
        <w:rPr>
          <w:sz w:val="20"/>
          <w:szCs w:val="20"/>
          <w:color w:val="auto"/>
        </w:rPr>
      </w:pPr>
      <w:r>
        <w:rPr>
          <w:rFonts w:ascii="Times New Roman" w:cs="Times New Roman" w:eastAsia="Times New Roman" w:hAnsi="Times New Roman"/>
          <w:sz w:val="18"/>
          <w:szCs w:val="18"/>
          <w:color w:val="auto"/>
        </w:rPr>
        <w:t>We are a late clinical-stage biopharmaceutical company focused on the development and commercialization of first-in-class therapeutic candidates to address large market opportunities initially in ophthalmic conditions where there are limited treatment alternatives. Our lead product candidate, TP-03, is a Phase 3 ready, first-in-class, novel therapeutic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or approximately 9 million, of cases caused by Demodex infestation. Further, our internal studies indicate the possibility that the number of Demodex blepharitis cases may be as high as approximately 25 million based on observation of collarettes in patients presenting to eye care clinics. To date, we have completed four Phase 2 trials for TP-03 in Demodex blepharitis, all of which showed highly statistically significant cure and eradication rates and that TP-03 was well tolerated. We intend to commence our first Phase 3 trial, Saturn-1, in 2020 and a second Phase 3 trial, Saturn-2, in 2021 with primary and secondary endpoints consistent with those of the Phase 2 trials. If successful, we expect these trials to support the submission of a new drug application, or NDA, to the Food and Drug Administration, or the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193" w:lineRule="exact"/>
        <w:rPr>
          <w:sz w:val="20"/>
          <w:szCs w:val="20"/>
          <w:color w:val="auto"/>
        </w:rPr>
      </w:pPr>
    </w:p>
    <w:p>
      <w:pPr>
        <w:ind w:left="300" w:right="20" w:firstLine="852"/>
        <w:spacing w:after="0" w:line="261" w:lineRule="auto"/>
        <w:rPr>
          <w:sz w:val="20"/>
          <w:szCs w:val="20"/>
          <w:color w:val="auto"/>
        </w:rPr>
      </w:pPr>
      <w:r>
        <w:rPr>
          <w:rFonts w:ascii="Times New Roman" w:cs="Times New Roman" w:eastAsia="Times New Roman" w:hAnsi="Times New Roman"/>
          <w:sz w:val="18"/>
          <w:szCs w:val="18"/>
          <w:color w:val="auto"/>
        </w:rPr>
        <w:t>Our current therapeutic strategy is focused on the clinical development of, for the first time in human medicine, the novel drug, lotilaner, which is designed to paralyze and eradicate mites and other parasites through the inhibition of parasite-specific g-aminobutyric acid-gated chloride channels, or GABA-Cl channels. We are advancing our pipeline to address a number of diseases across therapeutic categories including eye care and dermatology. These diseases include Demodex blepharitis, Meibomian Gland Disease, or MGD, and rosacea.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02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pipeline chart presents our wholly-owned product candidates and clinical development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Blepharitis: A Significant, Underserved &amp; Underdiagnosed Market</w:t>
      </w:r>
    </w:p>
    <w:p>
      <w:pPr>
        <w:spacing w:after="0" w:line="229" w:lineRule="exact"/>
        <w:rPr>
          <w:sz w:val="20"/>
          <w:szCs w:val="20"/>
          <w:color w:val="auto"/>
        </w:rPr>
      </w:pPr>
    </w:p>
    <w:p>
      <w:pPr>
        <w:ind w:left="300" w:firstLine="852"/>
        <w:spacing w:after="0" w:line="253" w:lineRule="auto"/>
        <w:rPr>
          <w:sz w:val="20"/>
          <w:szCs w:val="20"/>
          <w:color w:val="auto"/>
        </w:rPr>
      </w:pPr>
      <w:r>
        <w:rPr>
          <w:rFonts w:ascii="Times New Roman" w:cs="Times New Roman" w:eastAsia="Times New Roman" w:hAnsi="Times New Roman"/>
          <w:sz w:val="18"/>
          <w:szCs w:val="18"/>
          <w:color w:val="auto"/>
        </w:rPr>
        <w:t>Blepharitis is a common, chronic ophthalmic condition characterized by inflammation of the eyelid margin, redness and ocular irritation. It is also a progressive disease that often manifests with more severe symptoms if left untreated, such as blurring of vision, missing eyelashes, corneal damage and, in extreme cases, blindness. According to published studies, an estimated 20 million patients suffer from blepharitis, and there is growing recognition within the ophthalmic community about Demodex mites as an underlying cause of blepharitis. Demodex mites are the most common ectoparasite found on humans. Demodex mites potentially cause approximately 45% of blepharitis cases, or approximately 9 million patients. Based on our internal studies of collarette prevalence in the eye care office, we believe that the number of Demodex blepharitis patients in the United States may be as high as approximately 25 million. In addition, there is growing awareness among eye care professionals, or ECPs, of a specific type of debris found at the base of the eyelashes, known as collarettes, or cylindrical dandruff, which are highly correlated with Demodex infestation. Collarettes are composed of partially digested epithelial cells, mite waste products and eggs among other things and can be easily diagnosed by ECPs with a standard eye examination. Demodex blepharitis increases progressively with aging, which is the main risk factor for the condition. These patients commonly present to the offices of ECPs for other ophthalmic conditions besides blepharitis, such as cataract surgery and contact lens discomfort. Accordingly, we believe that there is significant opportunity to increase the diagnosis rate of Demodex blepharitis through ECP and patient education that encourages examination of the condition in standard practice.</w:t>
      </w:r>
    </w:p>
    <w:p>
      <w:pPr>
        <w:spacing w:after="0" w:line="187" w:lineRule="exact"/>
        <w:rPr>
          <w:sz w:val="20"/>
          <w:szCs w:val="20"/>
          <w:color w:val="auto"/>
        </w:rPr>
      </w:pPr>
    </w:p>
    <w:p>
      <w:pPr>
        <w:ind w:left="300" w:right="80" w:firstLine="852"/>
        <w:spacing w:after="0" w:line="256" w:lineRule="auto"/>
        <w:rPr>
          <w:sz w:val="20"/>
          <w:szCs w:val="20"/>
          <w:color w:val="auto"/>
        </w:rPr>
      </w:pPr>
      <w:r>
        <w:rPr>
          <w:rFonts w:ascii="Times New Roman" w:cs="Times New Roman" w:eastAsia="Times New Roman" w:hAnsi="Times New Roman"/>
          <w:sz w:val="18"/>
          <w:szCs w:val="18"/>
          <w:color w:val="auto"/>
        </w:rPr>
        <w:t>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Demodex blepharitis is currently treated with a variety of over the counter remedies such as tea tree oil, lid wipes and artificial tears, as well as off-label prescription products, which often show sub-optimal efficacy, are poorly tolerated and lead to significant irritation and dissatisfaction for patients, and do not eradicate the Demodex mites.</w:t>
      </w:r>
    </w:p>
    <w:p>
      <w:pPr>
        <w:spacing w:after="0" w:line="187" w:lineRule="exact"/>
        <w:rPr>
          <w:sz w:val="20"/>
          <w:szCs w:val="20"/>
          <w:color w:val="auto"/>
        </w:rPr>
      </w:pPr>
    </w:p>
    <w:p>
      <w:pPr>
        <w:ind w:left="300" w:right="140" w:firstLine="852"/>
        <w:spacing w:after="0" w:line="266" w:lineRule="auto"/>
        <w:rPr>
          <w:sz w:val="20"/>
          <w:szCs w:val="20"/>
          <w:color w:val="auto"/>
        </w:rPr>
      </w:pPr>
      <w:r>
        <w:rPr>
          <w:rFonts w:ascii="Times New Roman" w:cs="Times New Roman" w:eastAsia="Times New Roman" w:hAnsi="Times New Roman"/>
          <w:sz w:val="18"/>
          <w:szCs w:val="18"/>
          <w:color w:val="auto"/>
        </w:rPr>
        <w:t>We have conducted epidemiology and market research on the prevalence of blepharitis and potential adoption of TP-03. Our research indicates approximately 58% of patients presenting to ECP offices have collarettes indicative of Demodex blepharitis, further validating the accessible opportunity to increase diagnosis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00"/>
          </w:cols>
          <w:pgMar w:left="320" w:top="455" w:right="6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8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rates amongst patients. In addition, our market research suggests the potential for a high level of adoption of TP-03, if approved. In our surveys, we interviewed 50 ECPs, 96% of whom indicated they would prescribe TP-03 as a first-line treatment for Demodex blepharitis after exposure to the TP-03 target product profile. Since patients continue to have underlying risk of Demodex infestation, there could be a recurrence based on the presence of Demodex mites in the skin even after eradication of Demodex mites from the eyelid as demonstrated in Phase 2 trials with TP-03. Our Phase 2 data from the Mars and Jupiter clinical trials followed patients to one year after treatment and showed meaningful recurrence of Demodex blepharitis within six to nine months, which increased considerably one year after treatment. We believe this data suggests TP-03, if approved, may be used on a chronic, intermittent basis in Demodex blepharitis.</w:t>
      </w:r>
    </w:p>
    <w:p>
      <w:pPr>
        <w:spacing w:after="0" w:line="189" w:lineRule="exact"/>
        <w:rPr>
          <w:sz w:val="20"/>
          <w:szCs w:val="20"/>
          <w:color w:val="auto"/>
        </w:rPr>
      </w:pPr>
    </w:p>
    <w:p>
      <w:pPr>
        <w:ind w:left="300" w:firstLine="852"/>
        <w:spacing w:after="0" w:line="254" w:lineRule="auto"/>
        <w:rPr>
          <w:sz w:val="20"/>
          <w:szCs w:val="20"/>
          <w:color w:val="auto"/>
        </w:rPr>
      </w:pPr>
      <w:r>
        <w:rPr>
          <w:rFonts w:ascii="Times New Roman" w:cs="Times New Roman" w:eastAsia="Times New Roman" w:hAnsi="Times New Roman"/>
          <w:sz w:val="18"/>
          <w:szCs w:val="18"/>
          <w:color w:val="auto"/>
        </w:rPr>
        <w:t>We believe the blepharitis market has the potential to be analogous to other ophthalmic markets that grew significantly once there was a product to address the large, latent demand for an effective therapy. Another ocular surface disease, dry eye, had no approved therapeutic for the condition until 2003. With the approval of Allergan’s Restasis (cyclosporine) in 2003 and concurrent ECP and patient education, the diagnosis rate increased by approximately 12x, growing from 500,000 diagnoses in 2003 to over 6 million diagnoses in 2015. Annual diagnoses rates have been maintained at similar levels since 2015, and in 2016 Restasis generated peak revenue of $1.5 billion. Blepharitis already has 2.1 million diagnoses per year, despite no approved therapies to help with market awareness, but like dry eye, we believe there is potential for significant market expansion. We believe there is a significant opportunity to increase the diagnosis rate of Demodex blepharitis and build a significant new market with the approval of a safe and effective therapeutic alternative that addresses the underlying cause of the condition.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Approach: TP-03</w:t>
      </w:r>
    </w:p>
    <w:p>
      <w:pPr>
        <w:spacing w:after="0" w:line="229" w:lineRule="exact"/>
        <w:rPr>
          <w:sz w:val="20"/>
          <w:szCs w:val="20"/>
          <w:color w:val="auto"/>
        </w:rPr>
      </w:pPr>
    </w:p>
    <w:p>
      <w:pPr>
        <w:jc w:val="both"/>
        <w:ind w:left="300" w:right="160" w:firstLine="852"/>
        <w:spacing w:after="0" w:line="266" w:lineRule="auto"/>
        <w:rPr>
          <w:sz w:val="20"/>
          <w:szCs w:val="20"/>
          <w:color w:val="auto"/>
        </w:rPr>
      </w:pPr>
      <w:r>
        <w:rPr>
          <w:rFonts w:ascii="Times New Roman" w:cs="Times New Roman" w:eastAsia="Times New Roman" w:hAnsi="Times New Roman"/>
          <w:sz w:val="18"/>
          <w:szCs w:val="18"/>
          <w:color w:val="auto"/>
        </w:rPr>
        <w:t>We are developing TP-03, formulated as an eye drop, which we believe, if approved, has the potential to become the standard of care for Demodex blepharitis. TP-03 is a first-in-class therapeutic based on the novel drug, lotilaner, which is designed to paralyze and eradicate mites and other parasites through the inhibition of parasite-specific GABA-Cl channels.</w:t>
      </w:r>
    </w:p>
    <w:p>
      <w:pPr>
        <w:spacing w:after="0" w:line="1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figure provides the characteristics of TP-03 in the Saturn-1 Phase 3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00" w:right="300" w:firstLine="852"/>
        <w:spacing w:after="0" w:line="284" w:lineRule="auto"/>
        <w:rPr>
          <w:sz w:val="20"/>
          <w:szCs w:val="20"/>
          <w:color w:val="auto"/>
        </w:rPr>
      </w:pPr>
      <w:r>
        <w:rPr>
          <w:rFonts w:ascii="Times New Roman" w:cs="Times New Roman" w:eastAsia="Times New Roman" w:hAnsi="Times New Roman"/>
          <w:sz w:val="18"/>
          <w:szCs w:val="18"/>
          <w:color w:val="auto"/>
        </w:rPr>
        <w:t xml:space="preserve">We have completed four Phase 2 clinical trials to date, along with one additional </w:t>
      </w:r>
      <w:r>
        <w:rPr>
          <w:rFonts w:ascii="Times New Roman" w:cs="Times New Roman" w:eastAsia="Times New Roman" w:hAnsi="Times New Roman"/>
          <w:sz w:val="18"/>
          <w:szCs w:val="18"/>
          <w:i w:val="1"/>
          <w:iCs w:val="1"/>
          <w:color w:val="auto"/>
        </w:rPr>
        <w:t>ex vivo study. Key efficacy endpoints included cure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rate based on collarette grade, which we refer to herein as collarette cure rate,</w:t>
      </w: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167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3167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and mite eradication rate, with TP-03 meeting its primary and secondary endpoints and showing highly statistically significant cure and eradication rates in our two most recent trials, Io and Europa. TP-03 was generally well tolerated throughout these trials.</w:t>
      </w:r>
    </w:p>
    <w:p>
      <w:pPr>
        <w:spacing w:after="0" w:line="162" w:lineRule="exact"/>
        <w:rPr>
          <w:sz w:val="20"/>
          <w:szCs w:val="20"/>
          <w:color w:val="auto"/>
        </w:rPr>
      </w:pPr>
    </w:p>
    <w:p>
      <w:pPr>
        <w:ind w:left="300" w:firstLine="852"/>
        <w:spacing w:after="0" w:line="252" w:lineRule="auto"/>
        <w:rPr>
          <w:sz w:val="20"/>
          <w:szCs w:val="20"/>
          <w:color w:val="auto"/>
        </w:rPr>
      </w:pPr>
      <w:r>
        <w:rPr>
          <w:rFonts w:ascii="Times New Roman" w:cs="Times New Roman" w:eastAsia="Times New Roman" w:hAnsi="Times New Roman"/>
          <w:sz w:val="18"/>
          <w:szCs w:val="18"/>
          <w:color w:val="auto"/>
        </w:rPr>
        <w:t>The results of our Phase 2 trials highlight the robust and consistent clinical efficacy of TP-03 in curing collarettes and eradicating mites which we believe are essential to successfully treat Demodex blepharitis. The Phase 2a Mars trial was a smaller single arm study evaluating the safety and efficacy of TP-03 with a 28-day twice per day, or BID, dosing regimen, with exploratory endpoints including collarette grading score and mite density. We utilized the data from the exploratory endpoints to determine collarette cure rate, defined as 10 or fewer collarettes, and mite eradication rate, defined as zero mites per lash. Both collarette cure and mite eradication rates were assessed at 28 days, which were 86% and 57% respectively. The Phase 2b Jupiter trial was a larger randomized, controlled double-blind trial with collarette grade and mite density as primary and secondary endpoints, respectively. Similarly to the Mars trial, we utilized the collarette grading and mite density data to determine collarette cure and mite eradication rates, which were both defined consistently with those used in the Mars trial. The efficacy observed in the Jupiter trial appeared consistent with the Mars trial, with a collarette cure rate of 88%, and mite eradication rate of 66%, which were statistically significant compared to the vehicle control. We subsequently conducted the Io Phase 2a and Europa Phase 2b trials to evaluate the safety and efficacy of TP-03 formulation for the treatment of Demodex blepharitis. The design of the Io trial took into account feedback from the FDA, and accordingly we defined collarette cure rate to a more stringent definition of two or fewer collarettes on the eyelid and mite eradication rates, with a treatment duration of 42 days. In the Io trial, we utilized for the first time in clinical trials the formulation of TP-03 that is expected to support our NDA submission for Demodex blepharitis. The key differences between the Io and Europa trials, were that Io was a smaller single-arm study, while Europa was slightly larger randomized placebo-controlled study. The observed efficacy in Io and Europa were consistent across both trials, with a collarette cure rate of 72% and 79% respectively, and a mite eradication rate of 78% and 71% respectively. The meaningful and consistent clinical efficacy and safety results we observed across our comprehensive Phase 2 program, provided us with the basis to design and initiate our pivotal Phase 3 program.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00"/>
          </w:cols>
          <w:pgMar w:left="320" w:top="455" w:right="6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674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figure provides a summary of our completed and planned clinical investigations evaluating TP-03 for Demodex</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blepharitis: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0" w:firstLine="852"/>
        <w:spacing w:after="0" w:line="255" w:lineRule="auto"/>
        <w:rPr>
          <w:sz w:val="20"/>
          <w:szCs w:val="20"/>
          <w:color w:val="auto"/>
        </w:rPr>
      </w:pPr>
      <w:r>
        <w:rPr>
          <w:rFonts w:ascii="Times New Roman" w:cs="Times New Roman" w:eastAsia="Times New Roman" w:hAnsi="Times New Roman"/>
          <w:sz w:val="18"/>
          <w:szCs w:val="18"/>
          <w:color w:val="auto"/>
        </w:rPr>
        <w:t>We plan to evaluate TP-03 in two Phase 3 pivotal registration trial, referred to as Saturn-1 and Saturn-2. Saturn-1 is a Phase 3, randomized, controlled, double-blind trial to evaluate the safety and efficacy of TP-03 in approximately 350 Demodex blepharitis patients in multiple centers in the United States. Enrollment of Saturn-1 is expected to begin in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We expect these trials to support the potential submission of an NDA for TP-03 for the treatment of Demodex blepharitis.</w:t>
      </w:r>
    </w:p>
    <w:p>
      <w:pPr>
        <w:spacing w:after="0" w:line="189" w:lineRule="exact"/>
        <w:rPr>
          <w:sz w:val="20"/>
          <w:szCs w:val="20"/>
          <w:color w:val="auto"/>
        </w:rPr>
      </w:pPr>
    </w:p>
    <w:p>
      <w:pPr>
        <w:ind w:left="300" w:firstLine="852"/>
        <w:spacing w:after="0" w:line="256" w:lineRule="auto"/>
        <w:rPr>
          <w:sz w:val="20"/>
          <w:szCs w:val="20"/>
          <w:color w:val="auto"/>
        </w:rPr>
      </w:pPr>
      <w:r>
        <w:rPr>
          <w:rFonts w:ascii="Times New Roman" w:cs="Times New Roman" w:eastAsia="Times New Roman" w:hAnsi="Times New Roman"/>
          <w:sz w:val="18"/>
          <w:szCs w:val="18"/>
          <w:color w:val="auto"/>
        </w:rPr>
        <w:t xml:space="preserve">We also intend to explore the therapeutic potential of TP-03 for a second ophthalmic condition, MGD, commonly characterized in part by a widespread clogging of the meibomian glands that can result in tear film deficiency, and is one of the leading causes of dry eye disease. There are no FDA-approved therapeutics for MGD. In the United States, MGD prevalence has been found to be approximately two-thirds of that of the estimated 34 million dry eye patient population. One species of Demodex mite,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is known to infest the meibomian gland, and clinical signs of MGD have been shown to be correlated with infestation of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While dry eye is a multi-factorial disease, TP-03 is designed to relieve some of the key elements of MGD by virtue of causing the death of the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mites.</w:t>
      </w:r>
    </w:p>
    <w:p>
      <w:pPr>
        <w:spacing w:after="0" w:line="187" w:lineRule="exact"/>
        <w:rPr>
          <w:sz w:val="20"/>
          <w:szCs w:val="20"/>
          <w:color w:val="auto"/>
        </w:rPr>
      </w:pPr>
    </w:p>
    <w:p>
      <w:pPr>
        <w:jc w:val="both"/>
        <w:ind w:left="300" w:right="40" w:firstLine="852"/>
        <w:spacing w:after="0" w:line="266" w:lineRule="auto"/>
        <w:rPr>
          <w:sz w:val="20"/>
          <w:szCs w:val="20"/>
          <w:color w:val="auto"/>
        </w:rPr>
      </w:pPr>
      <w:r>
        <w:rPr>
          <w:rFonts w:ascii="Times New Roman" w:cs="Times New Roman" w:eastAsia="Times New Roman" w:hAnsi="Times New Roman"/>
          <w:sz w:val="18"/>
          <w:szCs w:val="18"/>
          <w:color w:val="auto"/>
        </w:rPr>
        <w:t>Beyond TP-03, we are developing TP-04 for the potential treatment of rosacea, a chronic skin disease characterized by facial redness, inflammatory lesions, burning and stinging, which can flare up in response to certain triggers such as sun exposure or emotional stress. According to the U.S. National Rosacea Society,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860"/>
          </w:cols>
          <w:pgMar w:left="320" w:top="455" w:right="7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82" w:lineRule="auto"/>
        <w:rPr>
          <w:sz w:val="20"/>
          <w:szCs w:val="20"/>
          <w:color w:val="auto"/>
        </w:rPr>
      </w:pPr>
      <w:r>
        <w:rPr>
          <w:rFonts w:ascii="Times New Roman" w:cs="Times New Roman" w:eastAsia="Times New Roman" w:hAnsi="Times New Roman"/>
          <w:sz w:val="18"/>
          <w:szCs w:val="18"/>
          <w:color w:val="auto"/>
        </w:rPr>
        <w:t>approximately 16 million people in the United States are affected by rosacea and a study we conducted estimates rosacea prevalence can represent up to 5.4% of the global population.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229" w:lineRule="exact"/>
        <w:rPr>
          <w:sz w:val="20"/>
          <w:szCs w:val="20"/>
          <w:color w:val="auto"/>
        </w:rPr>
      </w:pPr>
    </w:p>
    <w:p>
      <w:pPr>
        <w:ind w:left="300" w:right="220" w:firstLine="852"/>
        <w:spacing w:after="0" w:line="255" w:lineRule="auto"/>
        <w:rPr>
          <w:sz w:val="20"/>
          <w:szCs w:val="20"/>
          <w:color w:val="auto"/>
        </w:rPr>
      </w:pPr>
      <w:r>
        <w:rPr>
          <w:rFonts w:ascii="Times New Roman" w:cs="Times New Roman" w:eastAsia="Times New Roman" w:hAnsi="Times New Roman"/>
          <w:sz w:val="18"/>
          <w:szCs w:val="18"/>
          <w:color w:val="auto"/>
        </w:rPr>
        <w:t>We have assembled a team with extensive experience developing and commercializing leading ophthalmic products and therapies. Members of our management team and board of directors have founded and led several biopharmaceutical companies including those in the ophthalmic care space, such as Oyster Point Pharma and Oculeve, and have been pivotal in the development and commercialization of various leading ophthalmic products, including the dry eye therapy, Restasis. We intend to leverage this expertise and experience to rapidly pursue the development of TP-03 and any other future product candidates that we may identify and develop. We are supported by healthcare dedicated financial investors, which include Aperture Venture Partners, Flying L Ventures, Horowitz Limited Partnership, Frazier Life Sciences, Visionary Ventures and Vivo Capital.</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Strengths and Differentiation</w:t>
      </w:r>
    </w:p>
    <w:p>
      <w:pPr>
        <w:spacing w:after="0" w:line="2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believe our company and our product candidates have the following key distinguishing characteristics:</w:t>
      </w:r>
    </w:p>
    <w:p>
      <w:pPr>
        <w:spacing w:after="0" w:line="248" w:lineRule="exact"/>
        <w:rPr>
          <w:sz w:val="20"/>
          <w:szCs w:val="20"/>
          <w:color w:val="auto"/>
        </w:rPr>
      </w:pPr>
    </w:p>
    <w:p>
      <w:pPr>
        <w:ind w:left="1540" w:right="60" w:hanging="297"/>
        <w:spacing w:after="0" w:line="262"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Compelling efficacy and safety data. </w:t>
      </w:r>
      <w:r>
        <w:rPr>
          <w:rFonts w:ascii="Times New Roman" w:cs="Times New Roman" w:eastAsia="Times New Roman" w:hAnsi="Times New Roman"/>
          <w:sz w:val="18"/>
          <w:szCs w:val="18"/>
          <w:color w:val="auto"/>
        </w:rPr>
        <w:t>We have observed TP-03’s compelling efficacy and safety in our four Phase 2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trials – Mars, Jupiter, Io and Europa – in which treatment with TP-03 resulted in highly statistically significant levels of collarette cure rate and mite eradication rate, and was well tolerated. Our Phase 3 trials, Saturn-1 and Saturn-2, are expected to utilize trial designs that are highly comparable to those of the Phase 2 Io and Europa trials.</w:t>
      </w:r>
    </w:p>
    <w:p>
      <w:pPr>
        <w:spacing w:after="0" w:line="203" w:lineRule="exact"/>
        <w:rPr>
          <w:rFonts w:ascii="Times New Roman" w:cs="Times New Roman" w:eastAsia="Times New Roman" w:hAnsi="Times New Roman"/>
          <w:sz w:val="18"/>
          <w:szCs w:val="18"/>
          <w:color w:val="auto"/>
        </w:rPr>
      </w:pPr>
    </w:p>
    <w:p>
      <w:pPr>
        <w:ind w:left="1540" w:hanging="297"/>
        <w:spacing w:after="0" w:line="254"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Large, underserved and underdiagnosed blepharitis market with a significant opportunity for growth. </w:t>
      </w:r>
      <w:r>
        <w:rPr>
          <w:rFonts w:ascii="Times New Roman" w:cs="Times New Roman" w:eastAsia="Times New Roman" w:hAnsi="Times New Roman"/>
          <w:sz w:val="18"/>
          <w:szCs w:val="18"/>
          <w:color w:val="auto"/>
        </w:rPr>
        <w:t>Although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blepharitis and Demodex blepharitis are significantly underdiagnosed conditions, with limited treatment alternatives, there are already an estimated 2.1 million annual blepharitis diagnoses in the United States. However, we believe the market opportunity may be substantially larger. According to published studies, there are an estimated 20 million patients in the United States that suffer from blepharitis with approximately 45%, or approximately 9 million, of cases caused by Demodex infestation. Further, our internal studies indicate the possibility that the number of Demodex blepharitis cases may be as high as approximately 25 million based on observation of collarettes in patients presenting to eye care clinics. We believe the blepharitis market is analogous to other ophthalmic markets, such as dry eye, where diagnoses grew significantly once there was a product to address the large, latent demand for an effective therapy, as was observed with the approval of Allergan’s Restasis in 2003.</w:t>
      </w:r>
    </w:p>
    <w:p>
      <w:pPr>
        <w:spacing w:after="0" w:line="215" w:lineRule="exact"/>
        <w:rPr>
          <w:rFonts w:ascii="Times New Roman" w:cs="Times New Roman" w:eastAsia="Times New Roman" w:hAnsi="Times New Roman"/>
          <w:sz w:val="18"/>
          <w:szCs w:val="18"/>
          <w:color w:val="auto"/>
        </w:rPr>
      </w:pPr>
    </w:p>
    <w:p>
      <w:pPr>
        <w:ind w:left="1540" w:right="100" w:hanging="297"/>
        <w:spacing w:after="0" w:line="262"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Novel chemistry developed for the first time in human medicine. </w:t>
      </w:r>
      <w:r>
        <w:rPr>
          <w:rFonts w:ascii="Times New Roman" w:cs="Times New Roman" w:eastAsia="Times New Roman" w:hAnsi="Times New Roman"/>
          <w:sz w:val="18"/>
          <w:szCs w:val="18"/>
          <w:color w:val="auto"/>
        </w:rPr>
        <w:t>Our current therapeutic strategy is focused on the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for the first time in human medicine, the novel drug, lotilaner, which is designed to paralyze and eradicate mites and other parasites through the inhibition of parasite-specific GABA-Cl channels. Our pipeline aims to address a number of diseases across therapeutic categories including eye care and dermatology.</w:t>
      </w:r>
    </w:p>
    <w:p>
      <w:pPr>
        <w:spacing w:after="0" w:line="203" w:lineRule="exact"/>
        <w:rPr>
          <w:rFonts w:ascii="Times New Roman" w:cs="Times New Roman" w:eastAsia="Times New Roman" w:hAnsi="Times New Roman"/>
          <w:sz w:val="18"/>
          <w:szCs w:val="18"/>
          <w:color w:val="auto"/>
        </w:rPr>
      </w:pPr>
    </w:p>
    <w:p>
      <w:pPr>
        <w:ind w:left="1540" w:right="240" w:hanging="297"/>
        <w:spacing w:after="0" w:line="259"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opportunities beyond Demodex blepharitis. </w:t>
      </w:r>
      <w:r>
        <w:rPr>
          <w:rFonts w:ascii="Times New Roman" w:cs="Times New Roman" w:eastAsia="Times New Roman" w:hAnsi="Times New Roman"/>
          <w:sz w:val="18"/>
          <w:szCs w:val="18"/>
          <w:color w:val="auto"/>
        </w:rPr>
        <w:t>Like blepharitis, MGD may also be caused by Demodex infestation,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we intend to explore the therapeutic potential for TP-03 in this indication. In the United States, MGD prevalence has been found to be approximately two-thirds of that of the estimated 34 million dry eye patient population. Further, we are developing TP-04 for the potential treatment of rosacea, a condition that affects approximately 16 million patients per year in the United States.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920"/>
          </w:cols>
          <w:pgMar w:left="320" w:top="455" w:right="6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540" w:right="120" w:hanging="297"/>
        <w:spacing w:after="0" w:line="259"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Experienced management team and board of directors supported by high quality investor base. </w:t>
      </w:r>
      <w:r>
        <w:rPr>
          <w:rFonts w:ascii="Times New Roman" w:cs="Times New Roman" w:eastAsia="Times New Roman" w:hAnsi="Times New Roman"/>
          <w:sz w:val="18"/>
          <w:szCs w:val="18"/>
          <w:color w:val="auto"/>
        </w:rPr>
        <w:t>We have built a leadership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 with significant experience in developing and commercializing therapeutic products for ophthalmic conditions. Our management team and board of directors have founded and led several companies in the ophthalmic care space, including Oyster Point Pharma and Oculeve, and have been pivotal in the development and commercialization of various leading ophthalmic products, including the dry eye therapy, Restasis.</w:t>
      </w:r>
    </w:p>
    <w:p>
      <w:pPr>
        <w:spacing w:after="0" w:line="1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300" w:right="300" w:firstLine="852"/>
        <w:spacing w:after="0" w:line="266" w:lineRule="auto"/>
        <w:rPr>
          <w:sz w:val="20"/>
          <w:szCs w:val="20"/>
          <w:color w:val="auto"/>
        </w:rPr>
      </w:pPr>
      <w:r>
        <w:rPr>
          <w:rFonts w:ascii="Times New Roman" w:cs="Times New Roman" w:eastAsia="Times New Roman" w:hAnsi="Times New Roman"/>
          <w:sz w:val="18"/>
          <w:szCs w:val="18"/>
          <w:color w:val="auto"/>
        </w:rPr>
        <w:t>Our goal is to transform the treatment of Demodex blepharitis with a first ever FDA approved pharmaceutical therapeutic, and to develop our pipeline of innovative therapies that target certain parasite-mediated diseases with large market opportunities. We intend to achieve these goals by pursuing the following key strategic objectives:</w:t>
      </w:r>
    </w:p>
    <w:p>
      <w:pPr>
        <w:spacing w:after="0" w:line="199" w:lineRule="exact"/>
        <w:rPr>
          <w:sz w:val="20"/>
          <w:szCs w:val="20"/>
          <w:color w:val="auto"/>
        </w:rPr>
      </w:pPr>
    </w:p>
    <w:p>
      <w:pPr>
        <w:ind w:left="1540" w:right="120" w:hanging="297"/>
        <w:spacing w:after="0" w:line="259"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TP-03 through clinical development and eventual approval for the treatment of Demodex blepharitis.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observed in multiple Phase 2 trials across 147 patients that TP-03 results in collarette cure and mite eradication, the same clinical endpoints that will be utilized in our pivotal Phase 3 trials. We expect enrollment of our first pivotal trial, Saturn-1, to begin in 2020 and top-line data is anticipated in 2021, subject to the impact of the ongoing COVID-19 pandemic. Enrollment of our second pivotal trial, Saturn-2, is expected to begin in 2021, subject to the impact of the ongoing COVID-19 pandemic.</w:t>
      </w:r>
    </w:p>
    <w:p>
      <w:pPr>
        <w:spacing w:after="0" w:line="206" w:lineRule="exact"/>
        <w:rPr>
          <w:rFonts w:ascii="Times New Roman" w:cs="Times New Roman" w:eastAsia="Times New Roman" w:hAnsi="Times New Roman"/>
          <w:sz w:val="18"/>
          <w:szCs w:val="18"/>
          <w:color w:val="auto"/>
        </w:rPr>
      </w:pPr>
    </w:p>
    <w:p>
      <w:pPr>
        <w:ind w:left="1540" w:hanging="297"/>
        <w:spacing w:after="0" w:line="26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Educate ECPs and establish our own specialty sales organization to commercialize TP-03 in the United States. </w:t>
      </w:r>
      <w:r>
        <w:rPr>
          <w:rFonts w:ascii="Times New Roman" w:cs="Times New Roman" w:eastAsia="Times New Roman" w:hAnsi="Times New Roman"/>
          <w:sz w:val="18"/>
          <w:szCs w:val="18"/>
          <w:color w:val="auto"/>
        </w:rPr>
        <w:t>If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FDA for Demodex blepharitis, we intend to commercialize TP-03 by developing our own sales organization targeting a subset of the approximately 25,000 prescribing ECPs in the United States. Throughout our commercialization efforts, we intend to educate ECPs on of Demodex blepharitis and how to diagnose it with a standard eye examination.</w:t>
      </w:r>
    </w:p>
    <w:p>
      <w:pPr>
        <w:spacing w:after="0" w:line="203" w:lineRule="exact"/>
        <w:rPr>
          <w:rFonts w:ascii="Times New Roman" w:cs="Times New Roman" w:eastAsia="Times New Roman" w:hAnsi="Times New Roman"/>
          <w:sz w:val="18"/>
          <w:szCs w:val="18"/>
          <w:color w:val="auto"/>
        </w:rPr>
      </w:pPr>
    </w:p>
    <w:p>
      <w:pPr>
        <w:ind w:left="1540" w:right="20" w:hanging="297"/>
        <w:spacing w:after="0" w:line="26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the label of TP-03 for other indications and develop our pipeline to bring a novel, first-in-class, anti-parasitic molecule to unmet needs across human medicine, including MGD and rosacea. </w:t>
      </w:r>
      <w:r>
        <w:rPr>
          <w:rFonts w:ascii="Times New Roman" w:cs="Times New Roman" w:eastAsia="Times New Roman" w:hAnsi="Times New Roman"/>
          <w:sz w:val="18"/>
          <w:szCs w:val="18"/>
          <w:color w:val="auto"/>
        </w:rPr>
        <w:t>Like blepharitis, MGD may also be caused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Demodex infestation, and we intend to explore the therapeutic potential for TP-03 in the indication. Further, we plan to expand our pipeline of novel, differentiated products that target parasites to treat diseases with large market opportunities, like rosacea.</w:t>
      </w:r>
    </w:p>
    <w:p>
      <w:pPr>
        <w:spacing w:after="0" w:line="203" w:lineRule="exact"/>
        <w:rPr>
          <w:rFonts w:ascii="Times New Roman" w:cs="Times New Roman" w:eastAsia="Times New Roman" w:hAnsi="Times New Roman"/>
          <w:sz w:val="18"/>
          <w:szCs w:val="18"/>
          <w:color w:val="auto"/>
        </w:rPr>
      </w:pPr>
    </w:p>
    <w:p>
      <w:pPr>
        <w:ind w:left="1540" w:right="20" w:hanging="297"/>
        <w:spacing w:after="0" w:line="26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and selectively enter into strategic partnerships to maximize the potential of our pipeline and the scope of our eye care product offerings. </w:t>
      </w:r>
      <w:r>
        <w:rPr>
          <w:rFonts w:ascii="Times New Roman" w:cs="Times New Roman" w:eastAsia="Times New Roman" w:hAnsi="Times New Roman"/>
          <w:sz w:val="18"/>
          <w:szCs w:val="18"/>
          <w:color w:val="auto"/>
        </w:rPr>
        <w:t>We have retained our rights globally to all of our indications for use in humans. Given the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treat patients worldwide we may opportunistically enter into strategic partnerships around certain product candidates, disease or geographic regions.</w:t>
      </w:r>
    </w:p>
    <w:p>
      <w:pPr>
        <w:spacing w:after="0" w:line="1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ind w:left="300" w:right="160" w:firstLine="852"/>
        <w:spacing w:after="0" w:line="282" w:lineRule="auto"/>
        <w:rPr>
          <w:sz w:val="20"/>
          <w:szCs w:val="20"/>
          <w:color w:val="auto"/>
        </w:rPr>
      </w:pPr>
      <w:r>
        <w:rPr>
          <w:rFonts w:ascii="Times New Roman" w:cs="Times New Roman" w:eastAsia="Times New Roman" w:hAnsi="Times New Roman"/>
          <w:sz w:val="18"/>
          <w:szCs w:val="18"/>
          <w:color w:val="auto"/>
        </w:rPr>
        <w:t>Our ability to execute our business strategy is subject to numerous risks, as more fully described in the section entitled “Risk Factors” immediately following this prospectus summary. These risks include, among others:</w:t>
      </w:r>
    </w:p>
    <w:p>
      <w:pPr>
        <w:spacing w:after="0" w:line="189" w:lineRule="exact"/>
        <w:rPr>
          <w:sz w:val="20"/>
          <w:szCs w:val="20"/>
          <w:color w:val="auto"/>
        </w:rPr>
      </w:pPr>
    </w:p>
    <w:p>
      <w:pPr>
        <w:ind w:left="1540" w:right="280" w:hanging="297"/>
        <w:spacing w:after="0" w:line="266"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late clinical-stage biopharmaceutical company with limited operating history. We have incurred significant losses and negative cash flows from operations since our inception and anticipate that we will continue to incur significant expenses and losses for the foreseeable future.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60" w:hanging="297"/>
        <w:spacing w:after="0" w:line="266"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this offering is successful, we will need to obtain substantial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20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heavily dependent on the success of our lead product candidate, TP-03 for the treatment of Demodex blepharitis.</w:t>
      </w:r>
    </w:p>
    <w:p>
      <w:pPr>
        <w:spacing w:after="0" w:line="252" w:lineRule="exact"/>
        <w:rPr>
          <w:rFonts w:ascii="Times New Roman" w:cs="Times New Roman" w:eastAsia="Times New Roman" w:hAnsi="Times New Roman"/>
          <w:sz w:val="18"/>
          <w:szCs w:val="18"/>
          <w:color w:val="auto"/>
        </w:rPr>
      </w:pPr>
    </w:p>
    <w:p>
      <w:pPr>
        <w:ind w:left="1540" w:right="300" w:hanging="297"/>
        <w:spacing w:after="0" w:line="266"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which began in late 2019 and has spread worldwide, may affect our ability to initiate and complete preclinical studies and clinical trials, disrupt regulatory activities, disrupt our manufacturing and supply chain or have other adverse effects on our business and operations.</w:t>
      </w:r>
    </w:p>
    <w:p>
      <w:pPr>
        <w:spacing w:after="0" w:line="202" w:lineRule="exact"/>
        <w:rPr>
          <w:rFonts w:ascii="Times New Roman" w:cs="Times New Roman" w:eastAsia="Times New Roman" w:hAnsi="Times New Roman"/>
          <w:sz w:val="18"/>
          <w:szCs w:val="18"/>
          <w:color w:val="auto"/>
        </w:rPr>
      </w:pPr>
    </w:p>
    <w:p>
      <w:pPr>
        <w:ind w:left="1540" w:hanging="297"/>
        <w:spacing w:after="0" w:line="256"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TP-03 or any other product candidate that we develop receives marketing approval, we may not be successful in educating ECPs and the market about the need for treatments specifically for Demodex blepharitis and or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214" w:lineRule="exact"/>
        <w:rPr>
          <w:rFonts w:ascii="Times New Roman" w:cs="Times New Roman" w:eastAsia="Times New Roman" w:hAnsi="Times New Roman"/>
          <w:sz w:val="18"/>
          <w:szCs w:val="18"/>
          <w:color w:val="auto"/>
        </w:rPr>
      </w:pPr>
    </w:p>
    <w:p>
      <w:pPr>
        <w:ind w:left="1540" w:right="60" w:hanging="297"/>
        <w:spacing w:after="0" w:line="266"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develop and expand our company in terms of operations and employees, which we expect to include our development, regulatory and operational capabilities and potentially implement sales, marketing and distribution capabilities and, as a result, we may encounter difficulties in managing our growth, which could disrupt our operations.</w:t>
      </w:r>
    </w:p>
    <w:p>
      <w:pPr>
        <w:spacing w:after="0" w:line="202" w:lineRule="exact"/>
        <w:rPr>
          <w:rFonts w:ascii="Times New Roman" w:cs="Times New Roman" w:eastAsia="Times New Roman" w:hAnsi="Times New Roman"/>
          <w:sz w:val="18"/>
          <w:szCs w:val="18"/>
          <w:color w:val="auto"/>
        </w:rPr>
      </w:pPr>
    </w:p>
    <w:p>
      <w:pPr>
        <w:ind w:left="1540" w:right="140" w:hanging="297"/>
        <w:spacing w:after="0" w:line="261"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sizes of the market opportunity for our product candidates, particularly TP-03 for the treatment of Demodex blepharitis and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206" w:lineRule="exact"/>
        <w:rPr>
          <w:rFonts w:ascii="Times New Roman" w:cs="Times New Roman" w:eastAsia="Times New Roman" w:hAnsi="Times New Roman"/>
          <w:sz w:val="18"/>
          <w:szCs w:val="18"/>
          <w:color w:val="auto"/>
        </w:rPr>
      </w:pPr>
    </w:p>
    <w:p>
      <w:pPr>
        <w:ind w:left="1540" w:right="100" w:hanging="297"/>
        <w:spacing w:after="0" w:line="266"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commercialization of certain of our products, including our lead product candidate, TP-03 for the potential treatment of Demodex blepharitis and MGD, and TP-04 for the potential treatment of rosacea, is dependent on intellectual property we license from Elanco Tiergesundheit AG, or Elanco.</w:t>
      </w:r>
    </w:p>
    <w:p>
      <w:pPr>
        <w:spacing w:after="0" w:line="202" w:lineRule="exact"/>
        <w:rPr>
          <w:rFonts w:ascii="Times New Roman" w:cs="Times New Roman" w:eastAsia="Times New Roman" w:hAnsi="Times New Roman"/>
          <w:sz w:val="18"/>
          <w:szCs w:val="18"/>
          <w:color w:val="auto"/>
        </w:rPr>
      </w:pPr>
    </w:p>
    <w:p>
      <w:pPr>
        <w:ind w:left="1540" w:right="40" w:hanging="297"/>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uncertain timelines and uncertain outcomes, and results of earlier studies and trials may not be predictive of future results.</w:t>
      </w:r>
    </w:p>
    <w:p>
      <w:pPr>
        <w:spacing w:after="0" w:line="188" w:lineRule="exact"/>
        <w:rPr>
          <w:rFonts w:ascii="Times New Roman" w:cs="Times New Roman" w:eastAsia="Times New Roman" w:hAnsi="Times New Roman"/>
          <w:sz w:val="18"/>
          <w:szCs w:val="18"/>
          <w:color w:val="auto"/>
        </w:rPr>
      </w:pPr>
    </w:p>
    <w:p>
      <w:pPr>
        <w:ind w:left="1540" w:right="360" w:hanging="297"/>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88"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perform some of our research and preclinical studies.</w:t>
      </w:r>
    </w:p>
    <w:p>
      <w:pPr>
        <w:spacing w:after="0" w:line="252" w:lineRule="exact"/>
        <w:rPr>
          <w:rFonts w:ascii="Times New Roman" w:cs="Times New Roman" w:eastAsia="Times New Roman" w:hAnsi="Times New Roman"/>
          <w:sz w:val="18"/>
          <w:szCs w:val="18"/>
          <w:color w:val="auto"/>
        </w:rPr>
      </w:pPr>
    </w:p>
    <w:p>
      <w:pPr>
        <w:ind w:left="1540" w:right="40" w:hanging="297"/>
        <w:spacing w:after="0" w:line="266"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920"/>
          </w:cols>
          <w:pgMar w:left="320" w:top="455" w:right="6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27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360" w:hanging="297"/>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our product candidates and preclinical programs for an adequate amount of time.</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300" w:right="100" w:firstLine="852"/>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November 2016. Our principal executive offices are located at 15440 Laguna Canyon Road, Irvine, California 92618. Our telephone number is (949) 409-9820. Our website address is www.tarsusrx.com. Information contained on the website is not incorporated by reference into this prospectus.</w:t>
      </w:r>
    </w:p>
    <w:p>
      <w:pPr>
        <w:spacing w:after="0" w:line="1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have included our website address in this prospectus solely as an inactive textual reference.</w:t>
      </w:r>
    </w:p>
    <w:p>
      <w:pPr>
        <w:spacing w:after="0" w:line="225" w:lineRule="exact"/>
        <w:rPr>
          <w:sz w:val="20"/>
          <w:szCs w:val="20"/>
          <w:color w:val="auto"/>
        </w:rPr>
      </w:pPr>
    </w:p>
    <w:p>
      <w:pPr>
        <w:ind w:left="300" w:firstLine="852"/>
        <w:spacing w:after="0" w:line="255" w:lineRule="auto"/>
        <w:rPr>
          <w:sz w:val="20"/>
          <w:szCs w:val="20"/>
          <w:color w:val="auto"/>
        </w:rPr>
      </w:pPr>
      <w:r>
        <w:rPr>
          <w:rFonts w:ascii="Times New Roman" w:cs="Times New Roman" w:eastAsia="Times New Roman" w:hAnsi="Times New Roman"/>
          <w:sz w:val="18"/>
          <w:szCs w:val="18"/>
          <w:color w:val="auto"/>
        </w:rPr>
        <w:t xml:space="preserve">Tarsus Therapeutics, Tarsus, and Tarsus Pharmaceuticals, Inc., our logo and other registered or common law trade names, trademarks or service markets of Tarsus appearing in this prospectus are the property of Tarsus. This prospectus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 names, trademarks and service marks referred to in this prospectus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5"/>
          <w:szCs w:val="15"/>
          <w:color w:val="auto"/>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 names, trademarks and service marks.</w:t>
      </w:r>
    </w:p>
    <w:p>
      <w:pPr>
        <w:spacing w:after="0" w:line="1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ind w:left="300" w:right="160" w:firstLine="852"/>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or the JOBS Act. We will remain an emerging growth company until the earliest to occur of: (i) the last day of the fiscal year in which we have more than</w:t>
      </w:r>
    </w:p>
    <w:p>
      <w:pPr>
        <w:ind w:left="300" w:right="120"/>
        <w:spacing w:after="0" w:line="252" w:lineRule="auto"/>
        <w:rPr>
          <w:sz w:val="20"/>
          <w:szCs w:val="20"/>
          <w:color w:val="auto"/>
        </w:rPr>
      </w:pPr>
      <w:r>
        <w:rPr>
          <w:rFonts w:ascii="Times New Roman" w:cs="Times New Roman" w:eastAsia="Times New Roman" w:hAnsi="Times New Roman"/>
          <w:sz w:val="18"/>
          <w:szCs w:val="18"/>
          <w:color w:val="auto"/>
        </w:rPr>
        <w:t>$1.07 billion in annual gross revenue; (ii) the date we qualify as a “large accelerated filer” as defined in Rule 12b-2 under the Exchange Act, with at least $700 million of equity securities held by non-affiliates; (iii) the issuance, in any three-year period, by us of more than $1.0 billion in non-convertible debt securities; or (iv) the last day of the fiscal year ending after the fifth anniversary of our initial public offering. As a result of this status, we have taken advantage of certain exemptions from various reporting requirements in this prospectus that are applicable to other publicly-traded entities that are not emerging growth companies and may elect to take advantage of other exemptions from reporting requirements in our future filings with the SEC. In particular, in this prospectus, these exemptions include:</w:t>
      </w:r>
    </w:p>
    <w:p>
      <w:pPr>
        <w:spacing w:after="0" w:line="217" w:lineRule="exact"/>
        <w:rPr>
          <w:sz w:val="20"/>
          <w:szCs w:val="20"/>
          <w:color w:val="auto"/>
        </w:rPr>
      </w:pPr>
    </w:p>
    <w:p>
      <w:pPr>
        <w:ind w:left="1540" w:right="60" w:hanging="297"/>
        <w:spacing w:after="0" w:line="282"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Management’s Discussion and Analysis of Financial Condition and Results of Operations;</w:t>
      </w:r>
    </w:p>
    <w:p>
      <w:pPr>
        <w:spacing w:after="0" w:line="188" w:lineRule="exact"/>
        <w:rPr>
          <w:rFonts w:ascii="Times New Roman" w:cs="Times New Roman" w:eastAsia="Times New Roman" w:hAnsi="Times New Roman"/>
          <w:sz w:val="18"/>
          <w:szCs w:val="18"/>
          <w:color w:val="auto"/>
        </w:rPr>
      </w:pPr>
    </w:p>
    <w:p>
      <w:pPr>
        <w:ind w:left="1540" w:right="260" w:hanging="297"/>
        <w:spacing w:after="0" w:line="282"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404(b) of the Sarbanes-Oxley Act of 2002, as amended, or the Sarbanes Oxley Act;</w:t>
      </w:r>
    </w:p>
    <w:p>
      <w:pPr>
        <w:spacing w:after="0" w:line="188" w:lineRule="exact"/>
        <w:rPr>
          <w:rFonts w:ascii="Times New Roman" w:cs="Times New Roman" w:eastAsia="Times New Roman" w:hAnsi="Times New Roman"/>
          <w:sz w:val="18"/>
          <w:szCs w:val="18"/>
          <w:color w:val="auto"/>
        </w:rPr>
      </w:pPr>
    </w:p>
    <w:p>
      <w:pPr>
        <w:ind w:left="1540" w:right="660" w:hanging="297"/>
        <w:spacing w:after="0" w:line="282"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submit certain executive compensation matters to stockholder advisory votes, such as “say-on-pay,” “say-on-frequency,” and “say-on-golden parachutes;” and</w:t>
      </w:r>
    </w:p>
    <w:p>
      <w:pPr>
        <w:spacing w:after="0" w:line="188" w:lineRule="exact"/>
        <w:rPr>
          <w:rFonts w:ascii="Times New Roman" w:cs="Times New Roman" w:eastAsia="Times New Roman" w:hAnsi="Times New Roman"/>
          <w:sz w:val="18"/>
          <w:szCs w:val="18"/>
          <w:color w:val="auto"/>
        </w:rPr>
      </w:pPr>
    </w:p>
    <w:p>
      <w:pPr>
        <w:ind w:left="1540" w:right="940" w:hanging="297"/>
        <w:spacing w:after="0" w:line="266"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disclose certain executive compensation-related items such as the correlation between executive compensation and performance and comparisons of the chief executive officer’s compensation to median employee compensation.</w:t>
      </w:r>
    </w:p>
    <w:p>
      <w:pPr>
        <w:spacing w:after="0" w:line="176" w:lineRule="exact"/>
        <w:rPr>
          <w:sz w:val="20"/>
          <w:szCs w:val="20"/>
          <w:color w:val="auto"/>
        </w:rPr>
      </w:pPr>
    </w:p>
    <w:p>
      <w:pPr>
        <w:ind w:left="300" w:right="40" w:firstLine="852"/>
        <w:spacing w:after="0" w:line="282" w:lineRule="auto"/>
        <w:rPr>
          <w:sz w:val="20"/>
          <w:szCs w:val="20"/>
          <w:color w:val="auto"/>
        </w:rPr>
      </w:pPr>
      <w:r>
        <w:rPr>
          <w:rFonts w:ascii="Times New Roman" w:cs="Times New Roman" w:eastAsia="Times New Roman" w:hAnsi="Times New Roman"/>
          <w:sz w:val="18"/>
          <w:szCs w:val="18"/>
          <w:color w:val="auto"/>
        </w:rPr>
        <w:t>As a result, we do not know if some investors will find our common stock less attractive. The result may be a less active trading market for our common stock, and the price of our common stock may become more volatile.</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0940"/>
          </w:cols>
          <w:pgMar w:left="320" w:top="455" w:right="6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5214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1521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852"/>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upon completion of this offering, we will adopt new or revised accounting standards on the relevant dates on which adoption of such standards is required for other public companies that are not emerging growth companies. Even after we no longer qualify as an emerging growth company, we may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70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2840" w:type="dxa"/>
            <w:vAlign w:val="bottom"/>
          </w:tcPr>
          <w:p>
            <w:pPr>
              <w:spacing w:after="0"/>
              <w:rPr>
                <w:sz w:val="20"/>
                <w:szCs w:val="20"/>
                <w:color w:val="auto"/>
              </w:rPr>
            </w:pPr>
          </w:p>
        </w:tc>
      </w:tr>
      <w:tr>
        <w:trPr>
          <w:trHeight w:val="45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Tarsus Pharmaceuticals, Inc.</w:t>
            </w:r>
          </w:p>
        </w:tc>
        <w:tc>
          <w:tcPr>
            <w:tcW w:w="2840" w:type="dxa"/>
            <w:vAlign w:val="bottom"/>
          </w:tcPr>
          <w:p>
            <w:pPr>
              <w:spacing w:after="0"/>
              <w:rPr>
                <w:sz w:val="24"/>
                <w:szCs w:val="24"/>
                <w:color w:val="auto"/>
              </w:rPr>
            </w:pPr>
          </w:p>
        </w:tc>
      </w:tr>
      <w:tr>
        <w:trPr>
          <w:trHeight w:val="47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offered by us</w:t>
            </w:r>
          </w:p>
        </w:tc>
        <w:tc>
          <w:tcPr>
            <w:tcW w:w="440" w:type="dxa"/>
            <w:vAlign w:val="bottom"/>
          </w:tcPr>
          <w:p>
            <w:pPr>
              <w:spacing w:after="0"/>
              <w:rPr>
                <w:sz w:val="24"/>
                <w:szCs w:val="24"/>
                <w:color w:val="auto"/>
              </w:rPr>
            </w:pP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9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5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of common stock to be outstanding immediately</w:t>
            </w:r>
          </w:p>
        </w:tc>
        <w:tc>
          <w:tcPr>
            <w:tcW w:w="440" w:type="dxa"/>
            <w:vAlign w:val="bottom"/>
          </w:tcPr>
          <w:p>
            <w:pPr>
              <w:spacing w:after="0"/>
              <w:rPr>
                <w:sz w:val="24"/>
                <w:szCs w:val="24"/>
                <w:color w:val="auto"/>
              </w:rPr>
            </w:pP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(or</w:t>
            </w:r>
          </w:p>
        </w:tc>
        <w:tc>
          <w:tcPr>
            <w:tcW w:w="4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shares if the underwriters exercise their option to purchase</w:t>
            </w:r>
          </w:p>
        </w:tc>
      </w:tr>
      <w:tr>
        <w:trPr>
          <w:trHeight w:val="234"/>
        </w:trPr>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after this offering</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shares in full)</w:t>
            </w:r>
          </w:p>
        </w:tc>
        <w:tc>
          <w:tcPr>
            <w:tcW w:w="19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5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Underwriters’ option to purchase additional shares</w:t>
            </w:r>
          </w:p>
        </w:tc>
        <w:tc>
          <w:tcPr>
            <w:tcW w:w="6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w:t>
            </w:r>
          </w:p>
        </w:tc>
      </w:tr>
      <w:tr>
        <w:trPr>
          <w:trHeight w:val="216"/>
        </w:trPr>
        <w:tc>
          <w:tcPr>
            <w:tcW w:w="4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additional shares of our common stock. The underwriters can exercise this option</w:t>
            </w:r>
          </w:p>
        </w:tc>
      </w:tr>
      <w:tr>
        <w:trPr>
          <w:trHeight w:val="234"/>
        </w:trPr>
        <w:tc>
          <w:tcPr>
            <w:tcW w:w="4020" w:type="dxa"/>
            <w:vAlign w:val="bottom"/>
          </w:tcPr>
          <w:p>
            <w:pPr>
              <w:spacing w:after="0"/>
              <w:rPr>
                <w:sz w:val="20"/>
                <w:szCs w:val="20"/>
                <w:color w:val="auto"/>
              </w:rPr>
            </w:pPr>
          </w:p>
        </w:tc>
        <w:tc>
          <w:tcPr>
            <w:tcW w:w="6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at any time within 30 days after the date of this prospectus.</w:t>
            </w: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w:t>
            </w:r>
          </w:p>
        </w:tc>
      </w:tr>
      <w:tr>
        <w:trPr>
          <w:trHeight w:val="216"/>
        </w:trPr>
        <w:tc>
          <w:tcPr>
            <w:tcW w:w="402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million, or $</w:t>
            </w:r>
          </w:p>
        </w:tc>
        <w:tc>
          <w:tcPr>
            <w:tcW w:w="4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million if the underwriters exercise their option to purchase</w:t>
            </w:r>
          </w:p>
        </w:tc>
      </w:tr>
      <w:tr>
        <w:trPr>
          <w:trHeight w:val="216"/>
        </w:trPr>
        <w:tc>
          <w:tcPr>
            <w:tcW w:w="4020" w:type="dxa"/>
            <w:vAlign w:val="bottom"/>
          </w:tcPr>
          <w:p>
            <w:pPr>
              <w:spacing w:after="0"/>
              <w:rPr>
                <w:sz w:val="18"/>
                <w:szCs w:val="18"/>
                <w:color w:val="auto"/>
              </w:rPr>
            </w:pPr>
          </w:p>
        </w:tc>
        <w:tc>
          <w:tcPr>
            <w:tcW w:w="6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additional shares in full, after deducting estimated underwriting discounts and commissions</w:t>
            </w:r>
          </w:p>
        </w:tc>
      </w:tr>
      <w:tr>
        <w:trPr>
          <w:trHeight w:val="216"/>
        </w:trPr>
        <w:tc>
          <w:tcPr>
            <w:tcW w:w="4020" w:type="dxa"/>
            <w:vAlign w:val="bottom"/>
          </w:tcPr>
          <w:p>
            <w:pPr>
              <w:spacing w:after="0"/>
              <w:rPr>
                <w:sz w:val="18"/>
                <w:szCs w:val="18"/>
                <w:color w:val="auto"/>
              </w:rPr>
            </w:pPr>
          </w:p>
        </w:tc>
        <w:tc>
          <w:tcPr>
            <w:tcW w:w="6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and estimated offering expenses payable by us, assuming an initial public offering price of</w:t>
            </w:r>
          </w:p>
        </w:tc>
      </w:tr>
      <w:tr>
        <w:trPr>
          <w:trHeight w:val="216"/>
        </w:trPr>
        <w:tc>
          <w:tcPr>
            <w:tcW w:w="402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per share, which is the midpoint of the estimated price range set forth on the cover</w:t>
            </w:r>
          </w:p>
        </w:tc>
      </w:tr>
      <w:tr>
        <w:trPr>
          <w:trHeight w:val="234"/>
        </w:trPr>
        <w:tc>
          <w:tcPr>
            <w:tcW w:w="4020" w:type="dxa"/>
            <w:vAlign w:val="bottom"/>
          </w:tcPr>
          <w:p>
            <w:pPr>
              <w:spacing w:after="0"/>
              <w:rPr>
                <w:sz w:val="20"/>
                <w:szCs w:val="20"/>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page of this prospectus.</w:t>
            </w:r>
          </w:p>
        </w:tc>
        <w:tc>
          <w:tcPr>
            <w:tcW w:w="19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41"/>
        </w:trPr>
        <w:tc>
          <w:tcPr>
            <w:tcW w:w="4020" w:type="dxa"/>
            <w:vAlign w:val="bottom"/>
          </w:tcPr>
          <w:p>
            <w:pPr>
              <w:spacing w:after="0"/>
              <w:rPr>
                <w:sz w:val="24"/>
                <w:szCs w:val="24"/>
                <w:color w:val="auto"/>
              </w:rPr>
            </w:pPr>
          </w:p>
        </w:tc>
        <w:tc>
          <w:tcPr>
            <w:tcW w:w="6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 complete the development of TP-03</w:t>
            </w:r>
          </w:p>
        </w:tc>
      </w:tr>
      <w:tr>
        <w:trPr>
          <w:trHeight w:val="216"/>
        </w:trPr>
        <w:tc>
          <w:tcPr>
            <w:tcW w:w="4020" w:type="dxa"/>
            <w:vAlign w:val="bottom"/>
          </w:tcPr>
          <w:p>
            <w:pPr>
              <w:spacing w:after="0"/>
              <w:rPr>
                <w:sz w:val="18"/>
                <w:szCs w:val="18"/>
                <w:color w:val="auto"/>
              </w:rPr>
            </w:pPr>
          </w:p>
        </w:tc>
        <w:tc>
          <w:tcPr>
            <w:tcW w:w="6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for the treatment Demodex blepharitis and the remaining proceeds to fund the development</w:t>
            </w:r>
          </w:p>
        </w:tc>
      </w:tr>
      <w:tr>
        <w:trPr>
          <w:trHeight w:val="216"/>
        </w:trPr>
        <w:tc>
          <w:tcPr>
            <w:tcW w:w="4020" w:type="dxa"/>
            <w:vAlign w:val="bottom"/>
          </w:tcPr>
          <w:p>
            <w:pPr>
              <w:spacing w:after="0"/>
              <w:rPr>
                <w:sz w:val="18"/>
                <w:szCs w:val="18"/>
                <w:color w:val="auto"/>
              </w:rPr>
            </w:pPr>
          </w:p>
        </w:tc>
        <w:tc>
          <w:tcPr>
            <w:tcW w:w="6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of our product pipeline, as well as for other general corporate purposes. See “Use of</w:t>
            </w:r>
          </w:p>
        </w:tc>
      </w:tr>
      <w:tr>
        <w:trPr>
          <w:trHeight w:val="234"/>
        </w:trPr>
        <w:tc>
          <w:tcPr>
            <w:tcW w:w="4020" w:type="dxa"/>
            <w:vAlign w:val="bottom"/>
          </w:tcPr>
          <w:p>
            <w:pPr>
              <w:spacing w:after="0"/>
              <w:rPr>
                <w:sz w:val="20"/>
                <w:szCs w:val="20"/>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Proceeds” on page 86 for additional information.</w:t>
            </w:r>
          </w:p>
        </w:tc>
        <w:tc>
          <w:tcPr>
            <w:tcW w:w="2840" w:type="dxa"/>
            <w:vAlign w:val="bottom"/>
          </w:tcPr>
          <w:p>
            <w:pPr>
              <w:spacing w:after="0"/>
              <w:rPr>
                <w:sz w:val="20"/>
                <w:szCs w:val="20"/>
                <w:color w:val="auto"/>
              </w:rPr>
            </w:pP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See “Risk Factors” beginning on page 15 and the other information included in this</w:t>
            </w:r>
          </w:p>
        </w:tc>
      </w:tr>
      <w:tr>
        <w:trPr>
          <w:trHeight w:val="216"/>
        </w:trPr>
        <w:tc>
          <w:tcPr>
            <w:tcW w:w="4020" w:type="dxa"/>
            <w:vAlign w:val="bottom"/>
          </w:tcPr>
          <w:p>
            <w:pPr>
              <w:spacing w:after="0"/>
              <w:rPr>
                <w:sz w:val="18"/>
                <w:szCs w:val="18"/>
                <w:color w:val="auto"/>
              </w:rPr>
            </w:pPr>
          </w:p>
        </w:tc>
        <w:tc>
          <w:tcPr>
            <w:tcW w:w="6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prospectus for a discussion of factors you should consider carefully before deciding to</w:t>
            </w:r>
          </w:p>
        </w:tc>
      </w:tr>
      <w:tr>
        <w:trPr>
          <w:trHeight w:val="234"/>
        </w:trPr>
        <w:tc>
          <w:tcPr>
            <w:tcW w:w="4020" w:type="dxa"/>
            <w:vAlign w:val="bottom"/>
          </w:tcPr>
          <w:p>
            <w:pPr>
              <w:spacing w:after="0"/>
              <w:rPr>
                <w:sz w:val="20"/>
                <w:szCs w:val="20"/>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 in our common stock.</w:t>
            </w:r>
          </w:p>
        </w:tc>
        <w:tc>
          <w:tcPr>
            <w:tcW w:w="2840" w:type="dxa"/>
            <w:vAlign w:val="bottom"/>
          </w:tcPr>
          <w:p>
            <w:pPr>
              <w:spacing w:after="0"/>
              <w:rPr>
                <w:sz w:val="20"/>
                <w:szCs w:val="20"/>
                <w:color w:val="auto"/>
              </w:rPr>
            </w:pPr>
          </w:p>
        </w:tc>
      </w:tr>
      <w:tr>
        <w:trPr>
          <w:trHeight w:val="45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Proposed Nasdaq Global Market trading symbol</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“TARS”</w:t>
            </w:r>
          </w:p>
        </w:tc>
        <w:tc>
          <w:tcPr>
            <w:tcW w:w="19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27"/>
        </w:trPr>
        <w:tc>
          <w:tcPr>
            <w:tcW w:w="780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w:t>
            </w:r>
          </w:p>
        </w:tc>
        <w:tc>
          <w:tcPr>
            <w:tcW w:w="2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of our common stock</w:t>
            </w:r>
          </w:p>
        </w:tc>
      </w:t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June 30, 2020 and excludes the following:</w:t>
            </w:r>
          </w:p>
        </w:tc>
        <w:tc>
          <w:tcPr>
            <w:tcW w:w="14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spacing w:after="0" w:line="225" w:lineRule="exact"/>
        <w:rPr>
          <w:sz w:val="20"/>
          <w:szCs w:val="20"/>
          <w:color w:val="auto"/>
        </w:rPr>
      </w:pPr>
    </w:p>
    <w:p>
      <w:pPr>
        <w:ind w:left="2300" w:hanging="1057"/>
        <w:spacing w:after="0"/>
        <w:tabs>
          <w:tab w:leader="none" w:pos="2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options outstanding as of June 30, 2020, with a weighted-average</w:t>
      </w:r>
    </w:p>
    <w:p>
      <w:pPr>
        <w:spacing w:after="0" w:line="27" w:lineRule="exact"/>
        <w:rPr>
          <w:sz w:val="20"/>
          <w:szCs w:val="20"/>
          <w:color w:val="auto"/>
        </w:rPr>
      </w:pPr>
    </w:p>
    <w:p>
      <w:pPr>
        <w:ind w:left="1540"/>
        <w:spacing w:after="0"/>
        <w:tabs>
          <w:tab w:leader="none" w:pos="3660" w:val="left"/>
        </w:tabs>
        <w:rPr>
          <w:sz w:val="20"/>
          <w:szCs w:val="20"/>
          <w:color w:val="auto"/>
        </w:rPr>
      </w:pPr>
      <w:r>
        <w:rPr>
          <w:rFonts w:ascii="Times New Roman" w:cs="Times New Roman" w:eastAsia="Times New Roman" w:hAnsi="Times New Roman"/>
          <w:sz w:val="18"/>
          <w:szCs w:val="18"/>
          <w:color w:val="auto"/>
        </w:rPr>
        <w:t>exercise price of $</w:t>
      </w:r>
      <w:r>
        <w:rPr>
          <w:sz w:val="20"/>
          <w:szCs w:val="20"/>
          <w:color w:val="auto"/>
        </w:rPr>
        <w:tab/>
      </w:r>
      <w:r>
        <w:rPr>
          <w:rFonts w:ascii="Times New Roman" w:cs="Times New Roman" w:eastAsia="Times New Roman" w:hAnsi="Times New Roman"/>
          <w:sz w:val="17"/>
          <w:szCs w:val="17"/>
          <w:color w:val="auto"/>
        </w:rPr>
        <w:t>per share;</w:t>
      </w:r>
    </w:p>
    <w:p>
      <w:pPr>
        <w:spacing w:after="0" w:line="234" w:lineRule="exact"/>
        <w:rPr>
          <w:sz w:val="20"/>
          <w:szCs w:val="20"/>
          <w:color w:val="auto"/>
        </w:rPr>
      </w:pPr>
    </w:p>
    <w:p>
      <w:pPr>
        <w:ind w:left="2260" w:hanging="1017"/>
        <w:spacing w:after="0"/>
        <w:tabs>
          <w:tab w:leader="none" w:pos="2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options granted after June 30, 2020, at a weighted-average</w:t>
      </w:r>
    </w:p>
    <w:p>
      <w:pPr>
        <w:spacing w:after="0" w:line="27" w:lineRule="exact"/>
        <w:rPr>
          <w:sz w:val="20"/>
          <w:szCs w:val="20"/>
          <w:color w:val="auto"/>
        </w:rPr>
      </w:pPr>
    </w:p>
    <w:p>
      <w:pPr>
        <w:ind w:left="1540"/>
        <w:spacing w:after="0"/>
        <w:tabs>
          <w:tab w:leader="none" w:pos="3600" w:val="left"/>
        </w:tabs>
        <w:rPr>
          <w:sz w:val="20"/>
          <w:szCs w:val="20"/>
          <w:color w:val="auto"/>
        </w:rPr>
      </w:pPr>
      <w:r>
        <w:rPr>
          <w:rFonts w:ascii="Times New Roman" w:cs="Times New Roman" w:eastAsia="Times New Roman" w:hAnsi="Times New Roman"/>
          <w:sz w:val="18"/>
          <w:szCs w:val="18"/>
          <w:color w:val="auto"/>
        </w:rPr>
        <w:t>exercise price of $</w:t>
      </w:r>
      <w:r>
        <w:rPr>
          <w:sz w:val="20"/>
          <w:szCs w:val="20"/>
          <w:color w:val="auto"/>
        </w:rPr>
        <w:tab/>
      </w:r>
      <w:r>
        <w:rPr>
          <w:rFonts w:ascii="Times New Roman" w:cs="Times New Roman" w:eastAsia="Times New Roman" w:hAnsi="Times New Roman"/>
          <w:sz w:val="18"/>
          <w:szCs w:val="18"/>
          <w:color w:val="auto"/>
        </w:rPr>
        <w:t>per share;</w:t>
      </w:r>
    </w:p>
    <w:p>
      <w:pPr>
        <w:spacing w:after="0" w:line="234" w:lineRule="exact"/>
        <w:rPr>
          <w:sz w:val="20"/>
          <w:szCs w:val="20"/>
          <w:color w:val="auto"/>
        </w:rPr>
      </w:pPr>
    </w:p>
    <w:p>
      <w:pPr>
        <w:ind w:left="1540" w:right="720" w:hanging="297"/>
        <w:spacing w:after="0" w:line="282" w:lineRule="auto"/>
        <w:tabs>
          <w:tab w:leader="none" w:pos="2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legally issued upon the early exercise of certain stock options, but are subject to service conditions and the right of repurchase, that were outstanding as of June 30, 2020;</w:t>
      </w:r>
    </w:p>
    <w:p>
      <w:pPr>
        <w:spacing w:after="0" w:line="200" w:lineRule="exact"/>
        <w:rPr>
          <w:rFonts w:ascii="Times New Roman" w:cs="Times New Roman" w:eastAsia="Times New Roman" w:hAnsi="Times New Roman"/>
          <w:sz w:val="18"/>
          <w:szCs w:val="18"/>
          <w:color w:val="auto"/>
        </w:rPr>
      </w:pPr>
    </w:p>
    <w:p>
      <w:pPr>
        <w:spacing w:after="0" w:line="393" w:lineRule="exact"/>
        <w:rPr>
          <w:rFonts w:ascii="Times New Roman" w:cs="Times New Roman" w:eastAsia="Times New Roman" w:hAnsi="Times New Roman"/>
          <w:sz w:val="18"/>
          <w:szCs w:val="18"/>
          <w:color w:val="auto"/>
        </w:rPr>
      </w:pPr>
    </w:p>
    <w:p>
      <w:pPr>
        <w:ind w:left="5540" w:hanging="108"/>
        <w:spacing w:after="0"/>
        <w:tabs>
          <w:tab w:leader="none" w:pos="5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940"/>
          </w:cols>
          <w:pgMar w:left="320" w:top="455" w:right="6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401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44018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860" w:hanging="297"/>
        <w:spacing w:after="0" w:line="282" w:lineRule="auto"/>
        <w:tabs>
          <w:tab w:leader="none" w:pos="2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common stock granted to our founders that are subject to service conditions and the right of repurchase, that were outstanding as of June 30, 2020;</w:t>
      </w:r>
    </w:p>
    <w:p>
      <w:pPr>
        <w:spacing w:after="0" w:line="188" w:lineRule="exact"/>
        <w:rPr>
          <w:rFonts w:ascii="Times New Roman" w:cs="Times New Roman" w:eastAsia="Times New Roman" w:hAnsi="Times New Roman"/>
          <w:sz w:val="18"/>
          <w:szCs w:val="18"/>
          <w:color w:val="auto"/>
        </w:rPr>
      </w:pPr>
    </w:p>
    <w:p>
      <w:pPr>
        <w:ind w:left="1540" w:right="300" w:hanging="297"/>
        <w:spacing w:after="0" w:line="266" w:lineRule="auto"/>
        <w:tabs>
          <w:tab w:leader="none" w:pos="2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2016 Stock Plan, as amended, or the 2016 Plan, as of June 30, 2020, which shares will be added to the shares to be reserved under our 2020 Equity Incentive Plan, or the 2020 Plan, upon its effectiveness; and</w:t>
      </w:r>
    </w:p>
    <w:p>
      <w:pPr>
        <w:spacing w:after="0" w:line="202" w:lineRule="exact"/>
        <w:rPr>
          <w:rFonts w:ascii="Times New Roman" w:cs="Times New Roman" w:eastAsia="Times New Roman" w:hAnsi="Times New Roman"/>
          <w:sz w:val="18"/>
          <w:szCs w:val="18"/>
          <w:color w:val="auto"/>
        </w:rPr>
      </w:pPr>
    </w:p>
    <w:p>
      <w:pPr>
        <w:jc w:val="both"/>
        <w:ind w:left="1540" w:right="260" w:hanging="297"/>
        <w:spacing w:after="0" w:line="266" w:lineRule="auto"/>
        <w:tabs>
          <w:tab w:leader="none" w:pos="2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202" w:lineRule="exact"/>
        <w:rPr>
          <w:rFonts w:ascii="Times New Roman" w:cs="Times New Roman" w:eastAsia="Times New Roman" w:hAnsi="Times New Roman"/>
          <w:sz w:val="18"/>
          <w:szCs w:val="18"/>
          <w:color w:val="auto"/>
        </w:rPr>
      </w:pPr>
    </w:p>
    <w:p>
      <w:pPr>
        <w:ind w:left="1540" w:right="40" w:hanging="297"/>
        <w:spacing w:after="0" w:line="261" w:lineRule="auto"/>
        <w:tabs>
          <w:tab w:leader="none" w:pos="21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issuance under our 2020 Employee Stock Purchase Plan, or the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assumes:</w:t>
      </w:r>
    </w:p>
    <w:p>
      <w:pPr>
        <w:sectPr>
          <w:pgSz w:w="11900" w:h="16838" w:orient="portrait"/>
          <w:cols w:equalWidth="0" w:num="1">
            <w:col w:w="10940"/>
          </w:cols>
          <w:pgMar w:left="320" w:top="455" w:right="639" w:bottom="1440" w:gutter="0" w:footer="0" w:header="0"/>
        </w:sectPr>
      </w:pPr>
    </w:p>
    <w:p>
      <w:pPr>
        <w:spacing w:after="0" w:line="2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reverse stock split of our common stock to be effective 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2020;</w:t>
      </w:r>
    </w:p>
    <w:p>
      <w:pPr>
        <w:spacing w:after="0" w:line="211" w:lineRule="exact"/>
        <w:rPr>
          <w:sz w:val="20"/>
          <w:szCs w:val="20"/>
          <w:color w:val="auto"/>
        </w:rPr>
      </w:pPr>
    </w:p>
    <w:p>
      <w:pPr>
        <w:sectPr>
          <w:pgSz w:w="11900" w:h="16838" w:orient="portrait"/>
          <w:cols w:equalWidth="0" w:num="5">
            <w:col w:w="1300" w:space="240"/>
            <w:col w:w="120" w:space="720"/>
            <w:col w:w="340" w:space="720"/>
            <w:col w:w="4160" w:space="720"/>
            <w:col w:w="2620"/>
          </w:cols>
          <w:pgMar w:left="320" w:top="455" w:right="639" w:bottom="1440" w:gutter="0" w:footer="0" w:header="0"/>
          <w:type w:val="continuous"/>
        </w:sectPr>
      </w:pPr>
    </w:p>
    <w:p>
      <w:pPr>
        <w:spacing w:after="0" w:line="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conversion of all outstanding shares of our preferred stock into an aggregate of prior to and in connection with the completion of this offering;</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immediately</w:t>
      </w:r>
    </w:p>
    <w:p>
      <w:pPr>
        <w:spacing w:after="0" w:line="468" w:lineRule="exact"/>
        <w:rPr>
          <w:sz w:val="20"/>
          <w:szCs w:val="20"/>
          <w:color w:val="auto"/>
        </w:rPr>
      </w:pPr>
    </w:p>
    <w:p>
      <w:pPr>
        <w:sectPr>
          <w:pgSz w:w="11900" w:h="16838" w:orient="portrait"/>
          <w:cols w:equalWidth="0" w:num="3">
            <w:col w:w="1300" w:space="240"/>
            <w:col w:w="5980" w:space="720"/>
            <w:col w:w="2700"/>
          </w:cols>
          <w:pgMar w:left="320" w:top="455" w:right="639" w:bottom="1440" w:gutter="0" w:footer="0" w:header="0"/>
          <w:type w:val="continuous"/>
        </w:sectPr>
      </w:pPr>
    </w:p>
    <w:p>
      <w:pPr>
        <w:ind w:left="1540" w:right="80" w:hanging="297"/>
        <w:spacing w:after="0" w:line="282"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188"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and</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described above after June 30, 2020.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940"/>
          </w:cols>
          <w:pgMar w:left="320" w:top="455" w:right="6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2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1219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9" w:lineRule="exact"/>
        <w:rPr>
          <w:sz w:val="20"/>
          <w:szCs w:val="20"/>
          <w:color w:val="auto"/>
        </w:rPr>
      </w:pPr>
    </w:p>
    <w:p>
      <w:pPr>
        <w:ind w:left="300" w:right="60" w:firstLine="852"/>
        <w:spacing w:after="0" w:line="256" w:lineRule="auto"/>
        <w:rPr>
          <w:sz w:val="20"/>
          <w:szCs w:val="20"/>
          <w:color w:val="auto"/>
        </w:rPr>
      </w:pPr>
      <w:r>
        <w:rPr>
          <w:rFonts w:ascii="Times New Roman" w:cs="Times New Roman" w:eastAsia="Times New Roman" w:hAnsi="Times New Roman"/>
          <w:sz w:val="18"/>
          <w:szCs w:val="18"/>
          <w:color w:val="auto"/>
        </w:rPr>
        <w:t>The summary statements of operations data for the years ended December 31, 2018 and 2019 are derived from our audited financial statements and related notes included elsewhere in this prospectus. Our historical results are not necessarily indicative of results that may be expected in the future. You should read these summary financial data together with our financial statements and related notes appearing elsewhere in this prospectus and the information in the sections titled “Selected Financial Data” and “Management’s Discussion and Analysis of Financial Condition and Results of Operations.” The selected financial data in this section are not intended to replace our financial statements and the related notes and are qualified in their entirety by the financial statements and related notes included elsewhere in this prospectus.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share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 before other income (expense) and income taxes</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related party convertible notes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Net loss per share attributable to common stockholders, basic and diluted </w:t>
            </w:r>
            <w:r>
              <w:rPr>
                <w:rFonts w:ascii="Times New Roman" w:cs="Times New Roman" w:eastAsia="Times New Roman" w:hAnsi="Times New Roman"/>
                <w:sz w:val="15"/>
                <w:szCs w:val="15"/>
                <w:color w:val="auto"/>
              </w:rPr>
              <w:t>(1)</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5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in computing net loss per share attributable to common</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stockholders, basic and diluted </w:t>
            </w:r>
            <w:r>
              <w:rPr>
                <w:rFonts w:ascii="Times New Roman" w:cs="Times New Roman" w:eastAsia="Times New Roman" w:hAnsi="Times New Roman"/>
                <w:sz w:val="15"/>
                <w:szCs w:val="15"/>
                <w:color w:val="auto"/>
              </w:rPr>
              <w:t>(1)</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13,068,854</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17,728,991</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Pro forma net loss per share attributable to common stockholders, basic and diluted (unaudited) </w:t>
            </w:r>
            <w:r>
              <w:rPr>
                <w:rFonts w:ascii="Times New Roman" w:cs="Times New Roman" w:eastAsia="Times New Roman" w:hAnsi="Times New Roman"/>
                <w:sz w:val="15"/>
                <w:szCs w:val="15"/>
                <w:color w:val="auto"/>
              </w:rPr>
              <w:t>(1)</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5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in computing pro forma net loss per share attributable to</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common stockholders, basic and diluted (unaudited) </w:t>
            </w:r>
            <w:r>
              <w:rPr>
                <w:rFonts w:ascii="Times New Roman" w:cs="Times New Roman" w:eastAsia="Times New Roman" w:hAnsi="Times New Roman"/>
                <w:sz w:val="15"/>
                <w:szCs w:val="15"/>
                <w:color w:val="auto"/>
              </w:rPr>
              <w:t>(1)</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32,008,512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20" w:right="440" w:hanging="422"/>
        <w:spacing w:after="0" w:line="261" w:lineRule="auto"/>
        <w:tabs>
          <w:tab w:leader="none" w:pos="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calculation of our basic and diluted net loss per share attributable to common stockholders, unaudited basic and diluted pro forma net loss per share and weighted-average number of shares used in the computation of the per share amounts, see Note 6 and Note 7 to our financial statements included elsewhere in this prospectus.</w:t>
      </w:r>
    </w:p>
    <w:p>
      <w:pPr>
        <w:spacing w:after="0" w:line="200" w:lineRule="exact"/>
        <w:rPr>
          <w:rFonts w:ascii="Times New Roman" w:cs="Times New Roman" w:eastAsia="Times New Roman" w:hAnsi="Times New Roman"/>
          <w:sz w:val="14"/>
          <w:szCs w:val="14"/>
          <w:color w:val="auto"/>
        </w:rPr>
      </w:pPr>
    </w:p>
    <w:p>
      <w:pPr>
        <w:spacing w:after="0" w:line="399" w:lineRule="exact"/>
        <w:rPr>
          <w:rFonts w:ascii="Times New Roman" w:cs="Times New Roman" w:eastAsia="Times New Roman" w:hAnsi="Times New Roman"/>
          <w:sz w:val="14"/>
          <w:szCs w:val="14"/>
          <w:color w:val="auto"/>
        </w:rPr>
      </w:pPr>
    </w:p>
    <w:p>
      <w:pPr>
        <w:ind w:left="5540" w:hanging="111"/>
        <w:spacing w:after="0"/>
        <w:tabs>
          <w:tab w:leader="none" w:pos="5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0940"/>
          </w:cols>
          <w:pgMar w:left="320" w:top="455" w:right="6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687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26873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As of June 30, 2020 (unaudited)</w:t>
      </w:r>
    </w:p>
    <w:p>
      <w:pPr>
        <w:spacing w:after="0" w:line="12" w:lineRule="exact"/>
        <w:rPr>
          <w:sz w:val="20"/>
          <w:szCs w:val="20"/>
          <w:color w:val="auto"/>
        </w:rPr>
      </w:pPr>
    </w:p>
    <w:tbl>
      <w:tblPr>
        <w:tblLayout w:type="fixed"/>
        <w:tblInd w:w="6200" w:type="dxa"/>
        <w:tblCellMar>
          <w:top w:w="0" w:type="dxa"/>
          <w:left w:w="0" w:type="dxa"/>
          <w:bottom w:w="0" w:type="dxa"/>
          <w:right w:w="0" w:type="dxa"/>
        </w:tblCellMar>
      </w:tblPr>
      <w:tr>
        <w:trPr>
          <w:trHeight w:val="117"/>
        </w:trPr>
        <w:tc>
          <w:tcPr>
            <w:tcW w:w="8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80" w:type="dxa"/>
            <w:vAlign w:val="bottom"/>
            <w:tcBorders>
              <w:top w:val="single" w:sz="8" w:color="auto"/>
            </w:tcBorders>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2"/>
                <w:szCs w:val="12"/>
                <w:b w:val="1"/>
                <w:bCs w:val="1"/>
                <w:color w:val="auto"/>
              </w:rPr>
              <w:t>(1)</w:t>
            </w:r>
          </w:p>
        </w:tc>
        <w:tc>
          <w:tcPr>
            <w:tcW w:w="1200" w:type="dxa"/>
            <w:vAlign w:val="bottom"/>
            <w:tcBorders>
              <w:top w:val="single" w:sz="8" w:color="auto"/>
            </w:tcBorders>
          </w:tcPr>
          <w:p>
            <w:pPr>
              <w:jc w:val="center"/>
              <w:ind w:left="271"/>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0" w:type="dxa"/>
            <w:vAlign w:val="bottom"/>
          </w:tcPr>
          <w:p>
            <w:pPr>
              <w:spacing w:after="0"/>
              <w:rPr>
                <w:sz w:val="1"/>
                <w:szCs w:val="1"/>
                <w:color w:val="auto"/>
              </w:rPr>
            </w:pPr>
          </w:p>
        </w:tc>
      </w:tr>
      <w:tr>
        <w:trPr>
          <w:trHeight w:val="173"/>
        </w:trPr>
        <w:tc>
          <w:tcPr>
            <w:tcW w:w="860" w:type="dxa"/>
            <w:vAlign w:val="bottom"/>
            <w:tcBorders>
              <w:bottom w:val="single" w:sz="8" w:color="auto"/>
            </w:tcBorders>
            <w:vMerge w:val="continue"/>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 xml:space="preserve">Adjusted </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1880" w:type="dxa"/>
            <w:vAlign w:val="bottom"/>
          </w:tcPr>
          <w:p>
            <w:pPr>
              <w:ind w:left="660"/>
              <w:spacing w:after="0" w:line="14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080"/>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15"/>
          <w:szCs w:val="15"/>
          <w:color w:val="auto"/>
        </w:rPr>
        <w:t>(3)</w:t>
      </w:r>
    </w:p>
    <w:p>
      <w:pPr>
        <w:spacing w:after="0" w:line="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Total assets</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Preferred stock</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Total stockholders’ (deficit) equity</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(1)</w:t>
            </w: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The pro forma balance sheet data gives effect to the automatic conversion of all outstanding shares of our Preferred Stock as of</w:t>
            </w:r>
          </w:p>
        </w:tc>
        <w:tc>
          <w:tcPr>
            <w:tcW w:w="2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2020 into an aggregate</w:t>
            </w:r>
          </w:p>
        </w:tc>
      </w:tr>
      <w:tr>
        <w:trPr>
          <w:trHeight w:val="148"/>
        </w:trPr>
        <w:tc>
          <w:tcPr>
            <w:tcW w:w="300" w:type="dxa"/>
            <w:vAlign w:val="bottom"/>
          </w:tcPr>
          <w:p>
            <w:pPr>
              <w:spacing w:after="0"/>
              <w:rPr>
                <w:sz w:val="12"/>
                <w:szCs w:val="12"/>
                <w:color w:val="auto"/>
              </w:rPr>
            </w:pPr>
          </w:p>
        </w:tc>
        <w:tc>
          <w:tcPr>
            <w:tcW w:w="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92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shares of common stock, which will occur immediately prior to the completion of this offering and the filing and effectiveness of our amended and restated</w:t>
            </w:r>
          </w:p>
        </w:tc>
      </w:tr>
      <w:tr>
        <w:trPr>
          <w:trHeight w:val="188"/>
        </w:trPr>
        <w:tc>
          <w:tcPr>
            <w:tcW w:w="300" w:type="dxa"/>
            <w:vAlign w:val="bottom"/>
          </w:tcPr>
          <w:p>
            <w:pPr>
              <w:spacing w:after="0"/>
              <w:rPr>
                <w:sz w:val="16"/>
                <w:szCs w:val="16"/>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certificate of incorporation, which will occur in connection with the closing of this offering.</w:t>
            </w:r>
          </w:p>
        </w:tc>
        <w:tc>
          <w:tcPr>
            <w:tcW w:w="2040" w:type="dxa"/>
            <w:vAlign w:val="bottom"/>
          </w:tcPr>
          <w:p>
            <w:pPr>
              <w:spacing w:after="0"/>
              <w:rPr>
                <w:sz w:val="16"/>
                <w:szCs w:val="16"/>
                <w:color w:val="auto"/>
              </w:rPr>
            </w:pPr>
          </w:p>
        </w:tc>
      </w:tr>
    </w:tbl>
    <w:p>
      <w:pPr>
        <w:spacing w:after="0" w:line="203" w:lineRule="exact"/>
        <w:rPr>
          <w:sz w:val="20"/>
          <w:szCs w:val="20"/>
          <w:color w:val="auto"/>
        </w:rPr>
      </w:pPr>
    </w:p>
    <w:p>
      <w:pPr>
        <w:ind w:left="720" w:hanging="422"/>
        <w:spacing w:after="0"/>
        <w:tabs>
          <w:tab w:leader="none" w:pos="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pro forma adjustments described in footnote (1) above and the issuance and sale of shares of common stock in this offering at the assumed initial public offering</w:t>
      </w:r>
    </w:p>
    <w:p>
      <w:pPr>
        <w:spacing w:after="0" w:line="4" w:lineRule="exact"/>
        <w:rPr>
          <w:sz w:val="20"/>
          <w:szCs w:val="20"/>
          <w:color w:val="auto"/>
        </w:rPr>
      </w:pPr>
    </w:p>
    <w:p>
      <w:pPr>
        <w:ind w:left="720" w:right="740"/>
        <w:spacing w:after="0" w:line="239" w:lineRule="auto"/>
        <w:rPr>
          <w:sz w:val="20"/>
          <w:szCs w:val="20"/>
          <w:color w:val="auto"/>
        </w:rPr>
      </w:pPr>
      <w:r>
        <w:rPr>
          <w:rFonts w:ascii="Times New Roman" w:cs="Times New Roman" w:eastAsia="Times New Roman" w:hAnsi="Times New Roman"/>
          <w:sz w:val="14"/>
          <w:szCs w:val="14"/>
          <w:color w:val="auto"/>
        </w:rPr>
        <w:t>price of $ per share, which is the midpoint of the estimated offering price range set forth on the cover page of this prospectus, after deducting the estimated underwriting discounts and commissions and estimated offering expenses payable by us.</w:t>
      </w:r>
    </w:p>
    <w:p>
      <w:pPr>
        <w:spacing w:after="0" w:line="203" w:lineRule="exact"/>
        <w:rPr>
          <w:sz w:val="20"/>
          <w:szCs w:val="20"/>
          <w:color w:val="auto"/>
        </w:rPr>
      </w:pPr>
    </w:p>
    <w:p>
      <w:pPr>
        <w:ind w:left="720" w:hanging="422"/>
        <w:spacing w:after="0" w:line="261" w:lineRule="auto"/>
        <w:tabs>
          <w:tab w:leader="none" w:pos="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working capital as current assets less current liabilities. See our audited financial statements and related notes appearing at the end of this prospectus for further details regarding our current assets and current liabilities.</w:t>
      </w:r>
    </w:p>
    <w:p>
      <w:pPr>
        <w:spacing w:after="0" w:line="200" w:lineRule="exact"/>
        <w:rPr>
          <w:rFonts w:ascii="Times New Roman" w:cs="Times New Roman" w:eastAsia="Times New Roman" w:hAnsi="Times New Roman"/>
          <w:sz w:val="14"/>
          <w:szCs w:val="14"/>
          <w:color w:val="auto"/>
        </w:rPr>
      </w:pPr>
    </w:p>
    <w:p>
      <w:pPr>
        <w:spacing w:after="0" w:line="399" w:lineRule="exact"/>
        <w:rPr>
          <w:rFonts w:ascii="Times New Roman" w:cs="Times New Roman" w:eastAsia="Times New Roman" w:hAnsi="Times New Roman"/>
          <w:sz w:val="14"/>
          <w:szCs w:val="14"/>
          <w:color w:val="auto"/>
        </w:rPr>
      </w:pPr>
    </w:p>
    <w:p>
      <w:pPr>
        <w:ind w:left="5540" w:hanging="111"/>
        <w:spacing w:after="0"/>
        <w:tabs>
          <w:tab w:leader="none" w:pos="5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920"/>
          </w:cols>
          <w:pgMar w:left="320" w:top="455" w:right="6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is speculative and involves a high degree of risk. Before investing in our common stock, you should consider carefully the risks described below, together with the other information contained in this prospectus, including our financial statements and the related notes appearing at the end of this prospectus.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and negative cash flows from operations since our inception and anticipate that we will continue to incur significant expenses and losses for the foreseeable future.</w:t>
      </w:r>
    </w:p>
    <w:p>
      <w:pPr>
        <w:spacing w:after="0" w:line="15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We do not have any products approved for sale, we have not generated any revenue and have incurred net losses in each reporting period since our company’s formation in 2016. We have funded our operations primarily from the sale and issuance of redeemable convertible preferred stock and convertible promissory notes. For the years ended December 31, 2019 and 2018, our net losses were $4.7 million and $1.3 million, respectively. As of December 31, 2019, we had an accumulated deficit of $6.0 million.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expect that it will be a few years, if ever, before we have a product candidate ready for commercialization. We expect to incur increasing levels of operating losses over the next several years and for the foreseeable future as we advance and commercialize, if approved, our product candidates. Our prior losses, combined with expected future losses, have had and will continue to have an adverse effect on our accumulated deficit and working capital.</w:t>
      </w:r>
    </w:p>
    <w:p>
      <w:pPr>
        <w:spacing w:after="0" w:line="188"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We expect to continue incurring significant expenses and increasing operating losses for the foreseeable future. We expect that our expenses will increase substantially if and as we:</w:t>
      </w:r>
    </w:p>
    <w:p>
      <w:pPr>
        <w:spacing w:after="0" w:line="189" w:lineRule="exact"/>
        <w:rPr>
          <w:sz w:val="20"/>
          <w:szCs w:val="20"/>
          <w:color w:val="auto"/>
        </w:rPr>
      </w:pPr>
    </w:p>
    <w:p>
      <w:pPr>
        <w:ind w:left="1420" w:hanging="319"/>
        <w:spacing w:after="0"/>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for and initiate additional preclinical, clinical and other studies for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manufacturers or suppliers, some of which may require additional permits or other governmental approvals;</w:t>
      </w:r>
    </w:p>
    <w:p>
      <w:pPr>
        <w:spacing w:after="0" w:line="252" w:lineRule="exact"/>
        <w:rPr>
          <w:rFonts w:ascii="Times New Roman" w:cs="Times New Roman" w:eastAsia="Times New Roman" w:hAnsi="Times New Roman"/>
          <w:sz w:val="18"/>
          <w:szCs w:val="18"/>
          <w:color w:val="auto"/>
        </w:rPr>
      </w:pPr>
    </w:p>
    <w:p>
      <w:pPr>
        <w:ind w:left="1420" w:right="900" w:hanging="319"/>
        <w:spacing w:after="0" w:line="282" w:lineRule="auto"/>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 company, including adding operational, financial and management information systems and personnel;</w:t>
      </w:r>
    </w:p>
    <w:p>
      <w:pPr>
        <w:spacing w:after="0" w:line="188" w:lineRule="exact"/>
        <w:rPr>
          <w:rFonts w:ascii="Times New Roman" w:cs="Times New Roman" w:eastAsia="Times New Roman" w:hAnsi="Times New Roman"/>
          <w:sz w:val="18"/>
          <w:szCs w:val="18"/>
          <w:color w:val="auto"/>
        </w:rPr>
      </w:pPr>
    </w:p>
    <w:p>
      <w:pPr>
        <w:ind w:left="1420" w:right="680" w:hanging="319"/>
        <w:spacing w:after="0" w:line="282" w:lineRule="auto"/>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product development and planned future commercialization efforts, including through hiring additional clinical, regulatory, quality control and scientific personnel;</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and reimbursement for our product candidates;</w:t>
      </w:r>
    </w:p>
    <w:p>
      <w:pPr>
        <w:spacing w:after="0" w:line="252" w:lineRule="exact"/>
        <w:rPr>
          <w:rFonts w:ascii="Times New Roman" w:cs="Times New Roman" w:eastAsia="Times New Roman" w:hAnsi="Times New Roman"/>
          <w:sz w:val="18"/>
          <w:szCs w:val="18"/>
          <w:color w:val="auto"/>
        </w:rPr>
      </w:pPr>
    </w:p>
    <w:p>
      <w:pPr>
        <w:ind w:left="1420" w:right="580" w:hanging="319"/>
        <w:spacing w:after="0" w:line="282" w:lineRule="auto"/>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assess, acquire or develop additional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1080"/>
          </w:cols>
          <w:pgMar w:left="320" w:top="455" w:right="4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or other payments in connection with the development or approval of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enforce and expand our intellectual property portfolio;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any of the above.</w:t>
      </w:r>
    </w:p>
    <w:p>
      <w:pPr>
        <w:spacing w:after="0" w:line="225" w:lineRule="exact"/>
        <w:rPr>
          <w:sz w:val="20"/>
          <w:szCs w:val="20"/>
          <w:color w:val="auto"/>
        </w:rPr>
      </w:pPr>
    </w:p>
    <w:p>
      <w:pPr>
        <w:jc w:val="both"/>
        <w:ind w:left="120" w:right="420" w:firstLine="881"/>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spacing w:after="0" w:line="203" w:lineRule="exact"/>
        <w:rPr>
          <w:sz w:val="20"/>
          <w:szCs w:val="20"/>
          <w:color w:val="auto"/>
        </w:rPr>
      </w:pPr>
    </w:p>
    <w:p>
      <w:pPr>
        <w:ind w:left="1420" w:hanging="31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regulatory authorities to perform trials or studies in addition to, or different than, those that we currently expect;</w:t>
      </w:r>
    </w:p>
    <w:p>
      <w:pPr>
        <w:spacing w:after="0" w:line="252" w:lineRule="exact"/>
        <w:rPr>
          <w:rFonts w:ascii="Times New Roman" w:cs="Times New Roman" w:eastAsia="Times New Roman" w:hAnsi="Times New Roman"/>
          <w:sz w:val="18"/>
          <w:szCs w:val="18"/>
          <w:color w:val="auto"/>
        </w:rPr>
      </w:pPr>
    </w:p>
    <w:p>
      <w:pPr>
        <w:ind w:left="1420" w:right="60" w:hanging="319"/>
        <w:spacing w:after="0" w:line="282"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establishing appropriate manufacturing arrangements for or completing the development of any of our product candidates; or</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for and are successful in commercializing one or more of our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product candidates and longer-term planning for potential commercialization. Our prospects must be considered in light of the uncertainties, risks, expenses and difficulties frequently encountered by companies in their early stages of operations. We have limited experience in and have not yet demonstrated our ability to obtain marketing approvals, manufacture a commercial 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will need to transition at some point from a company with a research and development focus to a company capable of supporting commercial activities. We may not be successful in such a transition.</w:t>
      </w:r>
    </w:p>
    <w:p>
      <w:pPr>
        <w:spacing w:after="0" w:line="18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lead product candidate, TP-03, for the treatment of Demodex blepharitis. If we are unable to successfully complete the clinical development program, obtain regulatory approval for, or commercialize, TP-03, or experience significant delays in doing so, our business will be materially harmed.</w:t>
      </w:r>
    </w:p>
    <w:p>
      <w:pPr>
        <w:spacing w:after="0" w:line="175" w:lineRule="exact"/>
        <w:rPr>
          <w:sz w:val="20"/>
          <w:szCs w:val="20"/>
          <w:color w:val="auto"/>
        </w:rPr>
      </w:pPr>
    </w:p>
    <w:p>
      <w:pPr>
        <w:ind w:left="120" w:right="980" w:firstLine="881"/>
        <w:spacing w:after="0" w:line="282" w:lineRule="auto"/>
        <w:rPr>
          <w:sz w:val="20"/>
          <w:szCs w:val="20"/>
          <w:color w:val="auto"/>
        </w:rPr>
      </w:pPr>
      <w:r>
        <w:rPr>
          <w:rFonts w:ascii="Times New Roman" w:cs="Times New Roman" w:eastAsia="Times New Roman" w:hAnsi="Times New Roman"/>
          <w:sz w:val="18"/>
          <w:szCs w:val="18"/>
          <w:color w:val="auto"/>
        </w:rPr>
        <w:t>We currently have no products that are approved for commercial sale and we have never had any products approved for sale or commercialized. To date, we have invested a substantial majority of our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efforts and financial resources to the preclinical and clinical development of TP-03 for the treatment of Demodex blepharitis. Our future success is dependent on our ability to successfully develop, obtain regulatory approval for, and commercialize TP-03 for the treatment of Demodex blepharitis, and we cannot accurately predict when or if TP-03 will be proven to be effective or safe in humans or whether it will receive regulatory approval. Before we can generate any revenue from sales of TP-03, we will be required to conduct additional clinical development, seek and obtain regulatory approval, secure adequate manufacturing supply to support commercial sales and build a commercial organization. We have not yet demonstrated our ability to complete pivotal clinical trials. Further, the commercial success of TP-03 will also depend on patent protection, successfully educating ECPs about Demodex blepharitis and related diagnosis, acceptance of TP-03 by patients, the medical community and third-party payors, TP-03’s ability to compete with other therapies, secure adequate healthcare coverage and reimbursement, and maintenance of an acceptable safety profile following approval, among other factors. If we do not achieve one or more of these factors in a timely manner or at all, we could experience significant delays or an inability to successfully commercialize TP-03, which would materially harm our business. If we were required to discontinue development of TP-03, or if TP-03 does not receive regulatory approval, fails to achieve significant market acceptance, or fails to receive adequate reimbursement, we would be delayed by many years in our ability to achieve profitability, if ever, and may not be able to generate sufficient revenue to continue our business.</w:t>
      </w:r>
    </w:p>
    <w:p>
      <w:pPr>
        <w:spacing w:after="0" w:line="186"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need to obtain substantial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17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Since our inception, we have funded our operations through private placements of preferred stock and convertible promissory notes. Over the next few years, we expect our expenses to increase substantially and we will require a larger amount of capital to fund the development of our product candidates. As our product candidates enter and advance through preclinical studies and clinical trials, we will need substantial additional funds to expand our clinical, regulatory, quality and manufacturing capabilities. In addition, if we obtain marketing approval for any of our product candidates, we expect to incur significant commercialization expenses related to marketing, sales, manufacturing and distribution. Furthermore, upon the completion of this offering, we expect to incur additional costs associated with operating as a public company.</w:t>
      </w:r>
    </w:p>
    <w:p>
      <w:pPr>
        <w:spacing w:after="0" w:line="187" w:lineRule="exact"/>
        <w:rPr>
          <w:sz w:val="20"/>
          <w:szCs w:val="20"/>
          <w:color w:val="auto"/>
        </w:rPr>
      </w:pPr>
    </w:p>
    <w:p>
      <w:pPr>
        <w:ind w:left="120" w:right="100" w:firstLine="881"/>
        <w:spacing w:after="0" w:line="272" w:lineRule="auto"/>
        <w:rPr>
          <w:sz w:val="20"/>
          <w:szCs w:val="20"/>
          <w:color w:val="auto"/>
        </w:rPr>
      </w:pPr>
      <w:r>
        <w:rPr>
          <w:rFonts w:ascii="Times New Roman" w:cs="Times New Roman" w:eastAsia="Times New Roman" w:hAnsi="Times New Roman"/>
          <w:sz w:val="17"/>
          <w:szCs w:val="17"/>
          <w:color w:val="auto"/>
        </w:rPr>
        <w:t>As of December 31, 2019, we had $58.0 million in cash and cash equivalents. Based on our current operating plan, we believe that our existing cash and cash equivalents will be sufficient to fund our anticipated level of operations through at least the next 12 months without the proceeds from this offering. With the expected net proceeds from this offering, we believe that our cash and cash equivalents will be sufficient to fund our</w:t>
      </w:r>
    </w:p>
    <w:p>
      <w:pPr>
        <w:spacing w:after="0" w:line="2"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operating expenses and capital expenditure requirements through the of 202 . Accordingly, the expected net proceeds from this offering will not be sufficient for us to fund any of our product candidates through regulatory approval and commercialization, and we will need to raise substantial additional capital to complete the development and commercialization of our product candidates through equity offerings, debt financings, marketing and distribution arrangements and other collaborations, strategic alliances and licensing arrangements or other sources. We may also need to raise additional funds sooner if we choose to pursue additional indications for our product candidates or otherwise expand more rapidly than we presently anticipate.</w:t>
      </w:r>
    </w:p>
    <w:p>
      <w:pPr>
        <w:spacing w:after="0" w:line="190" w:lineRule="exact"/>
        <w:rPr>
          <w:sz w:val="20"/>
          <w:szCs w:val="20"/>
          <w:color w:val="auto"/>
        </w:rPr>
      </w:pPr>
    </w:p>
    <w:p>
      <w:pPr>
        <w:ind w:left="120" w:right="40" w:firstLine="881"/>
        <w:spacing w:after="0" w:line="312" w:lineRule="auto"/>
        <w:rPr>
          <w:sz w:val="20"/>
          <w:szCs w:val="20"/>
          <w:color w:val="auto"/>
        </w:rPr>
      </w:pPr>
      <w:r>
        <w:rPr>
          <w:rFonts w:ascii="Times New Roman" w:cs="Times New Roman" w:eastAsia="Times New Roman" w:hAnsi="Times New Roman"/>
          <w:sz w:val="17"/>
          <w:szCs w:val="17"/>
          <w:color w:val="auto"/>
        </w:rPr>
        <w:t>We have based these estimates on assumptions that may prove to be incorrect or require adjustment as a result of business decisions, and we could utilize our available capital resources sooner than we currently expect. Our future capital requirements will depend on many factors, including:</w:t>
      </w:r>
    </w:p>
    <w:p>
      <w:pPr>
        <w:spacing w:after="0" w:line="167" w:lineRule="exact"/>
        <w:rPr>
          <w:sz w:val="20"/>
          <w:szCs w:val="20"/>
          <w:color w:val="auto"/>
        </w:rPr>
      </w:pPr>
    </w:p>
    <w:p>
      <w:pPr>
        <w:ind w:left="1420" w:right="200" w:hanging="319"/>
        <w:spacing w:after="0" w:line="282"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costs and results of our drug discovery, preclinical development activities, laboratory testing and clinical trials for our product candidates;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manufacturing development and commercial manufacturing activities and our ability to scale them up;</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52" w:lineRule="exact"/>
        <w:rPr>
          <w:rFonts w:ascii="Times New Roman" w:cs="Times New Roman" w:eastAsia="Times New Roman" w:hAnsi="Times New Roman"/>
          <w:sz w:val="18"/>
          <w:szCs w:val="18"/>
          <w:color w:val="auto"/>
        </w:rPr>
      </w:pPr>
    </w:p>
    <w:p>
      <w:pPr>
        <w:ind w:left="1420" w:right="100" w:hanging="319"/>
        <w:spacing w:after="0" w:line="266" w:lineRule="auto"/>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our product candidates, including the potential for regulatory authorities to require that we conduct more studies and trials than those that we currently expect to conduct and the costs of post-marketing studies or risk evaluation and mitigation strategies that could be required by regulatory authorities;</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regulatory environment and enforcement rules;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and marketing capabilities, if any of our product candidates receive marketing approval;</w:t>
      </w:r>
    </w:p>
    <w:p>
      <w:pPr>
        <w:spacing w:after="0" w:line="252" w:lineRule="exact"/>
        <w:rPr>
          <w:rFonts w:ascii="Times New Roman" w:cs="Times New Roman" w:eastAsia="Times New Roman" w:hAnsi="Times New Roman"/>
          <w:sz w:val="18"/>
          <w:szCs w:val="18"/>
          <w:color w:val="auto"/>
        </w:rPr>
      </w:pPr>
    </w:p>
    <w:p>
      <w:pPr>
        <w:ind w:left="1420" w:right="520" w:hanging="319"/>
        <w:spacing w:after="0" w:line="282" w:lineRule="auto"/>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52" w:lineRule="exact"/>
        <w:rPr>
          <w:rFonts w:ascii="Times New Roman" w:cs="Times New Roman" w:eastAsia="Times New Roman" w:hAnsi="Times New Roman"/>
          <w:sz w:val="18"/>
          <w:szCs w:val="18"/>
          <w:color w:val="auto"/>
        </w:rPr>
      </w:pPr>
    </w:p>
    <w:p>
      <w:pPr>
        <w:ind w:left="1420" w:right="20" w:hanging="319"/>
        <w:spacing w:after="0" w:line="282" w:lineRule="auto"/>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pharmaceutical pricing and reimbursement infrastructure;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our product candidates, if they receive marketing approval.</w:t>
      </w:r>
    </w:p>
    <w:p>
      <w:pPr>
        <w:spacing w:after="0" w:line="225"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In addition, our product candidates, if approved, may not achieve adequate product sales or commercial success. We do not expect to have any products commercially available for sale for many years, if at all. Accordingly, we will need to obtain substantial additional funding in connection with our continuing operations. Adequate additional financing may not be available to us on acceptable terms, or at all, and may be impacted by the economic climate and market conditions. For example, market volatility resulting from the COVID-19 pandemic or any other future infectious diseases, epidemics or pandemics could also adversely impact our ability to access capital as and when needed.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currently generate no revenues from sales of any products and may never generate revenue or be profitable.</w:t>
      </w:r>
    </w:p>
    <w:p>
      <w:pPr>
        <w:spacing w:after="0" w:line="229"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We have no products approved for commercial sale and do not anticipate generating any revenue unless and until either TP-03 or another product candidate receives the regulatory approvals necessary for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commercialization in one or more jurisdictions. Our ability to generate revenue and achieve profitability depends significantly on our ability, or any future collaborator’s ability, to achieve a number of challenging objectives, including:</w:t>
      </w:r>
    </w:p>
    <w:p>
      <w:pPr>
        <w:spacing w:after="0" w:line="189" w:lineRule="exact"/>
        <w:rPr>
          <w:sz w:val="20"/>
          <w:szCs w:val="20"/>
          <w:color w:val="auto"/>
        </w:rPr>
      </w:pPr>
    </w:p>
    <w:p>
      <w:pPr>
        <w:ind w:left="1420" w:right="680" w:hanging="319"/>
        <w:spacing w:after="0" w:line="312" w:lineRule="auto"/>
        <w:tabs>
          <w:tab w:leader="none" w:pos="14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and timely completion of preclinical and clinical development of our product candidates, including the clinical development of TP-03 for the treatment of Demodex blepharitis or other indications and any other future product candidates;</w:t>
      </w:r>
    </w:p>
    <w:p>
      <w:pPr>
        <w:spacing w:after="0" w:line="166" w:lineRule="exact"/>
        <w:rPr>
          <w:rFonts w:ascii="Times New Roman" w:cs="Times New Roman" w:eastAsia="Times New Roman" w:hAnsi="Times New Roman"/>
          <w:sz w:val="17"/>
          <w:szCs w:val="17"/>
          <w:color w:val="auto"/>
        </w:rPr>
      </w:pPr>
    </w:p>
    <w:p>
      <w:pPr>
        <w:ind w:left="1420" w:right="880" w:hanging="31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or CROs, and clinical sites for the clinical development, both in the United States and internationally, of our product candidates;</w:t>
      </w:r>
    </w:p>
    <w:p>
      <w:pPr>
        <w:spacing w:after="0" w:line="188" w:lineRule="exact"/>
        <w:rPr>
          <w:rFonts w:ascii="Times New Roman" w:cs="Times New Roman" w:eastAsia="Times New Roman" w:hAnsi="Times New Roman"/>
          <w:sz w:val="18"/>
          <w:szCs w:val="18"/>
          <w:color w:val="auto"/>
        </w:rPr>
      </w:pPr>
    </w:p>
    <w:p>
      <w:pPr>
        <w:ind w:left="1420" w:right="140" w:hanging="31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approvals from applicable regulatory authorities for TP-03 or any other product candidates for which we successfully complete clinical development;</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required post-marketing approval commitments to applicable regulatory authorities;</w:t>
      </w:r>
    </w:p>
    <w:p>
      <w:pPr>
        <w:spacing w:after="0" w:line="252" w:lineRule="exact"/>
        <w:rPr>
          <w:rFonts w:ascii="Times New Roman" w:cs="Times New Roman" w:eastAsia="Times New Roman" w:hAnsi="Times New Roman"/>
          <w:sz w:val="18"/>
          <w:szCs w:val="18"/>
          <w:color w:val="auto"/>
        </w:rPr>
      </w:pPr>
    </w:p>
    <w:p>
      <w:pPr>
        <w:jc w:val="both"/>
        <w:ind w:left="1420" w:hanging="319"/>
        <w:spacing w:after="0" w:line="266"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202" w:lineRule="exact"/>
        <w:rPr>
          <w:rFonts w:ascii="Times New Roman" w:cs="Times New Roman" w:eastAsia="Times New Roman" w:hAnsi="Times New Roman"/>
          <w:sz w:val="18"/>
          <w:szCs w:val="18"/>
          <w:color w:val="auto"/>
        </w:rPr>
      </w:pPr>
    </w:p>
    <w:p>
      <w:pPr>
        <w:ind w:left="1420" w:right="240" w:hanging="31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IND prior to commencing clinical trials in the United States for a particular indication, such as TP-04 for the potential treatment of rosacea;</w:t>
      </w:r>
    </w:p>
    <w:p>
      <w:pPr>
        <w:spacing w:after="0" w:line="188" w:lineRule="exact"/>
        <w:rPr>
          <w:rFonts w:ascii="Times New Roman" w:cs="Times New Roman" w:eastAsia="Times New Roman" w:hAnsi="Times New Roman"/>
          <w:sz w:val="18"/>
          <w:szCs w:val="18"/>
          <w:color w:val="auto"/>
        </w:rPr>
      </w:pPr>
    </w:p>
    <w:p>
      <w:pPr>
        <w:ind w:left="1420" w:right="100" w:hanging="31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 launch following any regulatory approval, including the development of a commercial infrastructure, whether in-house or with one or more collaborators;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efficacy profile both prior to and following any marketing approval of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educating ECPs about Demodex blepharitis and related diagnosis;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TP-03 and any of our other product candidates by patients, the medical community and third-party payors;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and developing new product candidates;</w:t>
      </w:r>
    </w:p>
    <w:p>
      <w:pPr>
        <w:spacing w:after="0" w:line="252" w:lineRule="exact"/>
        <w:rPr>
          <w:rFonts w:ascii="Times New Roman" w:cs="Times New Roman" w:eastAsia="Times New Roman" w:hAnsi="Times New Roman"/>
          <w:sz w:val="18"/>
          <w:szCs w:val="18"/>
          <w:color w:val="auto"/>
        </w:rPr>
      </w:pPr>
    </w:p>
    <w:p>
      <w:pPr>
        <w:ind w:left="1420" w:right="220" w:hanging="31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 secret protection and regulatory exclusivity, both in the United States and internationally;</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w:t>
      </w:r>
    </w:p>
    <w:p>
      <w:pPr>
        <w:spacing w:after="0" w:line="252" w:lineRule="exact"/>
        <w:rPr>
          <w:rFonts w:ascii="Times New Roman" w:cs="Times New Roman" w:eastAsia="Times New Roman" w:hAnsi="Times New Roman"/>
          <w:sz w:val="18"/>
          <w:szCs w:val="18"/>
          <w:color w:val="auto"/>
        </w:rPr>
      </w:pPr>
    </w:p>
    <w:p>
      <w:pPr>
        <w:ind w:left="1420" w:right="620" w:hanging="31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favorable terms in any collaboration, licensing or other arrangements that may be necessary or desirable to develop, manufacture or commercialize our existing or acquired product candidates;</w:t>
      </w:r>
    </w:p>
    <w:p>
      <w:pPr>
        <w:spacing w:after="0" w:line="188" w:lineRule="exact"/>
        <w:rPr>
          <w:rFonts w:ascii="Times New Roman" w:cs="Times New Roman" w:eastAsia="Times New Roman" w:hAnsi="Times New Roman"/>
          <w:sz w:val="18"/>
          <w:szCs w:val="18"/>
          <w:color w:val="auto"/>
        </w:rPr>
      </w:pPr>
    </w:p>
    <w:p>
      <w:pPr>
        <w:ind w:left="1420" w:right="460" w:hanging="31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for customers and patients from government and third-party payors for product candidates that we develop;</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1100"/>
          </w:cols>
          <w:pgMar w:left="320" w:top="455" w:right="4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left="120" w:right="160" w:firstLine="881"/>
        <w:spacing w:after="0" w:line="256" w:lineRule="auto"/>
        <w:rPr>
          <w:sz w:val="20"/>
          <w:szCs w:val="20"/>
          <w:color w:val="auto"/>
        </w:rPr>
      </w:pPr>
      <w:r>
        <w:rPr>
          <w:rFonts w:ascii="Times New Roman" w:cs="Times New Roman" w:eastAsia="Times New Roman" w:hAnsi="Times New Roman"/>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spacing w:after="0" w:line="183"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which began in late 2019 and has spread worldwide, may affect our ability to initiate and complete preclinical studies and clinical trials, disrupt regulatory activities, disrupt our manufacturing and supply chain or have other adverse effects on our business and operations. In addition, this pandemic has caused substantial disruption in the financial markets and may adversely impact economies worldwide, both of which could result in adverse effects on our business and operations.</w:t>
      </w:r>
    </w:p>
    <w:p>
      <w:pPr>
        <w:spacing w:after="0" w:line="180" w:lineRule="exact"/>
        <w:rPr>
          <w:sz w:val="20"/>
          <w:szCs w:val="20"/>
          <w:color w:val="auto"/>
        </w:rPr>
      </w:pPr>
    </w:p>
    <w:p>
      <w:pPr>
        <w:ind w:left="120" w:right="100" w:firstLine="881"/>
        <w:spacing w:after="0" w:line="256" w:lineRule="auto"/>
        <w:rPr>
          <w:sz w:val="20"/>
          <w:szCs w:val="20"/>
          <w:color w:val="auto"/>
        </w:rPr>
      </w:pPr>
      <w:r>
        <w:rPr>
          <w:rFonts w:ascii="Times New Roman" w:cs="Times New Roman" w:eastAsia="Times New Roman" w:hAnsi="Times New Roman"/>
          <w:sz w:val="18"/>
          <w:szCs w:val="18"/>
          <w:color w:val="auto"/>
        </w:rPr>
        <w:t>The COVID-19 pandemic, which began in December 2019 and has spread worldwide, has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8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Our business, operations and clinical development timelines and plans have been and could continue to be adversely affected by COVID-19, and could be adversely impacted by other health epidemics in regions where we have concentrations of clinical trial sites or other business operations, and could cause significant disruption in the operations of CROs upon whom we rely. The COVID-19 pandemic has affected multiple countries worldwide, including those where we have planned and ongoing preclinical studies and clinical trials. In addition, in response to the COVID-19 pandemic, many state, local and foreign governments have put in place quarantines, executive orders, shelter-in-place orders and similar government orders and restrictions in order to control the spread of the disease. Such orders or restrictions, and the perception that such orders or restrictions could continue or, after being lifted, be reinstated for a period of time, have resulted in business closures, work stoppages, slowdowns and delays, work-from-home policies, travel restrictions and cancellation of events, among other effects that could negatively impact productivity and disrupt our business and operations. We have implemented a work-from-home policy for our employees and have also implemented enhanced travel-safe policies for our employees’ travel to our clinical sites. We may take further actions that alter our operations as may be required by federal, state or local authorities, or which we determine are in the best interests of our employees.</w:t>
      </w:r>
    </w:p>
    <w:p>
      <w:pPr>
        <w:spacing w:after="0" w:line="192" w:lineRule="exact"/>
        <w:rPr>
          <w:sz w:val="20"/>
          <w:szCs w:val="20"/>
          <w:color w:val="auto"/>
        </w:rPr>
      </w:pPr>
    </w:p>
    <w:p>
      <w:pPr>
        <w:ind w:left="120" w:right="20" w:firstLine="881"/>
        <w:spacing w:after="0" w:line="274" w:lineRule="auto"/>
        <w:rPr>
          <w:sz w:val="20"/>
          <w:szCs w:val="20"/>
          <w:color w:val="auto"/>
        </w:rPr>
      </w:pPr>
      <w:r>
        <w:rPr>
          <w:rFonts w:ascii="Times New Roman" w:cs="Times New Roman" w:eastAsia="Times New Roman" w:hAnsi="Times New Roman"/>
          <w:sz w:val="17"/>
          <w:szCs w:val="17"/>
          <w:color w:val="auto"/>
        </w:rPr>
        <w:t>Moreover, our clinical development timelines and plans could be affected by the COVID-19 pandemic as we and the third-party manufacturers and clinical research organizations that we engage may face disruptions. Site initiation and patient enrollment could be delayed or suspended due to prioritization of hospital resources toward the COVID-19 pandemic or patients not having a desire to enroll in clinical trials due to concerns regarding COVID-19.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candidates or laboratory supplies for our preclinical studies and clinical trials, in each case, because of ongoing efforts to address the outbreak.</w:t>
      </w:r>
    </w:p>
    <w:p>
      <w:pPr>
        <w:spacing w:after="0" w:line="225" w:lineRule="exact"/>
        <w:rPr>
          <w:sz w:val="20"/>
          <w:szCs w:val="20"/>
          <w:color w:val="auto"/>
        </w:rPr>
      </w:pPr>
    </w:p>
    <w:p>
      <w:pPr>
        <w:jc w:val="both"/>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may experience disruptions that could severely impact our business, preclinical studies, and clinical trials, including:</w:t>
      </w:r>
    </w:p>
    <w:p>
      <w:pPr>
        <w:spacing w:after="0" w:line="252" w:lineRule="exact"/>
        <w:rPr>
          <w:sz w:val="20"/>
          <w:szCs w:val="20"/>
          <w:color w:val="auto"/>
        </w:rPr>
      </w:pPr>
    </w:p>
    <w:p>
      <w:pPr>
        <w:ind w:left="1420" w:right="200" w:hanging="319"/>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 including receiving any required investigational new drug applications, or INDs;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disruptions;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transport of clinical trial materials;</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coronavirus pandemic which may require us to change the ways in which our clinical trials are conducted, which may result in unexpected costs, or to discontinue the clinical trials altogether;</w:t>
      </w:r>
    </w:p>
    <w:p>
      <w:pPr>
        <w:spacing w:after="0" w:line="188" w:lineRule="exact"/>
        <w:rPr>
          <w:rFonts w:ascii="Times New Roman" w:cs="Times New Roman" w:eastAsia="Times New Roman" w:hAnsi="Times New Roman"/>
          <w:sz w:val="18"/>
          <w:szCs w:val="18"/>
          <w:color w:val="auto"/>
        </w:rPr>
      </w:pPr>
    </w:p>
    <w:p>
      <w:pPr>
        <w:ind w:left="1420" w:right="160" w:hanging="319"/>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88" w:lineRule="exact"/>
        <w:rPr>
          <w:rFonts w:ascii="Times New Roman" w:cs="Times New Roman" w:eastAsia="Times New Roman" w:hAnsi="Times New Roman"/>
          <w:sz w:val="18"/>
          <w:szCs w:val="18"/>
          <w:color w:val="auto"/>
        </w:rPr>
      </w:pPr>
    </w:p>
    <w:p>
      <w:pPr>
        <w:ind w:left="1420" w:right="20" w:hanging="319"/>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recruiting or retaining patients for our planned clinical trials if patients are affected by the virus or are fearful of visiting or traveling to clinical trial sites because of the outbreak;</w:t>
      </w:r>
    </w:p>
    <w:p>
      <w:pPr>
        <w:spacing w:after="0" w:line="188" w:lineRule="exact"/>
        <w:rPr>
          <w:rFonts w:ascii="Times New Roman" w:cs="Times New Roman" w:eastAsia="Times New Roman" w:hAnsi="Times New Roman"/>
          <w:sz w:val="18"/>
          <w:szCs w:val="18"/>
          <w:color w:val="auto"/>
        </w:rPr>
      </w:pPr>
    </w:p>
    <w:p>
      <w:pPr>
        <w:ind w:left="1420" w:right="60" w:hanging="319"/>
        <w:spacing w:after="0" w:line="261"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206" w:lineRule="exact"/>
        <w:rPr>
          <w:rFonts w:ascii="Times New Roman" w:cs="Times New Roman" w:eastAsia="Times New Roman" w:hAnsi="Times New Roman"/>
          <w:sz w:val="18"/>
          <w:szCs w:val="18"/>
          <w:color w:val="auto"/>
        </w:rPr>
      </w:pPr>
    </w:p>
    <w:p>
      <w:pPr>
        <w:ind w:left="1420" w:right="160" w:hanging="319"/>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88" w:lineRule="exact"/>
        <w:rPr>
          <w:rFonts w:ascii="Times New Roman" w:cs="Times New Roman" w:eastAsia="Times New Roman" w:hAnsi="Times New Roman"/>
          <w:sz w:val="18"/>
          <w:szCs w:val="18"/>
          <w:color w:val="auto"/>
        </w:rPr>
      </w:pPr>
    </w:p>
    <w:p>
      <w:pPr>
        <w:ind w:left="1420" w:right="700" w:hanging="319"/>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88" w:lineRule="exact"/>
        <w:rPr>
          <w:rFonts w:ascii="Times New Roman" w:cs="Times New Roman" w:eastAsia="Times New Roman" w:hAnsi="Times New Roman"/>
          <w:sz w:val="18"/>
          <w:szCs w:val="18"/>
          <w:color w:val="auto"/>
        </w:rPr>
      </w:pPr>
    </w:p>
    <w:p>
      <w:pPr>
        <w:ind w:left="1420" w:right="80" w:hanging="319"/>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1080"/>
          </w:cols>
          <w:pgMar w:left="320" w:top="455" w:right="4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which may impact review and approval timelines;</w:t>
      </w:r>
    </w:p>
    <w:p>
      <w:pPr>
        <w:spacing w:after="0" w:line="252" w:lineRule="exact"/>
        <w:rPr>
          <w:rFonts w:ascii="Times New Roman" w:cs="Times New Roman" w:eastAsia="Times New Roman" w:hAnsi="Times New Roman"/>
          <w:sz w:val="18"/>
          <w:szCs w:val="18"/>
          <w:color w:val="auto"/>
        </w:rPr>
      </w:pPr>
    </w:p>
    <w:p>
      <w:pPr>
        <w:ind w:left="1420" w:right="140" w:hanging="319"/>
        <w:spacing w:after="0" w:line="282" w:lineRule="auto"/>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regulatory approvals for our product candidates due to the FDA focusing on clinical trials related to therapies and vaccines targeting COVID-19;</w:t>
      </w:r>
    </w:p>
    <w:p>
      <w:pPr>
        <w:spacing w:after="0" w:line="188" w:lineRule="exact"/>
        <w:rPr>
          <w:rFonts w:ascii="Times New Roman" w:cs="Times New Roman" w:eastAsia="Times New Roman" w:hAnsi="Times New Roman"/>
          <w:sz w:val="18"/>
          <w:szCs w:val="18"/>
          <w:color w:val="auto"/>
        </w:rPr>
      </w:pPr>
    </w:p>
    <w:p>
      <w:pPr>
        <w:ind w:left="1420" w:right="540" w:hanging="319"/>
        <w:spacing w:after="0" w:line="282" w:lineRule="auto"/>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including from clinical trials in affected geographies or failure to comply with updated FDA guidance and expectations related to the conduct of clinical trials during the COVID-19 pandemic; and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w:t>
      </w:r>
    </w:p>
    <w:p>
      <w:pPr>
        <w:spacing w:after="0" w:line="225"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pacing w:after="0" w:line="187"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normal economic and operating activities can resume. Further, while the potential economic impact brought by and the duration of COVID-19 may be difficult to assess or predict, the COVID-19 pandemic has resulted in significant disruptions of global financial markets, which could reduce our ability to access capital, which could in the future negatively affect our liquidity. To the extent the COVID-19 pandemic adversely affects our business, clinical trials, results of operations and financial condition, it may also have the effect of heightening many of the other risks described in this “Risk Factors” section.</w:t>
      </w:r>
    </w:p>
    <w:p>
      <w:pPr>
        <w:spacing w:after="0" w:line="1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ultimate impact of the COVID-19 pandemic or a similar health epidemic is highly uncertain and subject to change.</w:t>
      </w:r>
    </w:p>
    <w:p>
      <w:pPr>
        <w:spacing w:after="0" w:line="22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5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or liens, making acquisitions, selling or licensing our assets, redeeming our stock, making certain investments, making capital expenditures or declaring dividends.</w:t>
      </w:r>
    </w:p>
    <w:p>
      <w:pPr>
        <w:spacing w:after="0" w:line="187"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229" w:lineRule="exact"/>
        <w:rPr>
          <w:sz w:val="20"/>
          <w:szCs w:val="20"/>
          <w:color w:val="auto"/>
        </w:rPr>
      </w:pPr>
    </w:p>
    <w:p>
      <w:pPr>
        <w:ind w:left="120" w:right="140" w:firstLine="881"/>
        <w:spacing w:after="0" w:line="289" w:lineRule="auto"/>
        <w:rPr>
          <w:sz w:val="20"/>
          <w:szCs w:val="20"/>
          <w:color w:val="auto"/>
        </w:rPr>
      </w:pPr>
      <w:r>
        <w:rPr>
          <w:rFonts w:ascii="Times New Roman" w:cs="Times New Roman" w:eastAsia="Times New Roman" w:hAnsi="Times New Roman"/>
          <w:sz w:val="17"/>
          <w:szCs w:val="17"/>
          <w:color w:val="auto"/>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spacing w:after="0" w:line="158"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are successful in obtaining marketing approval for TP-03 or other product candidates,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spacing w:after="0" w:line="192"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spacing w:after="0" w:line="189" w:lineRule="exact"/>
        <w:rPr>
          <w:sz w:val="20"/>
          <w:szCs w:val="20"/>
          <w:color w:val="auto"/>
        </w:rPr>
      </w:pPr>
    </w:p>
    <w:p>
      <w:pPr>
        <w:ind w:left="120" w:right="340" w:firstLine="881"/>
        <w:spacing w:after="0" w:line="258" w:lineRule="auto"/>
        <w:rPr>
          <w:sz w:val="20"/>
          <w:szCs w:val="20"/>
          <w:color w:val="auto"/>
        </w:rPr>
      </w:pPr>
      <w:r>
        <w:rPr>
          <w:rFonts w:ascii="Times New Roman" w:cs="Times New Roman" w:eastAsia="Times New Roman" w:hAnsi="Times New Roman"/>
          <w:sz w:val="18"/>
          <w:szCs w:val="18"/>
          <w:color w:val="auto"/>
        </w:rPr>
        <w:t>Many of our employees have become or will soon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Our future success also depends on our ability to continue to attract and retain additional executive officers and other key employees.</w:t>
      </w:r>
    </w:p>
    <w:p>
      <w:pPr>
        <w:spacing w:after="0" w:line="179"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development activities. This may result in weaknesses in our infrastructure, give rise to operational mistakes, loss of business opportunities, loss of employees and reduced productivity among remaining employees. If our management is unable to effectively manage our expected development and expansion, our expenses may increase more than expected, our ability to generate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any acquisitions, in-license or other collaborations or strategic alliances that we enter into.</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we are unable to agree on commercial terms, or because third parties may not view our product candidates as having the requisite potential to demonstrate safety and efficacy. If we license products or businesses, we may not be able to realize the benefit of such transactions if we are unable to successfully integrate them with our existing operations and company culture. We cannot be certain that, following a strategic transaction or license, we will achieve the revenue or specific net income that justifies such transaction.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86" w:lineRule="exact"/>
        <w:rPr>
          <w:sz w:val="20"/>
          <w:szCs w:val="20"/>
          <w:color w:val="auto"/>
        </w:rPr>
      </w:pPr>
    </w:p>
    <w:p>
      <w:pPr>
        <w:ind w:left="12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and operational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As of June 30, 2020, we had 12 full-time employees. As we advance our research and development programs, we expect to experience significant growth in the number of our employees and the scope of our operations, particularly in the areas of clinical development, quality, regulatory affairs, manufacturing and quality control and, if any of our product candidates receives marketing approval, sales, marketing and distribution. To manage our anticipated future growth, we must:</w:t>
      </w:r>
    </w:p>
    <w:p>
      <w:pPr>
        <w:spacing w:after="0" w:line="207" w:lineRule="exact"/>
        <w:rPr>
          <w:sz w:val="20"/>
          <w:szCs w:val="20"/>
          <w:color w:val="auto"/>
        </w:rPr>
      </w:pPr>
    </w:p>
    <w:p>
      <w:pPr>
        <w:ind w:left="1420" w:hanging="319"/>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integrate, maintain and motivate additional qualified personnel;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development efforts effectively, including the initiation and conduct of clinical trials for our product candidates;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operational, financial and management controls, reporting systems and procedures.</w:t>
      </w:r>
    </w:p>
    <w:p>
      <w:pPr>
        <w:spacing w:after="0" w:line="22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and may divert our management and business development resources. Any inability to manage growth could delay the execution of our business plans or disrupt our operations.</w:t>
      </w:r>
    </w:p>
    <w:p>
      <w:pPr>
        <w:spacing w:after="0" w:line="162"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92"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183"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acquisitions or strategic partnerships that could disrupt our business, cause dilution to our stockholders, reduce our financial resources, cause or to incur debt or assume contingent liabilities, and subject us to other risks.</w:t>
      </w:r>
    </w:p>
    <w:p>
      <w:pPr>
        <w:spacing w:after="0" w:line="159"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w:t>
      </w:r>
    </w:p>
    <w:p>
      <w:pPr>
        <w:spacing w:after="0" w:line="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spacing w:after="0" w:line="182"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159"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recent global financial crisis caused extreme volatility and disruptions in the capital and credit markets. Additionally, the COVID-19 pandemic has caused significant disruptions to the U.S., regional and global economies and has contributed to significant volatility and negative pressure in financial markets. A severe or prolonged economic downturn, or any prolonged economic downturn caused by the COVID-19 pandemic, could result in a variety of risks to our business, including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which we expect to continue, do not expect to become profitable in the near future, and we may never achieve profitability. 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and the implementation of such reforms could adversely affect us.</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On December 22, 2017, the United States enacted the “Tax Cuts and Jobs Act,” or the TCJA, that significantly reformed the Code. The TCJA, among other things, includes contained significant changes to corporate taxation, including a reduction of the corporate tax rate from a top marginal rate of 35% to a flat rate of 21%, the limitation of the tax deduction for net interest expense to 30% of adjusted earnings (except for certain small businesses), the limitation of the deduction for NOLs arising in taxable years beginning after December 31, 2017 to 80% of current year taxable income and elimination of NOL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 The financial statements contained herein reflect the effects of the TCJA based on current guidance. However, there remain uncertainties and ambiguities in the application of certain provisions of the TCJA, and, as a result, we made certain judgments and assumptions in the interpretation thereof.</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As part of Congress’s response to the COVID-19 pandemic, the Families First Coronavirus Response Act, or the FFCR Act, was enacted on March 18, 2020, and the Coronavirus Aid, Relief, and Economic Security Act, or the CARES Act, was enacted on March 27, 2020. Both contain numerous tax provisions. In particular, the CARES Act retroactively and temporarily (for taxable years beginning before January 1, 2021) suspends application of the 80%-of-income limitation on the use of NOLs, which was enacted as part of the TCJA.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89"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Regulatory guidance under the TCJA, the FFCR Act and the CARES Act is and continues to be forthcoming, and such guidance could ultimately increase or lessen impact of these laws on our business and financial condition. It is also likely that Congress will enact additional tax legislation in connection with the COVID-19 pandemic, some of which could have an impact on our company. In addition, it is uncertain if and to what extent various states will conform to the TCJA, the FFCR Act or the CARES Act.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 of Our Product Candidates</w:t>
      </w:r>
    </w:p>
    <w:p>
      <w:pPr>
        <w:spacing w:after="0" w:line="225"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is a lengthy, expensive and risky process with uncertain timelines and uncertain outcomes, and results of earlier studies and trials may not be predictive of future results. If clinical trials of our product candidates, particularly TP-03 for the treatment of Demodex blepharitis, do not meet safety or efficacy endpoints or are prolonged or delayed, we may be unable to obtain required regulatory approvals, and therefore be unable to commercialize our product candidates on a timely basis or at all.</w:t>
      </w:r>
    </w:p>
    <w:p>
      <w:pPr>
        <w:spacing w:after="0" w:line="180"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no revenues from sales of any products, and we may never be able to develop or commercialize a marketable product.</w:t>
      </w:r>
    </w:p>
    <w:p>
      <w:pPr>
        <w:spacing w:after="0" w:line="190"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We have not yet completed any Phase 3 trials for any product candidate. 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 clinical trials for Demodex blepharitis in our Phase 3 trials, Saturn-1 and Saturn-2.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spacing w:after="0" w:line="192"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We currently have one product candidate, TP-03, in clinical development and its risk of failure is high. For example, use of TP-03 requires the patient to follow a prescribed technique to administer the eye drops. Failure to properly administer the eye drops by the patient or inappropriate technique demonstration by the eye care practitioners, may adversely affect the outcome of TP-03 in demonstrating efficacy in one or more clinical trials. We are unable to predict if this product candidate or any of our future product candidates that advance into clinical trials will prove safe or effective in humans or will obtain marketing approval. 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spacing w:after="0" w:line="192"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Each of our product candidates will require additional clinical development, management of clinical, preclinical (for some of our product candidates) and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We may experience numerous unforeseen events during, or as a result of, clinical trials that could delay or prevent our ability to receive marketing approval or commercialize TP-03, our other product candidates, or any other product candidates that we may develop, including:</w:t>
      </w:r>
    </w:p>
    <w:p>
      <w:pPr>
        <w:spacing w:after="0" w:line="219" w:lineRule="exact"/>
        <w:rPr>
          <w:sz w:val="20"/>
          <w:szCs w:val="20"/>
          <w:color w:val="auto"/>
        </w:rPr>
      </w:pPr>
    </w:p>
    <w:p>
      <w:pPr>
        <w:ind w:left="1420" w:right="100" w:hanging="319"/>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spacing w:after="0" w:line="188" w:lineRule="exact"/>
        <w:rPr>
          <w:rFonts w:ascii="Times New Roman" w:cs="Times New Roman" w:eastAsia="Times New Roman" w:hAnsi="Times New Roman"/>
          <w:sz w:val="18"/>
          <w:szCs w:val="18"/>
          <w:color w:val="auto"/>
        </w:rPr>
      </w:pPr>
    </w:p>
    <w:p>
      <w:pPr>
        <w:ind w:left="1420" w:right="760" w:hanging="319"/>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sufficient enrollment in our clinical trials, our enrollment needs may grow larger than we anticipate, or participants may fail to complete our clinical trials at a higher rate than we anticipate;</w:t>
      </w:r>
    </w:p>
    <w:p>
      <w:pPr>
        <w:spacing w:after="0" w:line="188" w:lineRule="exact"/>
        <w:rPr>
          <w:rFonts w:ascii="Times New Roman" w:cs="Times New Roman" w:eastAsia="Times New Roman" w:hAnsi="Times New Roman"/>
          <w:sz w:val="18"/>
          <w:szCs w:val="18"/>
          <w:color w:val="auto"/>
        </w:rPr>
      </w:pPr>
    </w:p>
    <w:p>
      <w:pPr>
        <w:ind w:left="1420" w:right="220" w:hanging="319"/>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1140"/>
          </w:cols>
          <w:pgMar w:left="32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420" w:hanging="319"/>
        <w:spacing w:after="0" w:line="266"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or institutional review boards or ethics committees may require us, to suspend or terminate clinical research for various reasons, including noncompliance with regulatory requirements or a finding that the participants are being exposed to unacceptable health risks;</w:t>
      </w:r>
    </w:p>
    <w:p>
      <w:pPr>
        <w:spacing w:after="0" w:line="202" w:lineRule="exact"/>
        <w:rPr>
          <w:rFonts w:ascii="Times New Roman" w:cs="Times New Roman" w:eastAsia="Times New Roman" w:hAnsi="Times New Roman"/>
          <w:sz w:val="18"/>
          <w:szCs w:val="18"/>
          <w:color w:val="auto"/>
        </w:rPr>
      </w:pPr>
    </w:p>
    <w:p>
      <w:pPr>
        <w:jc w:val="both"/>
        <w:ind w:left="1420" w:right="20" w:hanging="319"/>
        <w:spacing w:after="0" w:line="266"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252" w:lineRule="exact"/>
        <w:rPr>
          <w:rFonts w:ascii="Times New Roman" w:cs="Times New Roman" w:eastAsia="Times New Roman" w:hAnsi="Times New Roman"/>
          <w:sz w:val="18"/>
          <w:szCs w:val="18"/>
          <w:color w:val="auto"/>
        </w:rPr>
      </w:pPr>
    </w:p>
    <w:p>
      <w:pPr>
        <w:ind w:left="1420" w:right="300" w:hanging="319"/>
        <w:spacing w:after="0" w:line="282"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need to delay or suspend one or more trials until we complete additional financing transactions or otherwise receive adequate funding;</w:t>
      </w:r>
    </w:p>
    <w:p>
      <w:pPr>
        <w:spacing w:after="0" w:line="188"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may be delayed;</w:t>
      </w:r>
    </w:p>
    <w:p>
      <w:pPr>
        <w:spacing w:after="0" w:line="188" w:lineRule="exact"/>
        <w:rPr>
          <w:rFonts w:ascii="Times New Roman" w:cs="Times New Roman" w:eastAsia="Times New Roman" w:hAnsi="Times New Roman"/>
          <w:sz w:val="18"/>
          <w:szCs w:val="18"/>
          <w:color w:val="auto"/>
        </w:rPr>
      </w:pPr>
    </w:p>
    <w:p>
      <w:pPr>
        <w:ind w:left="1420" w:right="660" w:hanging="319"/>
        <w:spacing w:after="0" w:line="282"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institutional review boards or ethics committees to suspend or terminate trials;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determine that the planned design of our clinical trials is flawed or inadequate;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their approval of a product or impose restrictions on its distribution;</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timely or at all obtain INDs for a product candidate;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modify a preclinical study or clinical trial protocol;</w:t>
      </w:r>
    </w:p>
    <w:p>
      <w:pPr>
        <w:spacing w:after="0" w:line="252" w:lineRule="exact"/>
        <w:rPr>
          <w:rFonts w:ascii="Times New Roman" w:cs="Times New Roman" w:eastAsia="Times New Roman" w:hAnsi="Times New Roman"/>
          <w:sz w:val="18"/>
          <w:szCs w:val="18"/>
          <w:color w:val="auto"/>
        </w:rPr>
      </w:pPr>
    </w:p>
    <w:p>
      <w:pPr>
        <w:ind w:left="1420" w:right="20" w:hanging="319"/>
        <w:spacing w:after="0" w:line="282"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may fail to comply with regulatory requirements or meet their contractual obligations to us in a timely manner, or at all;</w:t>
      </w:r>
    </w:p>
    <w:p>
      <w:pPr>
        <w:spacing w:after="0" w:line="188" w:lineRule="exact"/>
        <w:rPr>
          <w:rFonts w:ascii="Times New Roman" w:cs="Times New Roman" w:eastAsia="Times New Roman" w:hAnsi="Times New Roman"/>
          <w:sz w:val="18"/>
          <w:szCs w:val="18"/>
          <w:color w:val="auto"/>
        </w:rPr>
      </w:pPr>
    </w:p>
    <w:p>
      <w:pPr>
        <w:ind w:left="1420" w:right="200" w:hanging="319"/>
        <w:spacing w:after="0" w:line="312" w:lineRule="auto"/>
        <w:tabs>
          <w:tab w:leader="none" w:pos="14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spacing w:after="0" w:line="166" w:lineRule="exact"/>
        <w:rPr>
          <w:rFonts w:ascii="Times New Roman" w:cs="Times New Roman" w:eastAsia="Times New Roman" w:hAnsi="Times New Roman"/>
          <w:sz w:val="17"/>
          <w:szCs w:val="17"/>
          <w:color w:val="auto"/>
        </w:rPr>
      </w:pPr>
    </w:p>
    <w:p>
      <w:pPr>
        <w:ind w:left="1420" w:right="160" w:hanging="319"/>
        <w:spacing w:after="0" w:line="266"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due to the ongoing COVID-19 pandemic, including with respect to the conduct of ongoing clinical trials, receipt of product candidates or other materials, submission of New Drug Applications, or NDAs, filing of INDs, and starting any clinical trials for other indications or programs; and</w:t>
      </w:r>
    </w:p>
    <w:p>
      <w:pPr>
        <w:spacing w:after="0" w:line="202" w:lineRule="exact"/>
        <w:rPr>
          <w:rFonts w:ascii="Times New Roman" w:cs="Times New Roman" w:eastAsia="Times New Roman" w:hAnsi="Times New Roman"/>
          <w:sz w:val="18"/>
          <w:szCs w:val="18"/>
          <w:color w:val="auto"/>
        </w:rPr>
      </w:pPr>
    </w:p>
    <w:p>
      <w:pPr>
        <w:ind w:left="1420" w:right="120" w:hanging="319"/>
        <w:spacing w:after="0" w:line="266"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delays due to the recent COVID-19 pandemic in our supply chain caused by a shortage of raw materials, a lack of employees on site at our suppliers due to illness, or a lack of productivity at our suppliers due to local or national government quarantine restrictions on coming to the workplace.</w:t>
      </w:r>
    </w:p>
    <w:p>
      <w:pPr>
        <w:spacing w:after="0" w:line="176"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candidates or other testing, if the results of these trials or tests are not positive or are only modestly positive, if there are safety concerns or if we determine that the observed safety or efficacy profile would not be competitive in the marketplace, we may:</w:t>
      </w:r>
    </w:p>
    <w:p>
      <w:pPr>
        <w:spacing w:after="0" w:line="189" w:lineRule="exact"/>
        <w:rPr>
          <w:sz w:val="20"/>
          <w:szCs w:val="20"/>
          <w:color w:val="auto"/>
        </w:rPr>
      </w:pPr>
    </w:p>
    <w:p>
      <w:pPr>
        <w:ind w:left="1420" w:hanging="319"/>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the COVID-19 pandemic,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84"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TP-03 or any other product candidate that we develop receives marketing approval, we may not be successful in educating ECPs and the market about the need for treatments specifically for Demodex blepharitis and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183"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If TP-03 or any other product candidate that we are developing or develop receives marketing approval, it may nonetheless fail to gain sufficient market acceptance by ECPs or other healthcare providers, patients, third-party payors and others in the medical community. There is no approved prescription therapeutic for Demodex blepharitis and current treatments include over-the-counter and off-label remedies such as tea tree oil, lid wipes and artificial tears, as well as off-label prescription products. Efforts to educate the medical community, patients and third-party payors on the benefits of our product candidates may require significant resources and may not be successful.</w:t>
      </w:r>
    </w:p>
    <w:p>
      <w:pPr>
        <w:spacing w:after="0" w:line="183"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Further, even if TP-03 demonstrates promising or superior clinical results and receives FDA or other regulatory marketing approval, including the treatment of both signs and symptoms of Demodex blepharitis, ECPs and potential patients may not have sufficient information about, or recognize the need for a treatment specifically targeting Demodex blepharitis, it is possible that ECPs may continue to rely on other treatments 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treating symptoms consistent with Demodex blepharitis. A key tenant of our commercialization strategy is to educate ECPs on Demodex blepharitis and how to diagnose it with a simple slit lamp examination as well as raise patient awareness of Demodex blepharitis. However, our efforts may prove to be unsuccessful, and we may not be able to develop this new market for which there is no approved treatment. If TP-03 receives FDA or other regulatory marketing approval, we may still not achieve success in promotional efforts for TP-03, and ECPs may continue to use existing treatments rather than TP-03 or any other product candidate and potential patients may not inquire as to TP-03. It is also possible that ECPs and patients may not be willing to adopt TP-03 for the treatment of Demodex blepharitis because of the likelihood that the disease will recur despite mite eradication and the necessity for periodic use of TP-03.</w:t>
      </w:r>
    </w:p>
    <w:p>
      <w:pPr>
        <w:spacing w:after="0" w:line="189"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In addition, if generic versions of any products that compete with any of our product candidates are approved for marketing by the FDA or comparable foreign regulatory authorities, they would likely be offered at a substantially lower price than we expect to offer for our product candidates, if approved. As a result, ECPs, patients and third-party payors may choose to rely on such products rather than our product candidates.</w:t>
      </w:r>
    </w:p>
    <w:p>
      <w:pPr>
        <w:spacing w:after="0" w:line="176"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If TP-03 or any other product candidate that we develop does not achieve an adequate level of acceptance, formulary coverage, pricing or reimbursement we may not generate significant product revenues and we may not become profitable. The degree of market acceptance of TP-03 or any other product candidate that we develop, if approved for commercial sale, will depend on a number of factors, including:</w:t>
      </w:r>
    </w:p>
    <w:p>
      <w:pPr>
        <w:spacing w:after="0" w:line="203" w:lineRule="exact"/>
        <w:rPr>
          <w:sz w:val="20"/>
          <w:szCs w:val="20"/>
          <w:color w:val="auto"/>
        </w:rPr>
      </w:pPr>
    </w:p>
    <w:p>
      <w:pPr>
        <w:ind w:left="1420" w:right="420" w:hanging="319"/>
        <w:spacing w:after="0" w:line="282" w:lineRule="auto"/>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of our product candidates compared to alternative treatments, including the existing standard of care, and the perceptions by members of the healthcare community of the same;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 particularly in light of the lower cost of alternative treatments;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ECPs to prescribe these therapies;</w:t>
      </w:r>
    </w:p>
    <w:p>
      <w:pPr>
        <w:spacing w:after="0" w:line="252" w:lineRule="exact"/>
        <w:rPr>
          <w:rFonts w:ascii="Times New Roman" w:cs="Times New Roman" w:eastAsia="Times New Roman" w:hAnsi="Times New Roman"/>
          <w:sz w:val="18"/>
          <w:szCs w:val="18"/>
          <w:color w:val="auto"/>
        </w:rPr>
      </w:pPr>
    </w:p>
    <w:p>
      <w:pPr>
        <w:ind w:left="1420" w:right="620" w:hanging="319"/>
        <w:spacing w:after="0" w:line="282" w:lineRule="auto"/>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effectiveness of our marketing and distribution support, which may be adversely impacted by the COVID-19 pandemic;</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or physicians that the diseases we are targeting, including Demodex blepharitis, are not burdensome;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competitors to limit our access to the market through anti-competitive contracts or other arrangements;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formulary coverage and adequate reimbursement;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ectPr>
          <w:pgSz w:w="11900" w:h="16838" w:orient="portrait"/>
          <w:cols w:equalWidth="0" w:num="1">
            <w:col w:w="11080"/>
          </w:cols>
          <w:pgMar w:left="320" w:top="455" w:right="4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still require significant testing. We only recently began clinical trials to test TP-03 in humans and, as a company, we have limited experience in this area.</w:t>
      </w:r>
    </w:p>
    <w:p>
      <w:pPr>
        <w:spacing w:after="0" w:line="15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Most of our operations to date have been limited to preclinical studies and clinical trials. We have completed Phase 2 clinical trials for TP-03 for the treatment of Demodex blepharitis and expect to initiate our first Phase 3 clinical trials for the same indication, Saturn-1, for TP-03 in 2020 and Saturn-2 for TP-03 in 2021 and initiate clinical trials for our other product candidate in the future. As a result, we will need to expand our clinical operations, quality and regulatory capabilities to support these activities.</w:t>
      </w:r>
    </w:p>
    <w:p>
      <w:pPr>
        <w:spacing w:after="0" w:line="180" w:lineRule="exact"/>
        <w:rPr>
          <w:sz w:val="20"/>
          <w:szCs w:val="20"/>
          <w:color w:val="auto"/>
        </w:rPr>
      </w:pPr>
    </w:p>
    <w:p>
      <w:pPr>
        <w:jc w:val="both"/>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 the FDA or other comparable foreign regulatory authorities, or that, if approval is obtained, such product candidates can be successfully commercialized.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clinical trials to date have been small, and we may not be able to replicate our results from completed trials in Phase 3 trials.</w:t>
      </w:r>
    </w:p>
    <w:p>
      <w:pPr>
        <w:spacing w:after="0" w:line="229"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Our clinical trials conducted to date, including for TP-03 for the treatment of Demodex blepharitis, have been small, each with fewer than 60 persons, and have advanced through Phase 1 and Phase 2. For example, the clinical trial which had the highest patient population to date was our Phase 2b Europa clinical trial, which enrolled 54 patients. Our Phase 3 clinical trials will be conducted with larger patient populations, such as Saturn-1 and Saturn-2 to evaluate TP-03 for the treatment of Demodex blepharitis, in which we plan to enroll approximately 350 patients each. In these later trials, additional risks, including previously unidentified low incidence safety risks or lack of efficacy may materialize. Adverse or inconclusive results in these later clinical trials may, despite initially promising results, result in such product candidate not receiving requisite approvals for marketing and sale, and there is a risk that additional clinical trials will be required to obtain such approvals or that our clinical development program will be required to be altered, which would result in increased costs, significant delays to filing with regulatory authorities, filing for a narrower indication than previously anticipated or the abandonment of efforts to commercialization such product candidate.</w:t>
      </w:r>
    </w:p>
    <w:p>
      <w:pPr>
        <w:spacing w:after="0" w:line="184"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or delays enrolling patients in our clinical trials, our clinical development activities could be delayed or otherwise adversely affected.</w:t>
      </w:r>
    </w:p>
    <w:p>
      <w:pPr>
        <w:spacing w:after="0" w:line="159"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w:t>
      </w:r>
    </w:p>
    <w:p>
      <w:pPr>
        <w:spacing w:after="0" w:line="207" w:lineRule="exact"/>
        <w:rPr>
          <w:sz w:val="20"/>
          <w:szCs w:val="20"/>
          <w:color w:val="auto"/>
        </w:rPr>
      </w:pPr>
    </w:p>
    <w:p>
      <w:pPr>
        <w:ind w:left="1420" w:hanging="31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required for analysis of the trial’s primary endpoints;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52"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11100"/>
          </w:cols>
          <w:pgMar w:left="320" w:top="455"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or lack of adequate compensation for, prospective patients;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of enrolling patients or patients continuing to participate in follow-up visits due to the ongoing COVID-19 pandemic;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22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In addition, our clinical trials may compete with other clinical trials for product candidates that are in the same therapeutic areas as our product candidates, and this competition would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spacing w:after="0" w:line="187" w:lineRule="exact"/>
        <w:rPr>
          <w:sz w:val="20"/>
          <w:szCs w:val="20"/>
          <w:color w:val="auto"/>
        </w:rPr>
      </w:pPr>
    </w:p>
    <w:p>
      <w:pPr>
        <w:ind w:left="120" w:right="280" w:firstLine="881"/>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58" w:lineRule="exact"/>
        <w:rPr>
          <w:sz w:val="20"/>
          <w:szCs w:val="20"/>
          <w:color w:val="auto"/>
        </w:rPr>
      </w:pPr>
    </w:p>
    <w:p>
      <w:pPr>
        <w:jc w:val="both"/>
        <w:ind w:left="120"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significant adverse events, toxicities or other undesirable side effects which may delay or prevent marketing approval or cause us to abandon or limit further clinical development of those product candidates.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80"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spacing w:after="0" w:line="176" w:lineRule="exact"/>
        <w:rPr>
          <w:sz w:val="20"/>
          <w:szCs w:val="20"/>
          <w:color w:val="auto"/>
        </w:rPr>
      </w:pPr>
    </w:p>
    <w:p>
      <w:pPr>
        <w:ind w:left="120" w:right="40" w:firstLine="881"/>
        <w:spacing w:after="0" w:line="274" w:lineRule="auto"/>
        <w:rPr>
          <w:sz w:val="20"/>
          <w:szCs w:val="20"/>
          <w:color w:val="auto"/>
        </w:rPr>
      </w:pPr>
      <w:r>
        <w:rPr>
          <w:rFonts w:ascii="Times New Roman" w:cs="Times New Roman" w:eastAsia="Times New Roman" w:hAnsi="Times New Roman"/>
          <w:sz w:val="17"/>
          <w:szCs w:val="17"/>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spacing w:after="0" w:line="173"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most commonly reported adverse events in TP-03 to date were mild transient ocular burning after administration for less than 10 seconds. One patient in the Europa clinical trial also reported mild burning and blurriness after administration that lasted the entire treatment period. Our understanding of the relationship between our product candidates and these adverse events may change as we gather more information, and additional unexpected adverse events or an increase in adverse event rates may occur. If additional clinical experience indicates that TP-03 or any other product candidate has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881"/>
        <w:spacing w:after="0" w:line="312" w:lineRule="auto"/>
        <w:rPr>
          <w:sz w:val="20"/>
          <w:szCs w:val="20"/>
          <w:color w:val="auto"/>
        </w:rPr>
      </w:pPr>
      <w:r>
        <w:rPr>
          <w:rFonts w:ascii="Times New Roman" w:cs="Times New Roman" w:eastAsia="Times New Roman" w:hAnsi="Times New Roman"/>
          <w:sz w:val="17"/>
          <w:szCs w:val="17"/>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67" w:lineRule="exact"/>
        <w:rPr>
          <w:sz w:val="20"/>
          <w:szCs w:val="20"/>
          <w:color w:val="auto"/>
        </w:rPr>
      </w:pPr>
    </w:p>
    <w:p>
      <w:pPr>
        <w:ind w:left="1420" w:right="460" w:hanging="319"/>
        <w:spacing w:after="0" w:line="266"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or require additional warnings on the label such as a “black box” warning or a contraindication, or issue safety alerts, Dear Healthcare Provider letters, press releases or other communications containing warnings or other safety information about the product;</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 seized by regulatory authorities;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recall of the product;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post-approval studies;</w:t>
      </w:r>
    </w:p>
    <w:p>
      <w:pPr>
        <w:spacing w:after="0" w:line="252" w:lineRule="exact"/>
        <w:rPr>
          <w:rFonts w:ascii="Times New Roman" w:cs="Times New Roman" w:eastAsia="Times New Roman" w:hAnsi="Times New Roman"/>
          <w:sz w:val="18"/>
          <w:szCs w:val="18"/>
          <w:color w:val="auto"/>
        </w:rPr>
      </w:pPr>
    </w:p>
    <w:p>
      <w:pPr>
        <w:ind w:left="1420" w:right="260" w:hanging="319"/>
        <w:spacing w:after="0" w:line="266"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and implement a Risk Evaluation and Mitigation Strategy, or REMS, plan, which could include a medication guide outlining the risks of such side effects for distribution to patients, a communication plan for healthcare providers, including ECPs, and/or other elements to assure safe use;</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and there may be resulting harm to physician or patient acceptance of our product.</w:t>
      </w:r>
    </w:p>
    <w:p>
      <w:pPr>
        <w:spacing w:after="0" w:line="225"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8"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5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Before we can initiate clinical trials in the United States for our product candidates, we must submit the results of preclinical testing and any previous clinical studies to the FDA along with other information, including information about product candidate chemistry, manufacturing and controls, or CMC, and our proposed clinical trial protocol, as part of an IND. The initiation of clinical trials in the European Union, or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spacing w:after="0" w:line="214" w:lineRule="exact"/>
        <w:rPr>
          <w:sz w:val="20"/>
          <w:szCs w:val="20"/>
          <w:color w:val="auto"/>
        </w:rPr>
      </w:pPr>
    </w:p>
    <w:p>
      <w:pPr>
        <w:ind w:left="1420" w:hanging="319"/>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placing the clinical trial on hold;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 at the rate we expect;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or other product candidates, or participating in competing clinical trials;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efficacy of the product;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interruptions or delays in the supply of our product candidates for our clinical trials;</w:t>
      </w:r>
    </w:p>
    <w:p>
      <w:pPr>
        <w:spacing w:after="0" w:line="252" w:lineRule="exact"/>
        <w:rPr>
          <w:rFonts w:ascii="Times New Roman" w:cs="Times New Roman" w:eastAsia="Times New Roman" w:hAnsi="Times New Roman"/>
          <w:sz w:val="18"/>
          <w:szCs w:val="18"/>
          <w:color w:val="auto"/>
        </w:rPr>
      </w:pPr>
    </w:p>
    <w:p>
      <w:pPr>
        <w:ind w:left="1420" w:right="220" w:hanging="319"/>
        <w:spacing w:after="0" w:line="261" w:lineRule="auto"/>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any of our product candidates or any of their components being ordered by the FDA or comparable foreign regulatory authorities to temporarily or permanently shut down due to violations of good manufacturing practice, or cGMP, regulations or other applicable requirements, or infections or cross-contaminations of product candidates in the manufacturing process;</w:t>
      </w:r>
    </w:p>
    <w:p>
      <w:pPr>
        <w:spacing w:after="0" w:line="206"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vendors and clinical trial sites;</w:t>
      </w:r>
    </w:p>
    <w:p>
      <w:pPr>
        <w:spacing w:after="0" w:line="252" w:lineRule="exact"/>
        <w:rPr>
          <w:rFonts w:ascii="Times New Roman" w:cs="Times New Roman" w:eastAsia="Times New Roman" w:hAnsi="Times New Roman"/>
          <w:sz w:val="18"/>
          <w:szCs w:val="18"/>
          <w:color w:val="auto"/>
        </w:rPr>
      </w:pPr>
    </w:p>
    <w:p>
      <w:pPr>
        <w:ind w:left="1420" w:right="400" w:hanging="319"/>
        <w:spacing w:after="0" w:line="266" w:lineRule="auto"/>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or GCP, or regulatory requirements or other third parties not performing data collection or analysis in a timely or accurate manner;</w:t>
      </w:r>
    </w:p>
    <w:p>
      <w:pPr>
        <w:spacing w:after="0" w:line="202" w:lineRule="exact"/>
        <w:rPr>
          <w:rFonts w:ascii="Times New Roman" w:cs="Times New Roman" w:eastAsia="Times New Roman" w:hAnsi="Times New Roman"/>
          <w:sz w:val="18"/>
          <w:szCs w:val="18"/>
          <w:color w:val="auto"/>
        </w:rPr>
      </w:pPr>
    </w:p>
    <w:p>
      <w:pPr>
        <w:jc w:val="both"/>
        <w:ind w:left="1420" w:right="100" w:hanging="319"/>
        <w:spacing w:after="0" w:line="289" w:lineRule="auto"/>
        <w:tabs>
          <w:tab w:leader="none" w:pos="14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spacing w:after="0" w:line="184" w:lineRule="exact"/>
        <w:rPr>
          <w:rFonts w:ascii="Times New Roman" w:cs="Times New Roman" w:eastAsia="Times New Roman" w:hAnsi="Times New Roman"/>
          <w:sz w:val="17"/>
          <w:szCs w:val="17"/>
          <w:color w:val="auto"/>
        </w:rPr>
      </w:pPr>
    </w:p>
    <w:p>
      <w:pPr>
        <w:ind w:left="1420" w:right="120" w:hanging="319"/>
        <w:spacing w:after="0" w:line="282" w:lineRule="auto"/>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Institutional Review Boards, or IRBs, other ethics committees refusing to approve, suspending or terminating the trial at an investigational site, precluding enrollment of additional subjects, or withdrawing its approval of the trial; or</w:t>
      </w:r>
    </w:p>
    <w:p>
      <w:pPr>
        <w:spacing w:after="0" w:line="188" w:lineRule="exact"/>
        <w:rPr>
          <w:rFonts w:ascii="Times New Roman" w:cs="Times New Roman" w:eastAsia="Times New Roman" w:hAnsi="Times New Roman"/>
          <w:sz w:val="18"/>
          <w:szCs w:val="18"/>
          <w:color w:val="auto"/>
        </w:rPr>
      </w:pPr>
    </w:p>
    <w:p>
      <w:pPr>
        <w:ind w:left="1420" w:right="100" w:hanging="319"/>
        <w:spacing w:after="0" w:line="282" w:lineRule="auto"/>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policies, which may require us to amend clinical trial protocols to comply with these changes and resubmit our clinical trial protocols to IRBs or ethics committees for reexamination.</w:t>
      </w:r>
    </w:p>
    <w:p>
      <w:pPr>
        <w:spacing w:after="0" w:line="162"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Any delays in completing our clinical trials will increase our costs, slow down our product candidate development and approval process and jeopardize the commercial prospects of our product candidates and our ability to commence product sales and generate revenue.</w:t>
      </w:r>
    </w:p>
    <w:p>
      <w:pPr>
        <w:spacing w:after="0" w:line="162"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w:t>
      </w:r>
    </w:p>
    <w:p>
      <w:pPr>
        <w:spacing w:after="0" w:line="183"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sell and market our product candidates on acceptable terms, we may be unable to successfully commercialize our product candidates that obtain regulatory approval.</w:t>
      </w:r>
    </w:p>
    <w:p>
      <w:pPr>
        <w:spacing w:after="0" w:line="15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We currently have a very limited marketing team and no sales team. In order to commercialize any product candidates, if approved, we must build marketing, sales, distribution, managerial and other non-technical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capabilities or make arrangements with third parties to perform these services for each of the territories in which we may have approval to sell and market our product candidates. We may not be successful in accomplishing these required tasks.</w:t>
      </w:r>
    </w:p>
    <w:p>
      <w:pPr>
        <w:spacing w:after="0" w:line="162" w:lineRule="exact"/>
        <w:rPr>
          <w:sz w:val="20"/>
          <w:szCs w:val="20"/>
          <w:color w:val="auto"/>
        </w:rPr>
      </w:pPr>
    </w:p>
    <w:p>
      <w:pPr>
        <w:ind w:left="120" w:right="120" w:firstLine="881"/>
        <w:spacing w:after="0" w:line="253" w:lineRule="auto"/>
        <w:rPr>
          <w:sz w:val="20"/>
          <w:szCs w:val="20"/>
          <w:color w:val="auto"/>
        </w:rPr>
      </w:pPr>
      <w:r>
        <w:rPr>
          <w:rFonts w:ascii="Times New Roman" w:cs="Times New Roman" w:eastAsia="Times New Roman" w:hAnsi="Times New Roman"/>
          <w:sz w:val="18"/>
          <w:szCs w:val="18"/>
          <w:color w:val="auto"/>
        </w:rPr>
        <w:t>Establishing an internal sales and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8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 opportunities for our product candidates, particularly TP-03 for the treatment of Demodex blepharitis and for the treatment of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80"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Our assessment of the potential market opportunity for TP-03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Demodex blepharitis and for the treatment of MGD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TP-03 or any of our other product candidates may be smaller than we expect, and as a result our product revenue may be limited and it may be more difficult for us to achieve or maintain profitability.</w:t>
      </w:r>
    </w:p>
    <w:p>
      <w:pPr>
        <w:spacing w:after="0" w:line="197" w:lineRule="exact"/>
        <w:rPr>
          <w:sz w:val="20"/>
          <w:szCs w:val="20"/>
          <w:color w:val="auto"/>
        </w:rPr>
      </w:pPr>
    </w:p>
    <w:p>
      <w:pPr>
        <w:jc w:val="both"/>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Due to the patients presenting at ECP clinics with multiple ocular surface diseases, there is overlap in market size estimates for blepharitis and MGD. Therefore, if TP-03 receives regulatory approval for the treatment of Demodex blepharitis and MGD, our opportunity could be less than our forecasts because the actual market for TP-03 might be significantly smaller than our estimates.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for blepharitis and Demodex blepharitis may be not be similar to the market for dry eye.</w:t>
      </w:r>
    </w:p>
    <w:p>
      <w:pPr>
        <w:spacing w:after="0" w:line="229"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The markets for blepharitis and Demodex blepharitis may prove to be materially different from the dry eye market that grew significantly once there was an approved product. Even if we obtain approval for TP-03 for the treatment of Demodex blepharitis and commercialize TP-03 in this indication, we may not be able to expand the market for Demodex blepharitis materially or at all or increase awareness of Demodex blepharitis to an extent similar to the dry eye market expansion induced by commercial dry eye product, Restasis, or at all. Our inability to grow the market in a similar way to the dry eye market may occur due to differences in the underlying diseases, different ECP or patient attitudes towards the diseases, symptoms or treatment, changes over time in attitudes towards direct to patient marketing, different reimbursement and coverage, and differences in key assumptions which we have not taken into account in our analysis.</w:t>
      </w:r>
    </w:p>
    <w:p>
      <w:pPr>
        <w:spacing w:after="0" w:line="18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demonstrate the safety and efficacy of TP-03 and TP-04 in the indications we are pursuing even though the API underlying such product candidates is safe and effective in animals.</w:t>
      </w:r>
    </w:p>
    <w:p>
      <w:pPr>
        <w:spacing w:after="0" w:line="15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TP-03 is a presentation of lotilaner, the API, formulated into an eye drop formulation. TP-04 is likewise a presentation of lotilaner, formulated into topical cream. Lotilaner, which is designed to paralyze and eradicate mites and other parasites through the inhibition of parasite-specific GABA-Cl channels, has been found to be safe and effective in animals. However, despite being safe and effective in animals, we may not be able to demonstrate that TP-03 and TP-04 are safe and effective for human use in the indications we are pursuing for these product candidates. This may be in part because the requirements and regulations applicable to approval of a product candidate for human use are significantly more stringent than for animals and that there may be other ocular or other relevant differences between animals and humans.</w:t>
      </w:r>
    </w:p>
    <w:p>
      <w:pPr>
        <w:spacing w:after="0" w:line="183"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 Our product candidates will, if approved, also compete with existing branded, generic and off-label products.</w:t>
      </w:r>
    </w:p>
    <w:p>
      <w:pPr>
        <w:spacing w:after="0" w:line="175" w:lineRule="exact"/>
        <w:rPr>
          <w:sz w:val="20"/>
          <w:szCs w:val="20"/>
          <w:color w:val="auto"/>
        </w:rPr>
      </w:pPr>
    </w:p>
    <w:p>
      <w:pPr>
        <w:ind w:left="120" w:right="380" w:firstLine="881"/>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3" w:lineRule="exact"/>
        <w:rPr>
          <w:sz w:val="20"/>
          <w:szCs w:val="20"/>
          <w:color w:val="auto"/>
        </w:rPr>
      </w:pPr>
    </w:p>
    <w:p>
      <w:pPr>
        <w:ind w:left="120" w:right="300" w:firstLine="881"/>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our products. Our competitors also may obtain FDA approval or other regulatory authority approval for their products more rapidly than we may obtain approval for ours, which could result in our competitors establishing a strong market position before we are able to enter the market.</w:t>
      </w:r>
    </w:p>
    <w:p>
      <w:pPr>
        <w:spacing w:after="0" w:line="180" w:lineRule="exact"/>
        <w:rPr>
          <w:sz w:val="20"/>
          <w:szCs w:val="20"/>
          <w:color w:val="auto"/>
        </w:rPr>
      </w:pPr>
    </w:p>
    <w:p>
      <w:pPr>
        <w:ind w:left="120" w:right="60" w:firstLine="881"/>
        <w:spacing w:after="0" w:line="289" w:lineRule="auto"/>
        <w:rPr>
          <w:sz w:val="20"/>
          <w:szCs w:val="20"/>
          <w:color w:val="auto"/>
        </w:rPr>
      </w:pPr>
      <w:r>
        <w:rPr>
          <w:rFonts w:ascii="Times New Roman" w:cs="Times New Roman" w:eastAsia="Times New Roman" w:hAnsi="Times New Roman"/>
          <w:sz w:val="17"/>
          <w:szCs w:val="17"/>
          <w:color w:val="auto"/>
        </w:rPr>
        <w:t>In addition, our ability to compete may be affected in many cases by insurers or other third-party payors, particularly Medicare and the competent authorities of the individual EU Member States, seeking to encourage the use of generic products. Generic products are currently being used for certain of the indications that we are pursuing, and additional products are expected to become available on a generic basis over the coming years.</w:t>
      </w:r>
    </w:p>
    <w:p>
      <w:pPr>
        <w:spacing w:after="0" w:line="158" w:lineRule="exact"/>
        <w:rPr>
          <w:sz w:val="20"/>
          <w:szCs w:val="20"/>
          <w:color w:val="auto"/>
        </w:rPr>
      </w:pPr>
    </w:p>
    <w:p>
      <w:pPr>
        <w:ind w:left="120" w:right="60" w:firstLine="881"/>
        <w:spacing w:after="0" w:line="289" w:lineRule="auto"/>
        <w:rPr>
          <w:sz w:val="20"/>
          <w:szCs w:val="20"/>
          <w:color w:val="auto"/>
        </w:rPr>
      </w:pPr>
      <w:r>
        <w:rPr>
          <w:rFonts w:ascii="Times New Roman" w:cs="Times New Roman" w:eastAsia="Times New Roman" w:hAnsi="Times New Roman"/>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5" w:right="4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0" w:lineRule="exact"/>
        <w:rPr>
          <w:sz w:val="20"/>
          <w:szCs w:val="20"/>
          <w:color w:val="auto"/>
        </w:rPr>
      </w:pPr>
    </w:p>
    <w:p>
      <w:pPr>
        <w:ind w:left="120" w:right="20" w:firstLine="881"/>
        <w:spacing w:after="0" w:line="281" w:lineRule="auto"/>
        <w:rPr>
          <w:sz w:val="20"/>
          <w:szCs w:val="20"/>
          <w:color w:val="auto"/>
        </w:rPr>
      </w:pPr>
      <w:r>
        <w:rPr>
          <w:rFonts w:ascii="Times New Roman" w:cs="Times New Roman" w:eastAsia="Times New Roman" w:hAnsi="Times New Roman"/>
          <w:sz w:val="17"/>
          <w:szCs w:val="17"/>
          <w:color w:val="auto"/>
        </w:rPr>
        <w:t>Additionally, while there are no currently available on-label prescription pharmaceutical treatments available for the treatment of blepharitis or Demodex blepharitis specifically, a number of other treatments are currently available for the treatment of blepharitis in the United States. Current treatments for blepharitis in the United States include over the counter remedies such as tea tree oil, lid wipes and artificial tears, as well as off-label prescription products. If ECPs were to continue to prescribe these other existing treatments instead of TP-03, our business would be adversely affected.</w:t>
      </w:r>
    </w:p>
    <w:p>
      <w:pPr>
        <w:spacing w:after="0" w:line="160" w:lineRule="exact"/>
        <w:rPr>
          <w:sz w:val="20"/>
          <w:szCs w:val="20"/>
          <w:color w:val="auto"/>
        </w:rPr>
      </w:pPr>
    </w:p>
    <w:p>
      <w:pPr>
        <w:ind w:left="120"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could divert our resources and could limit or delay our commercialization of any product candidates that we may develop.</w:t>
      </w:r>
    </w:p>
    <w:p>
      <w:pPr>
        <w:spacing w:after="0" w:line="15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products that we may develop. While we currently have no products that have been approved for commercial sale, the use of product candidates by us in clinical trials, and the sale of any approved products in the future,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our product candidates or products caused injuries, we could incur substantial liabilities. Regardless of merit or eventual outcome, product liability claims may result in:</w:t>
      </w:r>
    </w:p>
    <w:p>
      <w:pPr>
        <w:spacing w:after="0" w:line="216" w:lineRule="exact"/>
        <w:rPr>
          <w:sz w:val="20"/>
          <w:szCs w:val="20"/>
          <w:color w:val="auto"/>
        </w:rPr>
      </w:pPr>
    </w:p>
    <w:p>
      <w:pPr>
        <w:ind w:left="1420" w:hanging="31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variation or termination of clinical trials;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252" w:lineRule="exact"/>
        <w:rPr>
          <w:rFonts w:ascii="Times New Roman" w:cs="Times New Roman" w:eastAsia="Times New Roman" w:hAnsi="Times New Roman"/>
          <w:sz w:val="18"/>
          <w:szCs w:val="18"/>
          <w:color w:val="auto"/>
        </w:rPr>
      </w:pPr>
    </w:p>
    <w:p>
      <w:pPr>
        <w:ind w:left="1420" w:right="280" w:hanging="31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approval, recall, restriction on the approval or a “black box” warning or contraindication for an approved drug;</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subjects;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diversion of management’s time and our resources;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study subjects or patients;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delay of our efforts to commercialize any products that we may develop.</w:t>
      </w:r>
    </w:p>
    <w:p>
      <w:pPr>
        <w:spacing w:after="0" w:line="225" w:lineRule="exact"/>
        <w:rPr>
          <w:sz w:val="20"/>
          <w:szCs w:val="20"/>
          <w:color w:val="auto"/>
        </w:rPr>
      </w:pPr>
    </w:p>
    <w:p>
      <w:pPr>
        <w:ind w:left="120" w:right="180" w:firstLine="881"/>
        <w:spacing w:after="0" w:line="282"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insurance coverage as our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advance through clinical trials and if we successfully commercialize any products. Insurance coverage is increasingly expensive, thus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7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of any of our product candidates, we may never obtain approval or authorization or commercialize such products outside of the United States, which would limit our ability to realize their full market potential.</w:t>
      </w:r>
    </w:p>
    <w:p>
      <w:pPr>
        <w:spacing w:after="0" w:line="15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In order to market any products outside of the United States, we will need to comply with additional onerous but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18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product candidates in foreign markets for which we may rely on collaboration with third parties. We are evaluating the opportunities for the development and commercialization of our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219" w:lineRule="exact"/>
        <w:rPr>
          <w:sz w:val="20"/>
          <w:szCs w:val="20"/>
          <w:color w:val="auto"/>
        </w:rPr>
      </w:pPr>
    </w:p>
    <w:p>
      <w:pPr>
        <w:ind w:left="1420" w:hanging="31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if we are relying on third parties;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ectPr>
          <w:pgSz w:w="11900" w:h="16838" w:orient="portrait"/>
          <w:cols w:equalWidth="0" w:num="1">
            <w:col w:w="11080"/>
          </w:cols>
          <w:pgMar w:left="320" w:top="455" w:right="4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 and the need for language translations;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all of our completed clinical trials for our product candidates at sites outside the United States, and the FDA may not accept data from trials conducted in such locations.</w:t>
      </w:r>
    </w:p>
    <w:p>
      <w:pPr>
        <w:spacing w:after="0" w:line="15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We have conducted all of our clinical trials outside the United States, including our Phase 2 clinical trials for the treatment of Demodex blepharitis which were conducted in Mexico City, Mexico, at a well-established site for ocular therapy trials. We may in the future choose to conduct other clinical trials outside the United States. Since we have yet to complete any clinical trials in the United States, it is possible that we may not be able to replicate the efficacy and safety results of our completed Phase 2 trials in the United States. We expect that the FDA will primarily consider the efficacy results of our Saturn-1 and Saturn-2 trials in addition to safety data from all human trials, our preclinical studies data as well as preclinical data for lotilaner in support of our potential NDA submission for TP-03 for the treatment of Demodex blepharitis.</w:t>
      </w:r>
    </w:p>
    <w:p>
      <w:pPr>
        <w:spacing w:after="0" w:line="187"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United States, acceptance of this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There can be no assurance the FDA will accept data from clinical trials conducted outside of the United States.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United States, it would likely result in the need for additional trials, which would be costly and time-consuming and could delay or permanently halt our development of the applicable product candidates.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In addition, there are risks inherent in conducting clinical trials in multiple jurisdictions, inside and outside of the United States and if return to conduct trials outside of the United States, we may face risks, such as:</w:t>
      </w:r>
    </w:p>
    <w:p>
      <w:pPr>
        <w:spacing w:after="0" w:line="189" w:lineRule="exact"/>
        <w:rPr>
          <w:sz w:val="20"/>
          <w:szCs w:val="20"/>
          <w:color w:val="auto"/>
        </w:rPr>
      </w:pPr>
    </w:p>
    <w:p>
      <w:pPr>
        <w:ind w:left="1420" w:right="380" w:hanging="319"/>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administrative requirements of the jurisdiction where the trial is conducted that could burden or limit our ability to conduct our clinical trials;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customs, shipment and storage requirements;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cultural attitudes to self-reported adverse events (such as burning, stinging, blurry vision) leading to a different safety profile; and</w:t>
      </w:r>
    </w:p>
    <w:p>
      <w:pPr>
        <w:spacing w:after="0" w:line="188" w:lineRule="exact"/>
        <w:rPr>
          <w:rFonts w:ascii="Times New Roman" w:cs="Times New Roman" w:eastAsia="Times New Roman" w:hAnsi="Times New Roman"/>
          <w:sz w:val="18"/>
          <w:szCs w:val="18"/>
          <w:color w:val="auto"/>
        </w:rPr>
      </w:pPr>
    </w:p>
    <w:p>
      <w:pPr>
        <w:ind w:left="1420" w:right="120" w:hanging="319"/>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patient populations in such trials are not considered representative as compared to the patient population in the target markets where approval is being sought.</w:t>
      </w:r>
    </w:p>
    <w:p>
      <w:pPr>
        <w:spacing w:after="0" w:line="158" w:lineRule="exact"/>
        <w:rPr>
          <w:sz w:val="20"/>
          <w:szCs w:val="20"/>
          <w:color w:val="auto"/>
        </w:rPr>
      </w:pPr>
    </w:p>
    <w:p>
      <w:pPr>
        <w:ind w:left="12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with respect to TP-03 for Demodex blepharitis, we may not be able to obtain regulatory approval for additional indications, such as MGD, or we may be required to conduct additional trials, which would limit our ability to realize the full market potential of TP-03 or increase the costs of developing TP-03 for MGD.</w:t>
      </w:r>
    </w:p>
    <w:p>
      <w:pPr>
        <w:spacing w:after="0" w:line="175"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If we obtain regulatory approval with respect to TP-03 for the treatment of Demodex blepharitis, we intend explore the therapeutic potential for TP-03 in MGD as an additional indication. If we are successful, the indication for use of TP-03 could potentially be broadened beyond the treatment of Demodex blepharitis to include MGD as an additional indication. However, there can be no assurance that, even if we obtain approval for Demodex blepharitis, we will obtain approval for any other indication, including MGD or for any broadened indication beyond the treatment of Demodex blepharitis. If we fail to obtain and maintain required approvals for these additional or broadened indications, or if regulatory approvals are delayed, we will not realize the full market potential of TP-03. Additionally, the FDA or other comparable foreign regulatory authority may require us to conduct additional clinical trials before seeking regulatory approval. If we were required to conduct additional clinical trials, our costs for developing TP-03 for treating MGD would be substantially higher and the timing of any regulatory approval, if any, would be substantially extended, which could adverse effect our results of operations.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For example, we intend to develop a preservative-free formulation for TP-03, which we expect to be completed after the submission of</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NDA for Demodex blepharitis and used for commercialization. We intend to initiate preclinical equivalence studies with this preservative-free formulation after the NDA submission of the current formulation of TP-03 for Demodex blepharitis. However, there can be no assurance that the FDA will not require us to conduct studies or trials in addition to these preclinical equivalence studies, which would mean additional costs and potentially delays in our approval of TP-03 for the treatment of Demodex blepharitis.</w:t>
      </w:r>
    </w:p>
    <w:p>
      <w:pPr>
        <w:spacing w:after="0" w:line="176"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our obligations under our in-license agreements and other strategic agreements may divert management time and attention, causing delays or disruptions to our business.</w:t>
      </w:r>
    </w:p>
    <w:p>
      <w:pPr>
        <w:spacing w:after="0" w:line="159"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We have entered into a license agreement with Elanco granting us worldwide development and marketing rights (including sublicense rights) to lotilaner for the treatment or cure of any eye or skin condition in humans, or the Elanco Agreement, and may in the future enter into in-license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spacing w:after="0" w:line="189" w:lineRule="exact"/>
        <w:rPr>
          <w:sz w:val="20"/>
          <w:szCs w:val="20"/>
          <w:color w:val="auto"/>
        </w:rPr>
      </w:pPr>
    </w:p>
    <w:p>
      <w:pPr>
        <w:ind w:left="120" w:right="280" w:firstLine="881"/>
        <w:spacing w:after="0" w:line="261" w:lineRule="auto"/>
        <w:rPr>
          <w:sz w:val="20"/>
          <w:szCs w:val="20"/>
          <w:color w:val="auto"/>
        </w:rPr>
      </w:pPr>
      <w:r>
        <w:rPr>
          <w:rFonts w:ascii="Times New Roman" w:cs="Times New Roman" w:eastAsia="Times New Roman" w:hAnsi="Times New Roman"/>
          <w:sz w:val="18"/>
          <w:szCs w:val="18"/>
          <w:color w:val="auto"/>
        </w:rPr>
        <w:t>Our in-license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spacing w:after="0" w:line="17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by certain covenants in our license and other strategic agreements, which could limit our development and commercial opportunities.</w:t>
      </w:r>
    </w:p>
    <w:p>
      <w:pPr>
        <w:spacing w:after="0" w:line="159"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In connection with our in-license or other collaborations or strategic alliances, we may agree to and be bound by negative covenants which may limit our development and commercial opportunities. For example, pursuant to the Elanco Agreement,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spacing w:after="0" w:line="179"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TP-03 for the treatment of Demodex blepharitis and fail to capitalize on product candidates or indications that may be more profitable or for which there is a greater likelihood of success.</w:t>
      </w:r>
    </w:p>
    <w:p>
      <w:pPr>
        <w:spacing w:after="0" w:line="159"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must prioritize our research programs and will need to focus our product candidates on the potential treatment of certain indications. We are currently focused on the development and commercialization, if approved, of TP-03 for the treatment of Demodex 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TP-03 for the treatment of Demodex blepharitis may not yield any commercially viable products. If we do not accurately evaluate the commercial potential or target market for TP-03,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for any product candidates we develop, the terms of approvals and ongoing regulation of our products could require substantial expenditure of resources and may limit how we manufacture and market our products, which could materially impair our ability to generate revenue.</w:t>
      </w:r>
    </w:p>
    <w:p>
      <w:pPr>
        <w:spacing w:after="0" w:line="175"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Any product candidate for which we obtain regulatory approval, along with the manufacturing processes, post-approval clinical data, labeling, advertising, and promotional activities for such product, will be subject to continual requirements of and review by the FDA, the EMA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spacing w:after="0" w:line="18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Accordingly, assuming we receive regulatory approval for one or more product candidates we develop, we and our contract manufacturers will continue to expend time, money, and effort in all areas of regulatory compliance, including manufacturing, production, product surveillance, and quality control. If we are not able to comply with post-approval regulatory requirements, we could have the regulatory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83"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spacing w:after="0" w:line="159" w:lineRule="exact"/>
        <w:rPr>
          <w:sz w:val="20"/>
          <w:szCs w:val="20"/>
          <w:color w:val="auto"/>
        </w:rPr>
      </w:pPr>
    </w:p>
    <w:p>
      <w:pPr>
        <w:ind w:left="120" w:firstLine="881"/>
        <w:spacing w:after="0" w:line="273" w:lineRule="auto"/>
        <w:rPr>
          <w:sz w:val="20"/>
          <w:szCs w:val="20"/>
          <w:color w:val="auto"/>
        </w:rPr>
      </w:pPr>
      <w:r>
        <w:rPr>
          <w:rFonts w:ascii="Times New Roman" w:cs="Times New Roman" w:eastAsia="Times New Roman" w:hAnsi="Times New Roman"/>
          <w:sz w:val="17"/>
          <w:szCs w:val="17"/>
          <w:color w:val="auto"/>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17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TP-03 and TP-04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party will devote to our clinical trials. Some of these third parties may terminate their engagements with us at any time. If we need to enter into alternative arrangements with a third party, it would delay our development activities.</w:t>
      </w:r>
    </w:p>
    <w:p>
      <w:pPr>
        <w:spacing w:after="0" w:line="162"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187" w:lineRule="exact"/>
        <w:rPr>
          <w:sz w:val="20"/>
          <w:szCs w:val="20"/>
          <w:color w:val="auto"/>
        </w:rPr>
      </w:pPr>
    </w:p>
    <w:p>
      <w:pPr>
        <w:ind w:left="120" w:right="240" w:firstLine="881"/>
        <w:spacing w:after="0" w:line="258" w:lineRule="auto"/>
        <w:rPr>
          <w:sz w:val="20"/>
          <w:szCs w:val="20"/>
          <w:color w:val="auto"/>
        </w:rPr>
      </w:pPr>
      <w:r>
        <w:rPr>
          <w:rFonts w:ascii="Times New Roman" w:cs="Times New Roman" w:eastAsia="Times New Roman" w:hAnsi="Times New Roman"/>
          <w:sz w:val="18"/>
          <w:szCs w:val="18"/>
          <w:color w:val="auto"/>
        </w:rPr>
        <w:t>The third parties we rely on for these services may also have relationships with other entities, some of which may be our competitors. In addition, the operations of our CROs and other third-party service providers may be constrained or disrupted by the ongoing COVID-19 pandemic.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3"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The COVID-19 pandemic and government measures taken in response have also had a significant impact on many CROs.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spacing w:after="0" w:line="189"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studies, clinical trials and for eventual commercialization. This reliance on third parties increases the risk that we will not have sufficient quantities of our product candidates or compounds or that such supply will not be available to us at an acceptable cost, which could delay, prevent or impair our development or commercialization efforts.</w:t>
      </w:r>
    </w:p>
    <w:p>
      <w:pPr>
        <w:spacing w:after="0" w:line="180"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We do not have any, and have no plans to acquire any, manufacturing facilities. We produce in our laboratory relatively small quantities of compounds for evaluation in our research programs. We rely, and expect to continue to rely, on third parties for the manufacture of our product candidates for preclinical and clinical testing, as well as for commercial manufacture if any of our product candidates are approved. We currently have limited manufacturing arrangements and expect that each of our product candidates will only be covered by single source suppliers for the foreseeable future. This reliance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187"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Furthermore, all entities involved in the preparation of therapeutics for clinical trials or commercial sale, including our existing contract manufacturers for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w:t>
      </w:r>
    </w:p>
    <w:p>
      <w:pPr>
        <w:spacing w:after="0" w:line="190"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or be unable to reach agreement with an alternative manufacturer. In addition, the COVID-19 pandemic may impact our ability to procure sufficient supplies for the development of our product candidates. The extent of this impact will depend on the severity and duration of the spread of the virus, and the actions undertaken to contain COVID-19 or treat its effects. The delays associated with the verification of a new manufacturer could negatively affect our ability to develop product candidates in a timely manner or within budget.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881"/>
        <w:spacing w:after="0" w:line="282"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to do so on commercially reasonable terms and comply with cGMP could adversely affect our business in a number of ways, including:</w:t>
      </w:r>
    </w:p>
    <w:p>
      <w:pPr>
        <w:spacing w:after="0" w:line="189" w:lineRule="exact"/>
        <w:rPr>
          <w:sz w:val="20"/>
          <w:szCs w:val="20"/>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our product candidates under development;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marketing approvals, for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an existing or future collaborator, including by Elanco under the licensing agreement with Elanco;</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our product candidates; and</w:t>
      </w:r>
    </w:p>
    <w:p>
      <w:pPr>
        <w:spacing w:after="0" w:line="252" w:lineRule="exact"/>
        <w:rPr>
          <w:rFonts w:ascii="Times New Roman" w:cs="Times New Roman" w:eastAsia="Times New Roman" w:hAnsi="Times New Roman"/>
          <w:sz w:val="18"/>
          <w:szCs w:val="18"/>
          <w:color w:val="auto"/>
        </w:rPr>
      </w:pPr>
    </w:p>
    <w:p>
      <w:pPr>
        <w:ind w:left="1420" w:right="560" w:hanging="319"/>
        <w:spacing w:after="0" w:line="282" w:lineRule="auto"/>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our product candidates, an inability to meet commercial demands for our product or any other future product candidates.</w:t>
      </w:r>
    </w:p>
    <w:p>
      <w:pPr>
        <w:spacing w:after="0" w:line="162" w:lineRule="exact"/>
        <w:rPr>
          <w:sz w:val="20"/>
          <w:szCs w:val="20"/>
          <w:color w:val="auto"/>
        </w:rPr>
      </w:pPr>
    </w:p>
    <w:p>
      <w:pPr>
        <w:ind w:left="120" w:right="460" w:firstLine="881"/>
        <w:spacing w:after="0" w:line="261"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delay clinical development or marketing approval.</w:t>
      </w:r>
    </w:p>
    <w:p>
      <w:pPr>
        <w:spacing w:after="0" w:line="180"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We or our third-party manufacturers may encounter shortages in the raw materials or active pharmaceutical ingredients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 such raw materials or active pharmaceutical ingredients by our competitors or others. The failure of us or our third-party manufacturers to obtain the raw materials or active pharmaceutical ingredients necessary to manufacture sufficient quantities of our product candidates, may have a material adverse effect on our business.</w:t>
      </w:r>
    </w:p>
    <w:p>
      <w:pPr>
        <w:spacing w:after="0" w:line="183"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are unable to establish sales, marketing and distribution capabilities or enter into agreements with third parties to sell, market and distribute our product candidates, we will be unable to successfully commercialize our product candidates if and when they are approved.</w:t>
      </w:r>
    </w:p>
    <w:p>
      <w:pPr>
        <w:spacing w:after="0" w:line="175"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or use a hybrid model incorporating both of these approaches.</w:t>
      </w:r>
    </w:p>
    <w:p>
      <w:pPr>
        <w:spacing w:after="0" w:line="176"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medicines on our own include:</w:t>
      </w:r>
    </w:p>
    <w:p>
      <w:pPr>
        <w:spacing w:after="0" w:line="252" w:lineRule="exact"/>
        <w:rPr>
          <w:sz w:val="20"/>
          <w:szCs w:val="20"/>
          <w:color w:val="auto"/>
        </w:rPr>
      </w:pPr>
    </w:p>
    <w:p>
      <w:pPr>
        <w:ind w:left="1420" w:right="100" w:hanging="319"/>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188" w:lineRule="exact"/>
        <w:rPr>
          <w:rFonts w:ascii="Times New Roman" w:cs="Times New Roman" w:eastAsia="Times New Roman" w:hAnsi="Times New Roman"/>
          <w:sz w:val="18"/>
          <w:szCs w:val="18"/>
          <w:color w:val="auto"/>
        </w:rPr>
      </w:pPr>
    </w:p>
    <w:p>
      <w:pPr>
        <w:ind w:left="1420" w:right="540" w:hanging="319"/>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equip sales personnel with effective materials, including medical and sales literature to help them educate ECPs regarding the indications we are targeting and our products, if approved;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ECPs or persuade adequate numbers of ECPs to prescribe any future medicines;</w:t>
      </w:r>
    </w:p>
    <w:p>
      <w:pPr>
        <w:spacing w:after="0" w:line="252" w:lineRule="exact"/>
        <w:rPr>
          <w:rFonts w:ascii="Times New Roman" w:cs="Times New Roman" w:eastAsia="Times New Roman" w:hAnsi="Times New Roman"/>
          <w:sz w:val="18"/>
          <w:szCs w:val="18"/>
          <w:color w:val="auto"/>
        </w:rPr>
      </w:pPr>
    </w:p>
    <w:p>
      <w:pPr>
        <w:ind w:left="1420" w:right="140" w:hanging="319"/>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88" w:lineRule="exact"/>
        <w:rPr>
          <w:rFonts w:ascii="Times New Roman" w:cs="Times New Roman" w:eastAsia="Times New Roman" w:hAnsi="Times New Roman"/>
          <w:sz w:val="18"/>
          <w:szCs w:val="18"/>
          <w:color w:val="auto"/>
        </w:rPr>
      </w:pPr>
    </w:p>
    <w:p>
      <w:pPr>
        <w:ind w:left="1420" w:right="360" w:hanging="319"/>
        <w:spacing w:after="0" w:line="282"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medicines to be offered by sales personnel, which may put us at a competitive disadvantage relative to companies with more extensive product lines;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of these product revenue to us are likely to be lower than if we were to market and sell any medicines that we develop ourselves. In addition, we may not be successful in entering into arrangements with third parties to sell and market our product candidates or may be unable to do so on terms that are favorable to us. In entering into third-party marketing or distribution arrangements, any revenue we receive will depend upon the efforts of the third parties and we cannot assure you that such third parties will establish adequate sales and distribution capabilities or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185"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third-party manufacturers, may be unable to successfully scale-up manufacturing of our product candidates in sufficient quality and quantity, which would delay or prevent us from conducting clinical trials and developing our product candidates.</w:t>
      </w:r>
    </w:p>
    <w:p>
      <w:pPr>
        <w:spacing w:after="0" w:line="159"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we will need to manufacture them in large quantities. We, or our manufacturing partners, may be unable to successfully increase the manufacturing capacity for any of our product candidates in a timely or cost-effective manner, or at all. In addition, quality issues may arise during scale-up activities. If we, or our manufacturing partners, are unable to successfully scale up the manufacture of our product candidates in sufficient quality and quantity, the development, testing and clinical trials of that product candidate may be delayed or become infeasible, and marketing approval or commercial launch of any resulting product may be delayed or not obtained, which could significantly harm our business.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left="120" w:right="220" w:firstLine="881"/>
        <w:spacing w:after="0" w:line="289" w:lineRule="auto"/>
        <w:rPr>
          <w:sz w:val="20"/>
          <w:szCs w:val="20"/>
          <w:color w:val="auto"/>
        </w:rPr>
      </w:pPr>
      <w:r>
        <w:rPr>
          <w:rFonts w:ascii="Times New Roman" w:cs="Times New Roman" w:eastAsia="Times New Roman" w:hAnsi="Times New Roman"/>
          <w:sz w:val="17"/>
          <w:szCs w:val="17"/>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certain of our products, including our lead product candidate, TP-03 for the potential treatment of Demodex blepharitis and MGD, and TP-04 for the potential treatment of rosacea, is dependent on intellectual property we license from Elanco. If we breach our agreement with Elanco or the agreement is terminated, we could lose license rights that are important to our business.</w:t>
      </w:r>
    </w:p>
    <w:p>
      <w:pPr>
        <w:spacing w:after="0" w:line="175"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Pursuant to the Elanco Agreement, we acquired an exclusive, worldwide, sublicensable license to certain intellectual property of Elanco for the development, marketing and commercialization of lotilaner for the treatment, prevention, palliation or cure of any eye or skin disease or condition in humans. The Elanco Agreement imposes various development, regulatory, commercial diligence, financial and other obligations on us. If we fail to comply with our obligations under the Elanco Agreement, or otherwise materially breach the Elanco Agreement, and fail to remedy such failure or cure such breach within 60 days, Elanco will have the right to terminate the Elanco Agreement. If we fail to meet any milestones by the achievement deadlines set forth in the Elanco Agreement for any reason other than those outside of our reasonable control, and such milestones remain unmet for 120 days after Elanco notifies us thereof, Elanco may terminate the Elanco Agreement. If we fail to meet certain dermatological milestones by the achievement deadlines set forth in the Elanco Agreement for any reasons other than those outside of our reasonable control, and such milestones remain unmet for 120 days after Elanco notifies us thereof, Elanco may limit our field of use under the Elanco Agreement to the treatment, palliation, prevention or cure of eye diseases or conditions in humans only. If the Elanco Agreement is terminated or our field of use is reduced to eye and skin conditions only by Elanco, we would lose our license in the country where such license was terminated and all rights therein to the licensed intellectual property would revert to Elanco. The loss of the license from Elanco would prevent us from developing and commercializing TP-03 and TP-04 in any country where the license is terminated and could subject us to claims of breach of contract and patent infringement by Elanco if any continued research, development, manufacture or commercialization of TP-03 or TP-04 is covered by the affected patents. Accordingly, the loss of our license or the termination of our license for skin diseases and conditions with Elanco would materially harm our business.</w:t>
      </w:r>
    </w:p>
    <w:p>
      <w:pPr>
        <w:spacing w:after="0" w:line="192"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7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and confidentiality agreements to protect the intellectual property related to our development programs and product candidates. Our success depends in large part on our ability to obtain and maintain patent protection in the United States and other countries with respect to our product candidates and research programs. We seek to protect our proprietary position by filing patent applications in the United States and abroad related to our novel discoveries and technologies that are important to our business. Our pending and future patent applications may not result in patents being issued which protect our product candidates or their intended uses or which effectively prevent others from commercializing competitive technologies, products or product candidates.</w:t>
      </w:r>
    </w:p>
    <w:p>
      <w:pPr>
        <w:spacing w:after="0" w:line="187" w:lineRule="exact"/>
        <w:rPr>
          <w:sz w:val="20"/>
          <w:szCs w:val="20"/>
          <w:color w:val="auto"/>
        </w:rPr>
      </w:pPr>
    </w:p>
    <w:p>
      <w:pPr>
        <w:ind w:left="120" w:right="200" w:firstLine="881"/>
        <w:spacing w:after="0" w:line="261" w:lineRule="auto"/>
        <w:rPr>
          <w:sz w:val="20"/>
          <w:szCs w:val="20"/>
          <w:color w:val="auto"/>
        </w:rPr>
      </w:pPr>
      <w:r>
        <w:rPr>
          <w:rFonts w:ascii="Times New Roman" w:cs="Times New Roman" w:eastAsia="Times New Roman" w:hAnsi="Times New Roman"/>
          <w:sz w:val="18"/>
          <w:szCs w:val="18"/>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Times New Roman" w:cs="Times New Roman" w:eastAsia="Times New Roman" w:hAnsi="Times New Roman"/>
          <w:sz w:val="17"/>
          <w:szCs w:val="17"/>
          <w:color w:val="auto"/>
        </w:rPr>
        <w:t>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p>
    <w:p>
      <w:pPr>
        <w:spacing w:after="0" w:line="168"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w:t>
      </w:r>
    </w:p>
    <w:p>
      <w:pPr>
        <w:spacing w:after="0" w:line="189" w:lineRule="exact"/>
        <w:rPr>
          <w:sz w:val="20"/>
          <w:szCs w:val="20"/>
          <w:color w:val="auto"/>
        </w:rPr>
      </w:pPr>
    </w:p>
    <w:p>
      <w:pPr>
        <w:ind w:left="120" w:right="40" w:firstLine="881"/>
        <w:spacing w:after="0" w:line="252" w:lineRule="auto"/>
        <w:rPr>
          <w:sz w:val="20"/>
          <w:szCs w:val="20"/>
          <w:color w:val="auto"/>
        </w:rPr>
      </w:pPr>
      <w:r>
        <w:rPr>
          <w:rFonts w:ascii="Times New Roman" w:cs="Times New Roman" w:eastAsia="Times New Roman" w:hAnsi="Times New Roman"/>
          <w:sz w:val="18"/>
          <w:szCs w:val="18"/>
          <w:color w:val="auto"/>
        </w:rPr>
        <w:t>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freedom to operate analysis for patents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including TP-03 or TP-04, we may not successfully find patents that our products or product candidates, including TP-03 or TP-04, may infringe. If we are unable to secure and maintain freedom to operate, others could preclude us from commercializing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United States and abroad. For example, we may be subject to a third party pre-issuance submission of prior art to the U.S. Patent and Trademark Office, or become involved in post-grant review or interference procedures, oppositions, derivations, revocations, reexaminations, or inter partes review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8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192" w:lineRule="exact"/>
        <w:rPr>
          <w:sz w:val="20"/>
          <w:szCs w:val="20"/>
          <w:color w:val="auto"/>
        </w:rPr>
      </w:pPr>
    </w:p>
    <w:p>
      <w:pPr>
        <w:ind w:left="120" w:right="20" w:firstLine="881"/>
        <w:spacing w:after="0" w:line="252" w:lineRule="auto"/>
        <w:rPr>
          <w:sz w:val="20"/>
          <w:szCs w:val="20"/>
          <w:color w:val="auto"/>
        </w:rPr>
      </w:pPr>
      <w:r>
        <w:rPr>
          <w:rFonts w:ascii="Times New Roman" w:cs="Times New Roman" w:eastAsia="Times New Roman" w:hAnsi="Times New Roman"/>
          <w:sz w:val="18"/>
          <w:szCs w:val="18"/>
          <w:color w:val="auto"/>
        </w:rPr>
        <w:t>Furthermore,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spacing w:after="0" w:line="185"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annuities fees and various other governmental fees on patents and/or patent applications are due to be paid to the U.S. Patent and Trademark Office, or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our product candidates, our competitive position, business, financial condition, results of operations and prospects would be adversely affected.</w:t>
      </w:r>
    </w:p>
    <w:p>
      <w:pPr>
        <w:spacing w:after="0" w:line="179"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5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United States and abroad that is relevant to or necessary for the commercialization of our product candidates in any jurisdiction. Because we have not yet conducted a formal freedom to operate analysis for patents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we may not successfully find patents that our products or product candidates may infringe. If we are unable to secure and maintain freedom to operate, others could preclude us from commercializing our product candidates.</w:t>
      </w:r>
    </w:p>
    <w:p>
      <w:pPr>
        <w:spacing w:after="0" w:line="192"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83"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wish to acquire rights to future assets through in-licensing or may attempt to form collaborations in the future with respect to our product candidates, but may not be able to do so, which may cause us to alter or delay our development and commercialization plans.</w:t>
      </w:r>
    </w:p>
    <w:p>
      <w:pPr>
        <w:spacing w:after="0" w:line="159"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The development and potential commercialization of our product candidates will require substantial additional capital to fund expenses. We have entered into a license agreement with Elanco granting us worldwide development and marketing rights (including sublicense rights) to lotilaner for the treatment or cure of any eye or skin disease or condition in humans. We plan to utilize these license rights in developing and marketing our TP-03 and TP-04 product candidates. We may, in the future, decide to collaborate with other biopharmaceutical companies for the development and potential commercialization of those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spacing w:after="0" w:line="219" w:lineRule="exact"/>
        <w:rPr>
          <w:sz w:val="20"/>
          <w:szCs w:val="20"/>
          <w:color w:val="auto"/>
        </w:rPr>
      </w:pPr>
    </w:p>
    <w:p>
      <w:pPr>
        <w:ind w:left="1420" w:hanging="31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or results of clinical trials;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approval by the FDA or comparable foreign regulatory authorities;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for the product candidate;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complexities of manufacturing and delivering such product candidate to patients;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competing products;</w:t>
      </w:r>
    </w:p>
    <w:p>
      <w:pPr>
        <w:spacing w:after="0" w:line="252" w:lineRule="exact"/>
        <w:rPr>
          <w:rFonts w:ascii="Times New Roman" w:cs="Times New Roman" w:eastAsia="Times New Roman" w:hAnsi="Times New Roman"/>
          <w:sz w:val="18"/>
          <w:szCs w:val="18"/>
          <w:color w:val="auto"/>
        </w:rPr>
      </w:pPr>
    </w:p>
    <w:p>
      <w:pPr>
        <w:ind w:left="1420" w:right="80" w:hanging="319"/>
        <w:spacing w:after="0" w:line="282"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uncertainty with respect to our ownership of technology or other rights, which can exist if there is a challenge to such ownership without regard to the merits of the challenge; and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market conditions generally.</w:t>
      </w:r>
    </w:p>
    <w:p>
      <w:pPr>
        <w:spacing w:after="0" w:line="225"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2" w:lineRule="exact"/>
        <w:rPr>
          <w:sz w:val="20"/>
          <w:szCs w:val="20"/>
          <w:color w:val="auto"/>
        </w:rPr>
      </w:pPr>
    </w:p>
    <w:p>
      <w:pPr>
        <w:ind w:left="120" w:right="860" w:firstLine="881"/>
        <w:spacing w:after="0" w:line="282" w:lineRule="auto"/>
        <w:rPr>
          <w:sz w:val="20"/>
          <w:szCs w:val="20"/>
          <w:color w:val="auto"/>
        </w:rPr>
      </w:pPr>
      <w:r>
        <w:rPr>
          <w:rFonts w:ascii="Times New Roman" w:cs="Times New Roman" w:eastAsia="Times New Roman" w:hAnsi="Times New Roman"/>
          <w:sz w:val="18"/>
          <w:szCs w:val="18"/>
          <w:color w:val="auto"/>
        </w:rPr>
        <w:t>Collaborations that we enter into may not be successful, and any success will depend heavily on the efforts and activities of such collaborators. Collaborations pose a number of risks, including the following:</w:t>
      </w:r>
    </w:p>
    <w:p>
      <w:pPr>
        <w:spacing w:after="0" w:line="189" w:lineRule="exact"/>
        <w:rPr>
          <w:sz w:val="20"/>
          <w:szCs w:val="20"/>
          <w:color w:val="auto"/>
        </w:rPr>
      </w:pPr>
    </w:p>
    <w:p>
      <w:pPr>
        <w:ind w:left="1420" w:right="260" w:hanging="319"/>
        <w:spacing w:after="0" w:line="282"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52" w:lineRule="exact"/>
        <w:rPr>
          <w:rFonts w:ascii="Times New Roman" w:cs="Times New Roman" w:eastAsia="Times New Roman" w:hAnsi="Times New Roman"/>
          <w:sz w:val="18"/>
          <w:szCs w:val="18"/>
          <w:color w:val="auto"/>
        </w:rPr>
      </w:pPr>
    </w:p>
    <w:p>
      <w:pPr>
        <w:ind w:left="1420" w:right="20" w:hanging="319"/>
        <w:spacing w:after="0" w:line="266"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spacing w:after="0" w:line="202" w:lineRule="exact"/>
        <w:rPr>
          <w:rFonts w:ascii="Times New Roman" w:cs="Times New Roman" w:eastAsia="Times New Roman" w:hAnsi="Times New Roman"/>
          <w:sz w:val="18"/>
          <w:szCs w:val="18"/>
          <w:color w:val="auto"/>
        </w:rPr>
      </w:pPr>
    </w:p>
    <w:p>
      <w:pPr>
        <w:ind w:left="1420" w:right="200" w:hanging="319"/>
        <w:spacing w:after="0" w:line="261"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spacing w:after="0" w:line="206" w:lineRule="exact"/>
        <w:rPr>
          <w:rFonts w:ascii="Times New Roman" w:cs="Times New Roman" w:eastAsia="Times New Roman" w:hAnsi="Times New Roman"/>
          <w:sz w:val="18"/>
          <w:szCs w:val="18"/>
          <w:color w:val="auto"/>
        </w:rPr>
      </w:pPr>
    </w:p>
    <w:p>
      <w:pPr>
        <w:jc w:val="both"/>
        <w:ind w:left="1420" w:right="540" w:hanging="319"/>
        <w:spacing w:after="0" w:line="312" w:lineRule="auto"/>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2" w:lineRule="exact"/>
        <w:rPr>
          <w:rFonts w:ascii="Times New Roman" w:cs="Times New Roman" w:eastAsia="Times New Roman" w:hAnsi="Times New Roman"/>
          <w:sz w:val="17"/>
          <w:szCs w:val="17"/>
          <w:color w:val="auto"/>
        </w:rPr>
      </w:pPr>
    </w:p>
    <w:p>
      <w:pPr>
        <w:ind w:left="5540" w:hanging="111"/>
        <w:spacing w:after="0"/>
        <w:tabs>
          <w:tab w:leader="none" w:pos="5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60" w:hanging="319"/>
        <w:spacing w:after="0" w:line="266"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202" w:lineRule="exact"/>
        <w:rPr>
          <w:rFonts w:ascii="Times New Roman" w:cs="Times New Roman" w:eastAsia="Times New Roman" w:hAnsi="Times New Roman"/>
          <w:sz w:val="18"/>
          <w:szCs w:val="18"/>
          <w:color w:val="auto"/>
        </w:rPr>
      </w:pPr>
    </w:p>
    <w:p>
      <w:pPr>
        <w:ind w:left="1420" w:right="60" w:hanging="319"/>
        <w:spacing w:after="0" w:line="266"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202" w:lineRule="exact"/>
        <w:rPr>
          <w:rFonts w:ascii="Times New Roman" w:cs="Times New Roman" w:eastAsia="Times New Roman" w:hAnsi="Times New Roman"/>
          <w:sz w:val="18"/>
          <w:szCs w:val="18"/>
          <w:color w:val="auto"/>
        </w:rPr>
      </w:pPr>
    </w:p>
    <w:p>
      <w:pPr>
        <w:ind w:left="1420" w:right="360" w:hanging="319"/>
        <w:spacing w:after="0" w:line="266"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02" w:lineRule="exact"/>
        <w:rPr>
          <w:rFonts w:ascii="Times New Roman" w:cs="Times New Roman" w:eastAsia="Times New Roman" w:hAnsi="Times New Roman"/>
          <w:sz w:val="18"/>
          <w:szCs w:val="18"/>
          <w:color w:val="auto"/>
        </w:rPr>
      </w:pPr>
    </w:p>
    <w:p>
      <w:pPr>
        <w:ind w:left="1420" w:right="300" w:hanging="319"/>
        <w:spacing w:after="0" w:line="282"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188" w:lineRule="exact"/>
        <w:rPr>
          <w:rFonts w:ascii="Times New Roman" w:cs="Times New Roman" w:eastAsia="Times New Roman" w:hAnsi="Times New Roman"/>
          <w:sz w:val="18"/>
          <w:szCs w:val="18"/>
          <w:color w:val="auto"/>
        </w:rPr>
      </w:pPr>
    </w:p>
    <w:p>
      <w:pPr>
        <w:ind w:left="1420" w:right="420" w:hanging="319"/>
        <w:spacing w:after="0" w:line="282"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seek to renegotiate or terminate their relationship with us due to unsatisfactory clinical results, manufacturing issues, a change in business strategy, a change of control or other reasons;</w:t>
      </w:r>
    </w:p>
    <w:p>
      <w:pPr>
        <w:spacing w:after="0" w:line="188" w:lineRule="exact"/>
        <w:rPr>
          <w:rFonts w:ascii="Times New Roman" w:cs="Times New Roman" w:eastAsia="Times New Roman" w:hAnsi="Times New Roman"/>
          <w:sz w:val="18"/>
          <w:szCs w:val="18"/>
          <w:color w:val="auto"/>
        </w:rPr>
      </w:pPr>
    </w:p>
    <w:p>
      <w:pPr>
        <w:ind w:left="1420" w:right="240" w:hanging="319"/>
        <w:spacing w:after="0" w:line="282"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marketing approval may not commit sufficient resources to the marketing and distribution of such product or products;</w:t>
      </w:r>
    </w:p>
    <w:p>
      <w:pPr>
        <w:spacing w:after="0" w:line="188" w:lineRule="exact"/>
        <w:rPr>
          <w:rFonts w:ascii="Times New Roman" w:cs="Times New Roman" w:eastAsia="Times New Roman" w:hAnsi="Times New Roman"/>
          <w:sz w:val="18"/>
          <w:szCs w:val="18"/>
          <w:color w:val="auto"/>
        </w:rPr>
      </w:pPr>
    </w:p>
    <w:p>
      <w:pPr>
        <w:ind w:left="1420" w:hanging="319"/>
        <w:spacing w:after="0" w:line="261"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06" w:lineRule="exact"/>
        <w:rPr>
          <w:rFonts w:ascii="Times New Roman" w:cs="Times New Roman" w:eastAsia="Times New Roman" w:hAnsi="Times New Roman"/>
          <w:sz w:val="18"/>
          <w:szCs w:val="18"/>
          <w:color w:val="auto"/>
        </w:rPr>
      </w:pPr>
    </w:p>
    <w:p>
      <w:pPr>
        <w:ind w:left="1420" w:right="40" w:hanging="319"/>
        <w:spacing w:after="0" w:line="266"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252" w:lineRule="exact"/>
        <w:rPr>
          <w:rFonts w:ascii="Times New Roman" w:cs="Times New Roman" w:eastAsia="Times New Roman" w:hAnsi="Times New Roman"/>
          <w:sz w:val="18"/>
          <w:szCs w:val="18"/>
          <w:color w:val="auto"/>
        </w:rPr>
      </w:pPr>
    </w:p>
    <w:p>
      <w:pPr>
        <w:ind w:left="1420" w:right="260" w:hanging="319"/>
        <w:spacing w:after="0" w:line="282"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188" w:lineRule="exact"/>
        <w:rPr>
          <w:rFonts w:ascii="Times New Roman" w:cs="Times New Roman" w:eastAsia="Times New Roman" w:hAnsi="Times New Roman"/>
          <w:sz w:val="18"/>
          <w:szCs w:val="18"/>
          <w:color w:val="auto"/>
        </w:rPr>
      </w:pPr>
    </w:p>
    <w:p>
      <w:pPr>
        <w:ind w:left="1420" w:right="160" w:hanging="319"/>
        <w:spacing w:after="0" w:line="282"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prospectus also apply to the activities of our collaborators.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spacing w:after="0" w:line="136" w:lineRule="exact"/>
        <w:rPr>
          <w:sz w:val="20"/>
          <w:szCs w:val="20"/>
          <w:color w:val="auto"/>
        </w:rPr>
      </w:pPr>
    </w:p>
    <w:p>
      <w:pPr>
        <w:jc w:val="both"/>
        <w:ind w:left="120" w:right="280" w:firstLine="881"/>
        <w:spacing w:after="0" w:line="289" w:lineRule="auto"/>
        <w:rPr>
          <w:sz w:val="20"/>
          <w:szCs w:val="20"/>
          <w:color w:val="auto"/>
        </w:rPr>
      </w:pPr>
      <w:r>
        <w:rPr>
          <w:rFonts w:ascii="Times New Roman" w:cs="Times New Roman" w:eastAsia="Times New Roman" w:hAnsi="Times New Roman"/>
          <w:sz w:val="17"/>
          <w:szCs w:val="17"/>
          <w:color w:val="auto"/>
        </w:rPr>
        <w:t>In addition to the Elanco Agreement,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spacing w:after="0" w:line="158"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3"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3"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2"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If we enter into in-bound intellectual property license agreements, we may not be able to fully protect the licensed intellectual property rights or maintain those licenses. In the Elanco Agreement,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94"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In addition to the above risks, intellectual property rights that we license in the future may include sublicenses under intellectual property owned by third parties, in some cases through multiple tiers. The actions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252" w:lineRule="exact"/>
        <w:rPr>
          <w:sz w:val="20"/>
          <w:szCs w:val="20"/>
          <w:color w:val="auto"/>
        </w:rPr>
      </w:pPr>
    </w:p>
    <w:p>
      <w:pPr>
        <w:ind w:left="1420" w:hanging="31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252" w:lineRule="exact"/>
        <w:rPr>
          <w:rFonts w:ascii="Times New Roman" w:cs="Times New Roman" w:eastAsia="Times New Roman" w:hAnsi="Times New Roman"/>
          <w:sz w:val="18"/>
          <w:szCs w:val="18"/>
          <w:color w:val="auto"/>
        </w:rPr>
      </w:pPr>
    </w:p>
    <w:p>
      <w:pPr>
        <w:ind w:left="1420" w:right="280" w:hanging="319"/>
        <w:spacing w:after="0" w:line="282"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52" w:lineRule="exact"/>
        <w:rPr>
          <w:rFonts w:ascii="Times New Roman" w:cs="Times New Roman" w:eastAsia="Times New Roman" w:hAnsi="Times New Roman"/>
          <w:sz w:val="18"/>
          <w:szCs w:val="18"/>
          <w:color w:val="auto"/>
        </w:rPr>
      </w:pPr>
    </w:p>
    <w:p>
      <w:pPr>
        <w:ind w:left="1420" w:right="300" w:hanging="319"/>
        <w:spacing w:after="0" w:line="282"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85"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spacing w:after="0" w:line="1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have pending U.S. and foreign patent applications in our portfolio, however, we cannot predict:</w:t>
      </w:r>
    </w:p>
    <w:p>
      <w:pPr>
        <w:spacing w:after="0" w:line="252" w:lineRule="exact"/>
        <w:rPr>
          <w:sz w:val="20"/>
          <w:szCs w:val="20"/>
          <w:color w:val="auto"/>
        </w:rPr>
      </w:pPr>
    </w:p>
    <w:p>
      <w:pPr>
        <w:ind w:left="1420" w:hanging="319"/>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patent applications will provide protection against competitors;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82" w:lineRule="auto"/>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 and/or</w:t>
      </w:r>
    </w:p>
    <w:p>
      <w:pPr>
        <w:spacing w:after="0" w:line="188"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or in-license will result in issued patents with claims that cover our product candidates or uses thereof in the United States or in other foreign countries.</w:t>
      </w:r>
    </w:p>
    <w:p>
      <w:pPr>
        <w:spacing w:after="0" w:line="162"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cannot be certain that the claims in our pending patent applications directed to our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188"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spacing w:after="0" w:line="159"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0"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spacing w:after="0" w:line="18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we may develop, our business may be materially harmed.</w:t>
      </w:r>
    </w:p>
    <w:p>
      <w:pPr>
        <w:spacing w:after="0" w:line="229" w:lineRule="exact"/>
        <w:rPr>
          <w:sz w:val="20"/>
          <w:szCs w:val="20"/>
          <w:color w:val="auto"/>
        </w:rPr>
      </w:pPr>
    </w:p>
    <w:p>
      <w:pPr>
        <w:ind w:left="120" w:right="20" w:firstLine="881"/>
        <w:spacing w:after="0" w:line="252" w:lineRule="auto"/>
        <w:rPr>
          <w:sz w:val="20"/>
          <w:szCs w:val="20"/>
          <w:color w:val="auto"/>
        </w:rPr>
      </w:pPr>
      <w:r>
        <w:rPr>
          <w:rFonts w:ascii="Times New Roman" w:cs="Times New Roman" w:eastAsia="Times New Roman" w:hAnsi="Times New Roman"/>
          <w:sz w:val="18"/>
          <w:szCs w:val="18"/>
          <w:color w:val="auto"/>
        </w:rPr>
        <w:t>In the United States,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or other contractors or consultants, may fail or suffer security breaches, loss or leakage of data, and other disruptions,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180"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83"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third-party CROs and other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drug candidates could be delayed.</w:t>
      </w:r>
    </w:p>
    <w:p>
      <w:pPr>
        <w:spacing w:after="0" w:line="188" w:lineRule="exact"/>
        <w:rPr>
          <w:sz w:val="20"/>
          <w:szCs w:val="20"/>
          <w:color w:val="auto"/>
        </w:rPr>
      </w:pPr>
    </w:p>
    <w:p>
      <w:pPr>
        <w:ind w:left="120" w:right="40" w:firstLine="881"/>
        <w:spacing w:after="0" w:line="252"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which could result in significant legal and financial exposure and reputational damages that could potentially have an adverse effect on our business.</w:t>
      </w:r>
    </w:p>
    <w:p>
      <w:pPr>
        <w:spacing w:after="0" w:line="193"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59" w:lineRule="exact"/>
        <w:rPr>
          <w:sz w:val="20"/>
          <w:szCs w:val="20"/>
          <w:color w:val="auto"/>
        </w:rPr>
      </w:pPr>
    </w:p>
    <w:p>
      <w:pPr>
        <w:jc w:val="both"/>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188"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229"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159" w:lineRule="exact"/>
        <w:rPr>
          <w:sz w:val="20"/>
          <w:szCs w:val="20"/>
          <w:color w:val="auto"/>
        </w:rPr>
      </w:pPr>
    </w:p>
    <w:p>
      <w:pPr>
        <w:ind w:left="120" w:right="20" w:firstLine="881"/>
        <w:spacing w:after="0" w:line="252"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Recent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7"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0"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United States. As such, we may not be able to prevent third parties from practicing our inventions in all countries outside the United States, or from selling or importing products made using our inventions in and into the United States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from practicing our inventions in all countries outside the United States, or from selling or importing products made using our inventions in and into the United States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83"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trade secret and proprietary know how which can be difficult to trace and enforce, and if we are unable to protect the confidentiality of our trade secrets, our business and competitive position would be harmed.</w:t>
      </w:r>
    </w:p>
    <w:p>
      <w:pPr>
        <w:spacing w:after="0" w:line="159" w:lineRule="exact"/>
        <w:rPr>
          <w:sz w:val="20"/>
          <w:szCs w:val="20"/>
          <w:color w:val="auto"/>
        </w:rPr>
      </w:pPr>
    </w:p>
    <w:p>
      <w:pPr>
        <w:ind w:left="120" w:right="40" w:firstLine="881"/>
        <w:spacing w:after="0" w:line="273" w:lineRule="auto"/>
        <w:rPr>
          <w:sz w:val="20"/>
          <w:szCs w:val="20"/>
          <w:color w:val="auto"/>
        </w:rPr>
      </w:pPr>
      <w:r>
        <w:rPr>
          <w:rFonts w:ascii="Times New Roman" w:cs="Times New Roman" w:eastAsia="Times New Roman" w:hAnsi="Times New Roman"/>
          <w:sz w:val="17"/>
          <w:szCs w:val="17"/>
          <w:color w:val="auto"/>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171" w:lineRule="exact"/>
        <w:rPr>
          <w:sz w:val="20"/>
          <w:szCs w:val="20"/>
          <w:color w:val="auto"/>
        </w:rPr>
      </w:pPr>
    </w:p>
    <w:p>
      <w:pPr>
        <w:ind w:left="120" w:right="40" w:firstLine="881"/>
        <w:spacing w:after="0" w:line="252" w:lineRule="auto"/>
        <w:rPr>
          <w:sz w:val="20"/>
          <w:szCs w:val="20"/>
          <w:color w:val="auto"/>
        </w:rPr>
      </w:pPr>
      <w:r>
        <w:rPr>
          <w:rFonts w:ascii="Times New Roman" w:cs="Times New Roman" w:eastAsia="Times New Roman" w:hAnsi="Times New Roman"/>
          <w:sz w:val="18"/>
          <w:szCs w:val="18"/>
          <w:color w:val="auto"/>
        </w:rPr>
        <w:t>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5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89" w:lineRule="exact"/>
        <w:rPr>
          <w:sz w:val="20"/>
          <w:szCs w:val="20"/>
          <w:color w:val="auto"/>
        </w:rPr>
      </w:pPr>
    </w:p>
    <w:p>
      <w:pPr>
        <w:ind w:left="1420" w:right="260" w:hanging="319"/>
        <w:spacing w:after="0" w:line="282" w:lineRule="auto"/>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 or have exclusively licensed;</w:t>
      </w:r>
    </w:p>
    <w:p>
      <w:pPr>
        <w:spacing w:after="0" w:line="188" w:lineRule="exact"/>
        <w:rPr>
          <w:rFonts w:ascii="Times New Roman" w:cs="Times New Roman" w:eastAsia="Times New Roman" w:hAnsi="Times New Roman"/>
          <w:sz w:val="18"/>
          <w:szCs w:val="18"/>
          <w:color w:val="auto"/>
        </w:rPr>
      </w:pPr>
    </w:p>
    <w:p>
      <w:pPr>
        <w:ind w:left="1420" w:right="540" w:hanging="319"/>
        <w:spacing w:after="0" w:line="282" w:lineRule="auto"/>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inventions;</w:t>
      </w:r>
    </w:p>
    <w:p>
      <w:pPr>
        <w:spacing w:after="0" w:line="252" w:lineRule="exact"/>
        <w:rPr>
          <w:rFonts w:ascii="Times New Roman" w:cs="Times New Roman" w:eastAsia="Times New Roman" w:hAnsi="Times New Roman"/>
          <w:sz w:val="18"/>
          <w:szCs w:val="18"/>
          <w:color w:val="auto"/>
        </w:rPr>
      </w:pPr>
    </w:p>
    <w:p>
      <w:pPr>
        <w:ind w:left="1420" w:right="380" w:hanging="319"/>
        <w:spacing w:after="0" w:line="282" w:lineRule="auto"/>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252" w:lineRule="exact"/>
        <w:rPr>
          <w:rFonts w:ascii="Times New Roman" w:cs="Times New Roman" w:eastAsia="Times New Roman" w:hAnsi="Times New Roman"/>
          <w:sz w:val="18"/>
          <w:szCs w:val="18"/>
          <w:color w:val="auto"/>
        </w:rPr>
      </w:pPr>
    </w:p>
    <w:p>
      <w:pPr>
        <w:ind w:left="1420" w:right="180" w:hanging="319"/>
        <w:spacing w:after="0" w:line="282" w:lineRule="auto"/>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be held invalid or unenforceable, as a result of legal challenges by our competitors;</w:t>
      </w:r>
    </w:p>
    <w:p>
      <w:pPr>
        <w:spacing w:after="0" w:line="188" w:lineRule="exact"/>
        <w:rPr>
          <w:rFonts w:ascii="Times New Roman" w:cs="Times New Roman" w:eastAsia="Times New Roman" w:hAnsi="Times New Roman"/>
          <w:sz w:val="18"/>
          <w:szCs w:val="18"/>
          <w:color w:val="auto"/>
        </w:rPr>
      </w:pPr>
    </w:p>
    <w:p>
      <w:pPr>
        <w:ind w:left="1420" w:right="140" w:hanging="319"/>
        <w:spacing w:after="0" w:line="282" w:lineRule="auto"/>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88" w:lineRule="exact"/>
        <w:rPr>
          <w:rFonts w:ascii="Times New Roman" w:cs="Times New Roman" w:eastAsia="Times New Roman" w:hAnsi="Times New Roman"/>
          <w:sz w:val="18"/>
          <w:szCs w:val="18"/>
          <w:color w:val="auto"/>
        </w:rPr>
      </w:pPr>
    </w:p>
    <w:p>
      <w:pPr>
        <w:ind w:left="1420" w:right="220" w:hanging="319"/>
        <w:spacing w:after="0" w:line="282" w:lineRule="auto"/>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188" w:lineRule="exact"/>
        <w:rPr>
          <w:rFonts w:ascii="Times New Roman" w:cs="Times New Roman" w:eastAsia="Times New Roman" w:hAnsi="Times New Roman"/>
          <w:sz w:val="18"/>
          <w:szCs w:val="18"/>
          <w:color w:val="auto"/>
        </w:rPr>
      </w:pPr>
    </w:p>
    <w:p>
      <w:pPr>
        <w:ind w:left="1420" w:right="400" w:hanging="319"/>
        <w:spacing w:after="0" w:line="282" w:lineRule="auto"/>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ectPr>
          <w:pgSz w:w="11900" w:h="16838" w:orient="portrait"/>
          <w:cols w:equalWidth="0" w:num="1">
            <w:col w:w="11060"/>
          </w:cols>
          <w:pgMar w:left="320" w:top="455" w:right="51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82" w:lineRule="auto"/>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Supreme Court of the United States, other U.S. federal courts, Congress, the USPTO or similar foreign authorities may change the standards of patentability and any such changes could narrow or invalidate, or change the scope of, our or our licensors’ patents;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our product candidates for an adequate amount of time;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252" w:lineRule="exact"/>
        <w:rPr>
          <w:rFonts w:ascii="Times New Roman" w:cs="Times New Roman" w:eastAsia="Times New Roman" w:hAnsi="Times New Roman"/>
          <w:sz w:val="18"/>
          <w:szCs w:val="18"/>
          <w:color w:val="auto"/>
        </w:rPr>
      </w:pPr>
    </w:p>
    <w:p>
      <w:pPr>
        <w:ind w:left="1420" w:right="60" w:hanging="319"/>
        <w:spacing w:after="0" w:line="282" w:lineRule="auto"/>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188" w:lineRule="exact"/>
        <w:rPr>
          <w:rFonts w:ascii="Times New Roman" w:cs="Times New Roman" w:eastAsia="Times New Roman" w:hAnsi="Times New Roman"/>
          <w:sz w:val="18"/>
          <w:szCs w:val="18"/>
          <w:color w:val="auto"/>
        </w:rPr>
      </w:pPr>
    </w:p>
    <w:p>
      <w:pPr>
        <w:ind w:left="1420" w:right="260" w:hanging="319"/>
        <w:spacing w:after="0" w:line="282" w:lineRule="auto"/>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and preclinical programs for an adequate amount of time.</w:t>
      </w:r>
    </w:p>
    <w:p>
      <w:pPr>
        <w:spacing w:after="0" w:line="15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Patent rights are of limited duration. In the United States,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59" w:lineRule="exact"/>
        <w:rPr>
          <w:sz w:val="20"/>
          <w:szCs w:val="20"/>
          <w:color w:val="auto"/>
        </w:rPr>
      </w:pPr>
    </w:p>
    <w:p>
      <w:pPr>
        <w:ind w:left="120" w:right="380" w:firstLine="881"/>
        <w:spacing w:after="0" w:line="282" w:lineRule="auto"/>
        <w:rPr>
          <w:sz w:val="20"/>
          <w:szCs w:val="20"/>
          <w:color w:val="auto"/>
        </w:rPr>
      </w:pPr>
      <w:r>
        <w:rPr>
          <w:rFonts w:ascii="Times New Roman" w:cs="Times New Roman" w:eastAsia="Times New Roman" w:hAnsi="Times New Roman"/>
          <w:sz w:val="18"/>
          <w:szCs w:val="18"/>
          <w:color w:val="auto"/>
        </w:rPr>
        <w:t>Any product candidates we develop and the activities associated with their development and commercialization, including their design, testing, manufacture, safety, efficacy, recordkeeping, labeling,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expect to rely on third-party contract research organizations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215" w:lineRule="exact"/>
        <w:rPr>
          <w:sz w:val="20"/>
          <w:szCs w:val="20"/>
          <w:color w:val="auto"/>
        </w:rPr>
      </w:pPr>
    </w:p>
    <w:p>
      <w:pPr>
        <w:ind w:left="1420" w:right="360" w:hanging="319"/>
        <w:spacing w:after="0" w:line="282"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preclinical study or clinical trial may fail to produce safety and efficacy results satisfactory to the FDA or comparable foreign regulatory authorities;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data can be interpreted in different ways, which could delay, limit or prevent marketing approval;</w:t>
      </w:r>
    </w:p>
    <w:p>
      <w:pPr>
        <w:spacing w:after="0" w:line="252" w:lineRule="exact"/>
        <w:rPr>
          <w:rFonts w:ascii="Times New Roman" w:cs="Times New Roman" w:eastAsia="Times New Roman" w:hAnsi="Times New Roman"/>
          <w:sz w:val="18"/>
          <w:szCs w:val="18"/>
          <w:color w:val="auto"/>
        </w:rPr>
      </w:pPr>
    </w:p>
    <w:p>
      <w:pPr>
        <w:ind w:left="1420" w:hanging="319"/>
        <w:spacing w:after="0" w:line="266"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spacing w:after="0" w:line="202" w:lineRule="exact"/>
        <w:rPr>
          <w:rFonts w:ascii="Times New Roman" w:cs="Times New Roman" w:eastAsia="Times New Roman" w:hAnsi="Times New Roman"/>
          <w:sz w:val="18"/>
          <w:szCs w:val="18"/>
          <w:color w:val="auto"/>
        </w:rPr>
      </w:pPr>
    </w:p>
    <w:p>
      <w:pPr>
        <w:ind w:left="1420" w:right="100" w:hanging="319"/>
        <w:spacing w:after="0" w:line="282"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88" w:lineRule="exact"/>
        <w:rPr>
          <w:rFonts w:ascii="Times New Roman" w:cs="Times New Roman" w:eastAsia="Times New Roman" w:hAnsi="Times New Roman"/>
          <w:sz w:val="18"/>
          <w:szCs w:val="18"/>
          <w:color w:val="auto"/>
        </w:rPr>
      </w:pPr>
    </w:p>
    <w:p>
      <w:pPr>
        <w:ind w:left="1420" w:right="20" w:hanging="319"/>
        <w:spacing w:after="0" w:line="266"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202" w:lineRule="exact"/>
        <w:rPr>
          <w:rFonts w:ascii="Times New Roman" w:cs="Times New Roman" w:eastAsia="Times New Roman" w:hAnsi="Times New Roman"/>
          <w:sz w:val="18"/>
          <w:szCs w:val="18"/>
          <w:color w:val="auto"/>
        </w:rPr>
      </w:pPr>
    </w:p>
    <w:p>
      <w:pPr>
        <w:ind w:left="1420" w:right="20" w:hanging="319"/>
        <w:spacing w:after="0" w:line="266"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spacing w:after="0" w:line="176"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 and implementing regulations, as well as changes in healthcare policy, may impact our business in ways that we cannot currently predict, and may have a significant adverse effect on our business and results of operations.</w:t>
      </w:r>
    </w:p>
    <w:p>
      <w:pPr>
        <w:spacing w:after="0" w:line="159" w:lineRule="exact"/>
        <w:rPr>
          <w:sz w:val="20"/>
          <w:szCs w:val="20"/>
          <w:color w:val="auto"/>
        </w:rPr>
      </w:pPr>
    </w:p>
    <w:p>
      <w:pPr>
        <w:ind w:left="120" w:right="240" w:firstLine="881"/>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impact pricing and reimbursement and affect our ability to profitably sell any product candidates for which we obtain marketing approval. Among policy makers and payors both federally and on the state level in the United States and elsewhere, including in the European Union,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9" w:lineRule="exact"/>
        <w:rPr>
          <w:sz w:val="20"/>
          <w:szCs w:val="20"/>
          <w:color w:val="auto"/>
        </w:rPr>
      </w:pPr>
    </w:p>
    <w:p>
      <w:pPr>
        <w:ind w:left="120" w:right="200" w:firstLine="881"/>
        <w:spacing w:after="0" w:line="267" w:lineRule="auto"/>
        <w:rPr>
          <w:sz w:val="20"/>
          <w:szCs w:val="20"/>
          <w:color w:val="auto"/>
        </w:rPr>
      </w:pPr>
      <w:r>
        <w:rPr>
          <w:rFonts w:ascii="Times New Roman" w:cs="Times New Roman" w:eastAsia="Times New Roman" w:hAnsi="Times New Roman"/>
          <w:sz w:val="17"/>
          <w:szCs w:val="17"/>
          <w:color w:val="auto"/>
        </w:rPr>
        <w:t>The Affordable Care Act substantially changed the way healthcare is financed by both the government and private insurers, and significantly impacts the U.S. pharmaceutical industry. The Affordable Care Act,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drug pricing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w:t>
      </w:r>
    </w:p>
    <w:p>
      <w:pPr>
        <w:spacing w:after="0" w:line="5" w:lineRule="exact"/>
        <w:rPr>
          <w:sz w:val="20"/>
          <w:szCs w:val="20"/>
          <w:color w:val="auto"/>
        </w:rPr>
      </w:pPr>
    </w:p>
    <w:p>
      <w:pPr>
        <w:ind w:left="120" w:right="60" w:hanging="4"/>
        <w:spacing w:after="0" w:line="253" w:lineRule="auto"/>
        <w:tabs>
          <w:tab w:leader="none" w:pos="4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CMMI, at the Centers for Medicare &amp; Medicaid Services, or CMS, to test innovative payment and service delivery models to lower Medicare and Medicaid spending, potentially including prescription drug spending.</w:t>
      </w:r>
    </w:p>
    <w:p>
      <w:pPr>
        <w:spacing w:after="0" w:line="187"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Since its enactment, there have been judicial challenges to certain aspects of the Affordable Care Act, as well as efforts by Congress to repeal or replace, and the Trump administration to alter the implementation of, certain aspects of the Affordable Care Act. For example, the Tax Cuts and Jobs Act of 2017, or the TCJA,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federal district court in Texas ruled the individual mandate in the absence of the tax penalty is unconstitutional and, because it is a critical and inseverable feature of the Affordable Care Act, the remaining provisions of the Affordable Care Act are invalid as well. On December 18, 2019, the U.S. Court of Appeals for the Fifth Circuit affirmed the District Court’s ruling but remanded the case back to the District Court as to the question of severability. On March 2, 2020, the United States Supreme Court granted certiorari to review this case, which is expected to be decided by mid-2021. Additionally, the Further Consolidated Appropriations Act of 2020, Pub. L. No. 116-94 permanently eliminated, effective January 1, 2020, the Affordable Care Act -mandated “Cadillac” tax on high-cost employer-sponsored health coverage and the medical device excise tax on non-exempt medical devices and, effective January 1, 2021, also eliminates the annual fee imposed on certain health insurance providers based on market share. Further, the Bipartisan Budget Act of 2018, among other things, amended the Affordable Care Act, effective January 1, 2019, to increase from 50 percent to 70 percent the point-of-sale discount that is owed by pharmaceutical manufacturers who participate in Medicare Part D and to close the coverage gap in most</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Medicare drug plans, commonly referred to as the “donut hole.” In the future, Congress may consider other legislation to repeal or replace elements of the Affordable Care Act, agencies may further alter their implementation of elements of the Affordable Care Act, and other judicial challenges to elements of the Affordable Care Act may be brought. The extent to which any such changes may impact our business or financial condition is uncertain.</w:t>
      </w:r>
    </w:p>
    <w:p>
      <w:pPr>
        <w:spacing w:after="0" w:line="158"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These changes include aggregate reductions to Medicare payments to providers of up to 2% per fiscal year pursuant to the Budget Control Act of 2011 and subsequent laws, which went into effect on April 1, 2013 and will remain in effect through 2020 unless additional Congressional action is taken, , with the exception of a temporary suspension of the 2% cut in Medicare payments from May 1, 2020, through December 31, 2020, pursuant to the Coronavirus Aid, Relief and Economic Security Act, or CARES Act, signed into law in March 2020 and designed to provide financial support and resources to individuals and businesses affected by the COVID-19 pandemic. The American Taxpayer Relief Act of 2012, or ATRA, among other things, reduced Medicare payments to several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or MACRA, which first affected physician payment in 2019. At this time, it is unclear how the introduction of the Medicare quality payment program will impact overall physician reimbursement.</w:t>
      </w:r>
    </w:p>
    <w:p>
      <w:pPr>
        <w:spacing w:after="0" w:line="190" w:lineRule="exact"/>
        <w:rPr>
          <w:sz w:val="20"/>
          <w:szCs w:val="20"/>
          <w:color w:val="auto"/>
        </w:rPr>
      </w:pPr>
    </w:p>
    <w:p>
      <w:pPr>
        <w:ind w:left="120" w:right="60" w:firstLine="881"/>
        <w:spacing w:after="0" w:line="253" w:lineRule="auto"/>
        <w:rPr>
          <w:sz w:val="20"/>
          <w:szCs w:val="20"/>
          <w:color w:val="auto"/>
        </w:rPr>
      </w:pPr>
      <w:r>
        <w:rPr>
          <w:rFonts w:ascii="Times New Roman" w:cs="Times New Roman" w:eastAsia="Times New Roman" w:hAnsi="Times New Roman"/>
          <w:sz w:val="18"/>
          <w:szCs w:val="18"/>
          <w:color w:val="auto"/>
        </w:rPr>
        <w:t>Also, 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July 24, 2020, President Trump signed several executive orders directed toward lowering drug prices. Individual states in the United States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w:t>
      </w:r>
    </w:p>
    <w:p>
      <w:pPr>
        <w:spacing w:after="0" w:line="192" w:lineRule="exact"/>
        <w:rPr>
          <w:sz w:val="20"/>
          <w:szCs w:val="20"/>
          <w:color w:val="auto"/>
        </w:rPr>
      </w:pPr>
    </w:p>
    <w:p>
      <w:pPr>
        <w:ind w:left="120" w:right="460" w:firstLine="881"/>
        <w:spacing w:after="0" w:line="258" w:lineRule="auto"/>
        <w:rPr>
          <w:sz w:val="20"/>
          <w:szCs w:val="20"/>
          <w:color w:val="auto"/>
        </w:rPr>
      </w:pPr>
      <w:r>
        <w:rPr>
          <w:rFonts w:ascii="Times New Roman" w:cs="Times New Roman" w:eastAsia="Times New Roman" w:hAnsi="Times New Roman"/>
          <w:sz w:val="18"/>
          <w:szCs w:val="18"/>
          <w:color w:val="auto"/>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hinder us in generating revenue, attaining profitability or commercializing our drugs, once marketing approval is obtained.</w:t>
      </w:r>
    </w:p>
    <w:p>
      <w:pPr>
        <w:spacing w:after="0" w:line="183"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In the European Union, coverage and reimbursement status of any product candidates for which we obtain regulatory approval are provided for by the national laws of EU Member States. The requirements may differ across the EU Member States. In markets outside of the United States and the European Union, reimbursement and healthcare payment systems vary significantly by country, and many countries have instituted price ceilings on specific products and therapies. Also, at national level, actions have been taken to enact transparency laws regarding payments between pharmaceutical companies and health care professionals.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7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spacing w:after="0" w:line="159" w:lineRule="exact"/>
        <w:rPr>
          <w:sz w:val="20"/>
          <w:szCs w:val="20"/>
          <w:color w:val="auto"/>
        </w:rPr>
      </w:pPr>
    </w:p>
    <w:p>
      <w:pPr>
        <w:ind w:left="120" w:right="160" w:firstLine="881"/>
        <w:spacing w:after="0" w:line="269" w:lineRule="auto"/>
        <w:rPr>
          <w:sz w:val="20"/>
          <w:szCs w:val="20"/>
          <w:color w:val="auto"/>
        </w:rPr>
      </w:pPr>
      <w:r>
        <w:rPr>
          <w:rFonts w:ascii="Times New Roman" w:cs="Times New Roman" w:eastAsia="Times New Roman" w:hAnsi="Times New Roman"/>
          <w:sz w:val="17"/>
          <w:szCs w:val="17"/>
          <w:color w:val="auto"/>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or</w:t>
      </w:r>
    </w:p>
    <w:p>
      <w:pPr>
        <w:spacing w:after="0" w:line="3" w:lineRule="exact"/>
        <w:rPr>
          <w:sz w:val="20"/>
          <w:szCs w:val="20"/>
          <w:color w:val="auto"/>
        </w:rPr>
      </w:pPr>
    </w:p>
    <w:p>
      <w:pPr>
        <w:ind w:left="120" w:right="20" w:hanging="4"/>
        <w:spacing w:after="0" w:line="251" w:lineRule="auto"/>
        <w:tabs>
          <w:tab w:leader="none" w:pos="4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intend to adopt a code of conduct applicable to all of our employees prior to completion of this offering,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18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176"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176"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7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spacing w:after="0" w:line="175"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ECPs and third-party payors will play a primary role in the recommendation and prescription of any future product candidates we may develop and any product candidates for which we obtain marketing approval. Our arrangements with ECPs, patients, third-party payors and customers may expose us to broadly applicable fraud and abuse and other healthcare laws and regulations that may affect our business or financial arrangements and relationships through which we would market, sell and distribute our products. As a biopharmaceutical company, federal and state healthcare laws and regulations pertaining to fraud and abuse are applicable to our business and may affect our ability to operate. These laws include, but are not limited to:</w:t>
      </w:r>
    </w:p>
    <w:p>
      <w:pPr>
        <w:spacing w:after="0" w:line="214" w:lineRule="exact"/>
        <w:rPr>
          <w:sz w:val="20"/>
          <w:szCs w:val="20"/>
          <w:color w:val="auto"/>
        </w:rPr>
      </w:pPr>
    </w:p>
    <w:p>
      <w:pPr>
        <w:ind w:left="1420" w:hanging="319"/>
        <w:spacing w:after="0" w:line="253"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Anti-Kickback Statute has also been interpreted to apply to arrangements between pharmaceutical manufacturers on the one hand and prescribers, purchasers, and formulary managers on the other the other hand. Liability under the Anti-Kickback Statute may be established without proving actual knowledge of the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exceptions and regulatory safe harbors protecting some common activities from prosecution or regulatory sanctions, the exemptions and safe harbors are drawn narrowly, and practices that do not fit squarely within an exemption or safe harbor, or for which no exception or safe harbor is available, may be subject to scrutiny;</w:t>
      </w:r>
    </w:p>
    <w:p>
      <w:pPr>
        <w:spacing w:after="0" w:line="12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60" w:hanging="319"/>
        <w:spacing w:after="0" w:line="252"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laws, such as the False Claims Act, or the FCA, which prohibits individuals or entities from, among other things, knowingly presenting, or causing to be presented, false or fraudulent claims for payment of government funds, and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FCA may be brought by the U.S. Attorney General or as a qui tam action by a private individual (a whistleblower) in the name of the government and the individual, and the whistleblower may share in any monetary recovery. Many pharmaceutical companies have been investigated and have reached substantial settlements under the federal civil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a claim including items or services resulting from a violation of the federal Anti-Kickback Statute constitutes a false or fraudulent claim for purposes of the FCA. In addition, manufacturers can be held liable under the FCA even when they do not submit claims directly to government payors if they are deemed to “cause” the submission of false or fraudulent claims. FCA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p>
      <w:pPr>
        <w:spacing w:after="0" w:line="216" w:lineRule="exact"/>
        <w:rPr>
          <w:rFonts w:ascii="Times New Roman" w:cs="Times New Roman" w:eastAsia="Times New Roman" w:hAnsi="Times New Roman"/>
          <w:sz w:val="18"/>
          <w:szCs w:val="18"/>
          <w:color w:val="auto"/>
        </w:rPr>
      </w:pPr>
    </w:p>
    <w:p>
      <w:pPr>
        <w:ind w:left="1420" w:hanging="319"/>
        <w:spacing w:after="0" w:line="254"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among other things, imposes criminal liability for knowingly or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218" w:lineRule="exact"/>
        <w:rPr>
          <w:rFonts w:ascii="Times New Roman" w:cs="Times New Roman" w:eastAsia="Times New Roman" w:hAnsi="Times New Roman"/>
          <w:sz w:val="18"/>
          <w:szCs w:val="18"/>
          <w:color w:val="auto"/>
        </w:rPr>
      </w:pPr>
    </w:p>
    <w:p>
      <w:pPr>
        <w:ind w:left="1420" w:right="140" w:hanging="319"/>
        <w:spacing w:after="0" w:line="255"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its implementing regulations, which imposes privacy, security and breach reporting obligations with respect to individually identifiable health information upon entities subject to the law, such as health plans, healthcare clearinghouses and healthcare providers and their respective business associates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2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220" w:hanging="319"/>
        <w:spacing w:after="0" w:line="282" w:lineRule="auto"/>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and unfair competition laws, which broadly regulate marketplace activities and activities that potentially harm consumers;</w:t>
      </w:r>
    </w:p>
    <w:p>
      <w:pPr>
        <w:spacing w:after="0" w:line="188" w:lineRule="exact"/>
        <w:rPr>
          <w:rFonts w:ascii="Times New Roman" w:cs="Times New Roman" w:eastAsia="Times New Roman" w:hAnsi="Times New Roman"/>
          <w:sz w:val="18"/>
          <w:szCs w:val="18"/>
          <w:color w:val="auto"/>
        </w:rPr>
      </w:pPr>
    </w:p>
    <w:p>
      <w:pPr>
        <w:ind w:left="1420" w:right="200" w:hanging="319"/>
        <w:spacing w:after="0" w:line="282" w:lineRule="auto"/>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prohibits, among other things, the adulteration or misbranding of drugs, biologics and medical devices;</w:t>
      </w:r>
    </w:p>
    <w:p>
      <w:pPr>
        <w:spacing w:after="0" w:line="188" w:lineRule="exact"/>
        <w:rPr>
          <w:rFonts w:ascii="Times New Roman" w:cs="Times New Roman" w:eastAsia="Times New Roman" w:hAnsi="Times New Roman"/>
          <w:sz w:val="18"/>
          <w:szCs w:val="18"/>
          <w:color w:val="auto"/>
        </w:rPr>
      </w:pPr>
    </w:p>
    <w:p>
      <w:pPr>
        <w:ind w:left="1420" w:right="20" w:hanging="319"/>
        <w:spacing w:after="0" w:line="254" w:lineRule="auto"/>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the Open Payments Program, requires, among other things, certain manufacturers of drugs, devices, biologics and medical supplies for which payment I available under Medicare, Medicaid, or the Children’s Health Insurance Program (with certain exceptions) to report annually to the Department of Health and Human Services, Centers for Medicare and Medicaid Services, information related to payments and other transfers of value provided to physicians (defined to include doctors, dentists, optometrists, podiatrist and chiropractors) and teaching hospitals, as well as physician ownership and investment interests, including such ownership and investment interests held by a physician’s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215" w:lineRule="exact"/>
        <w:rPr>
          <w:rFonts w:ascii="Times New Roman" w:cs="Times New Roman" w:eastAsia="Times New Roman" w:hAnsi="Times New Roman"/>
          <w:sz w:val="18"/>
          <w:szCs w:val="18"/>
          <w:color w:val="auto"/>
        </w:rPr>
      </w:pPr>
    </w:p>
    <w:p>
      <w:pPr>
        <w:ind w:left="1420" w:right="140" w:hanging="319"/>
        <w:spacing w:after="0" w:line="266" w:lineRule="auto"/>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laws, false claims laws, transparency laws and misleading advertising laws, that may impose similar or more prohibitive restrictions, and may apply to items or services reimbursed by any non-governmental third-party payors, including private insurers; and</w:t>
      </w:r>
    </w:p>
    <w:p>
      <w:pPr>
        <w:spacing w:after="0" w:line="202" w:lineRule="exact"/>
        <w:rPr>
          <w:rFonts w:ascii="Times New Roman" w:cs="Times New Roman" w:eastAsia="Times New Roman" w:hAnsi="Times New Roman"/>
          <w:sz w:val="18"/>
          <w:szCs w:val="18"/>
          <w:color w:val="auto"/>
        </w:rPr>
      </w:pPr>
    </w:p>
    <w:p>
      <w:pPr>
        <w:ind w:left="1420" w:right="60" w:hanging="319"/>
        <w:spacing w:after="0" w:line="255" w:lineRule="auto"/>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p>
      <w:pPr>
        <w:spacing w:after="0" w:line="18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We have entered into consulting and scientific advisory board arrangements with physicians and other ECPs, including some who could influence the use of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our product candidates, if approved, to be in violation of applicable laws.</w:t>
      </w:r>
    </w:p>
    <w:p>
      <w:pPr>
        <w:spacing w:after="0" w:line="183"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United States Congress continues to strengthen the arsenal of enforcement tools. The BBA of 2018 increased the criminal and civil penalties that can be imposed for violating certain federal health care laws, including the Anti-Kickback Statute. Responding to investigations can be time-and resource-consuming and can divert management’s attention from the business. Any such investigation or settlement could increase our costs or otherwise have an adverse effect on our business.</w:t>
      </w:r>
    </w:p>
    <w:p>
      <w:pPr>
        <w:spacing w:after="0" w:line="187" w:lineRule="exact"/>
        <w:rPr>
          <w:sz w:val="20"/>
          <w:szCs w:val="20"/>
          <w:color w:val="auto"/>
        </w:rPr>
      </w:pPr>
    </w:p>
    <w:p>
      <w:pPr>
        <w:ind w:left="120" w:right="320" w:firstLine="881"/>
        <w:spacing w:after="0" w:line="282" w:lineRule="auto"/>
        <w:rPr>
          <w:sz w:val="20"/>
          <w:szCs w:val="20"/>
          <w:color w:val="auto"/>
        </w:rPr>
      </w:pPr>
      <w:r>
        <w:rPr>
          <w:rFonts w:ascii="Times New Roman" w:cs="Times New Roman" w:eastAsia="Times New Roman" w:hAnsi="Times New Roman"/>
          <w:sz w:val="18"/>
          <w:szCs w:val="18"/>
          <w:color w:val="auto"/>
        </w:rPr>
        <w:t>Efforts to ensure that our collaborations or business arrangements with third parties, and our business generally, comply with applicable healthcare laws and regulations will likely be costly. It is possible that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spacing w:after="0" w:line="18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5"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 face serious consequences for violations.</w:t>
      </w:r>
    </w:p>
    <w:p>
      <w:pPr>
        <w:spacing w:after="0" w:line="207" w:lineRule="exact"/>
        <w:rPr>
          <w:sz w:val="20"/>
          <w:szCs w:val="20"/>
          <w:color w:val="auto"/>
        </w:rPr>
      </w:pPr>
    </w:p>
    <w:p>
      <w:pPr>
        <w:ind w:left="120" w:right="80" w:firstLine="881"/>
        <w:spacing w:after="0" w:line="253"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9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 product candidate,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spacing w:after="0" w:line="175"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time-consuming and costly process that could require us to provide supporting scientific, clinical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cost effectiveness data for the use of our products to the payor.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88" w:lineRule="exact"/>
        <w:rPr>
          <w:sz w:val="20"/>
          <w:szCs w:val="20"/>
          <w:color w:val="auto"/>
        </w:rPr>
      </w:pPr>
    </w:p>
    <w:p>
      <w:pPr>
        <w:jc w:val="both"/>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Third-party payors often rely upon Medicare coverage policy and payment limitations in setting reimbursement policies, but also have their own methods and approval process apart from Medicare coverage and reimbursement determinations.</w:t>
      </w:r>
    </w:p>
    <w:p>
      <w:pPr>
        <w:spacing w:after="0" w:line="176" w:lineRule="exact"/>
        <w:rPr>
          <w:sz w:val="20"/>
          <w:szCs w:val="20"/>
          <w:color w:val="auto"/>
        </w:rPr>
      </w:pPr>
    </w:p>
    <w:p>
      <w:pPr>
        <w:jc w:val="both"/>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Coverage and reimbursement by a third-party payor may depend upon a number of factors, including the third-party payor’s determination that use of a product is:</w:t>
      </w:r>
    </w:p>
    <w:p>
      <w:pPr>
        <w:spacing w:after="0" w:line="189" w:lineRule="exact"/>
        <w:rPr>
          <w:sz w:val="20"/>
          <w:szCs w:val="20"/>
          <w:color w:val="auto"/>
        </w:rPr>
      </w:pPr>
    </w:p>
    <w:p>
      <w:pPr>
        <w:ind w:left="1420" w:hanging="31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We cannot be sure that reimbursement will be available for any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Reimbursement may impact the demand for, and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spacing w:after="0" w:line="189" w:lineRule="exact"/>
        <w:rPr>
          <w:sz w:val="20"/>
          <w:szCs w:val="20"/>
          <w:color w:val="auto"/>
        </w:rPr>
      </w:pPr>
    </w:p>
    <w:p>
      <w:pPr>
        <w:ind w:left="120" w:right="320" w:firstLine="881"/>
        <w:spacing w:after="0" w:line="282"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due to the trend toward managed healthcare, the increasing influence of health maintenance organizations,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80"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Outside of the United States,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88"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spacing w:after="0" w:line="175"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92" w:lineRule="exact"/>
        <w:rPr>
          <w:sz w:val="20"/>
          <w:szCs w:val="20"/>
          <w:color w:val="auto"/>
        </w:rPr>
      </w:pPr>
    </w:p>
    <w:p>
      <w:pPr>
        <w:ind w:left="120" w:right="140" w:firstLine="881"/>
        <w:spacing w:after="0" w:line="272" w:lineRule="auto"/>
        <w:rPr>
          <w:sz w:val="20"/>
          <w:szCs w:val="20"/>
          <w:color w:val="auto"/>
        </w:rPr>
      </w:pPr>
      <w:r>
        <w:rPr>
          <w:rFonts w:ascii="Times New Roman" w:cs="Times New Roman" w:eastAsia="Times New Roman" w:hAnsi="Times New Roman"/>
          <w:sz w:val="17"/>
          <w:szCs w:val="17"/>
          <w:color w:val="auto"/>
        </w:rPr>
        <w:t>Furthermore, states are constantly adopting new laws or amending existing laws, requiring attention to frequently changing regulatory requirements. For example, California has enacted the California Consumer Privacy Act, or the CCPA, which came into effect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California Attorney General may seek substantial monetary penalties and injunctive relief in the event of our non-compliance with the CCPA. The CCPA also provides a private right of action (with the potential for class actions) for certain data breaches that is expected to increase data breach litigation. The CCPA may increase our compliance costs and potential liability, and similar laws have been proposed at the federal level and in other states.</w:t>
      </w:r>
    </w:p>
    <w:p>
      <w:pPr>
        <w:spacing w:after="0" w:line="172"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International data protection laws, including the EU General Data Protection Regulation, or GDPR, may also apply to health-related and other personal information obtained outside of the United States. The GDPR extends the geographical scope of EU data protection law to non-EU entities under certain conditions, tightens existing EU data protection principles, creates new obligations for companies and new rights for individuals. Failure to comply with the GDPR may result in substantial fines and other administrative penalties. The GDPR may increase our responsibility and liability in relation to personal data that we process and we may be required to put in place additional mechanisms to ensure compliance with the GDPR. This may be onerous and if our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 xml:space="preserve">efforts to comply with the GDPR or other applicable EU laws and regulations are not successful, it could adversely affect our business.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European Union. In particular, on July 16, 2020, the Court of Justice of the European Union, in the case of </w:t>
      </w:r>
      <w:r>
        <w:rPr>
          <w:rFonts w:ascii="Times New Roman" w:cs="Times New Roman" w:eastAsia="Times New Roman" w:hAnsi="Times New Roman"/>
          <w:sz w:val="18"/>
          <w:szCs w:val="18"/>
          <w:i w:val="1"/>
          <w:iCs w:val="1"/>
          <w:color w:val="auto"/>
        </w:rPr>
        <w:t>Data Protection Commissioner v. 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Ireland Limited, Maximillian Schrems </w:t>
      </w:r>
      <w:r>
        <w:rPr>
          <w:rFonts w:ascii="Times New Roman" w:cs="Times New Roman" w:eastAsia="Times New Roman" w:hAnsi="Times New Roman"/>
          <w:sz w:val="18"/>
          <w:szCs w:val="18"/>
          <w:color w:val="auto"/>
        </w:rPr>
        <w:t>(Case C-311/18), or</w:t>
      </w:r>
      <w:r>
        <w:rPr>
          <w:rFonts w:ascii="Times New Roman" w:cs="Times New Roman" w:eastAsia="Times New Roman" w:hAnsi="Times New Roman"/>
          <w:sz w:val="18"/>
          <w:szCs w:val="18"/>
          <w:i w:val="1"/>
          <w:iCs w:val="1"/>
          <w:color w:val="auto"/>
        </w:rPr>
        <w:t xml:space="preserve"> Schrems II</w:t>
      </w:r>
      <w:r>
        <w:rPr>
          <w:rFonts w:ascii="Times New Roman" w:cs="Times New Roman" w:eastAsia="Times New Roman" w:hAnsi="Times New Roman"/>
          <w:sz w:val="18"/>
          <w:szCs w:val="18"/>
          <w:color w:val="auto"/>
        </w:rPr>
        <w:t>, invalidated the EU-U.S. Privacy Shield Program for transfers of personal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EU to the United States, and added further uncertainty and complexity to the use of the Standard Contractual Clauses as a compliance mechanism for transfers of personal data outside the EU.</w:t>
      </w:r>
    </w:p>
    <w:p>
      <w:pPr>
        <w:spacing w:after="0" w:line="194"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transfers from the EEA to the United Kingdom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During the period of “transition” (i.e., until December 31, 2020), EU law will continue to apply in the UK, including the GDPR, after which the GDPR will be converted into UK law. Beginning in 2021, the UK will be a “third country” under the GDPR. We may incur liabilities, expenses, costs, and other operational losses under GDPR and applicable EU Member States and the United Kingdom privacy laws in connection with any measures we take to comply with them.</w:t>
      </w:r>
    </w:p>
    <w:p>
      <w:pPr>
        <w:spacing w:after="0" w:line="192"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spacing w:after="0" w:line="183" w:lineRule="exact"/>
        <w:rPr>
          <w:sz w:val="20"/>
          <w:szCs w:val="20"/>
          <w:color w:val="auto"/>
        </w:rPr>
      </w:pPr>
    </w:p>
    <w:p>
      <w:pPr>
        <w:ind w:left="120" w:right="1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able to successfully commercialize any of our products and if we participate in the Medicaid Drug Rebate Program or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spacing w:after="0" w:line="157" w:lineRule="exact"/>
        <w:rPr>
          <w:sz w:val="20"/>
          <w:szCs w:val="20"/>
          <w:color w:val="auto"/>
        </w:rPr>
      </w:pPr>
    </w:p>
    <w:p>
      <w:pPr>
        <w:jc w:val="both"/>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176"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83"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In addition, in order to be eligible to have its products paid for with federal funds under the Medicaid and Medicare Part B programs and purchased by certain federal agencies and grantees, a manufacturer also must participate in the U.S. Department of Veterans Affairs, or VA, Federal Supply Schedule, or FSS, pricing program. Under this program, the manufacturer is obligated to make its innovator and single source products available for procurement on an FSS contract and charge a price to four federal agencies, U.S. Department of Veterans Affairs, U.S. Department of Defense, or the DoD, Public Health Service and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192" w:lineRule="exact"/>
        <w:rPr>
          <w:sz w:val="20"/>
          <w:szCs w:val="20"/>
          <w:color w:val="auto"/>
        </w:rPr>
      </w:pPr>
    </w:p>
    <w:p>
      <w:pPr>
        <w:jc w:val="both"/>
        <w:ind w:left="120" w:right="120" w:firstLine="881"/>
        <w:spacing w:after="0" w:line="281" w:lineRule="auto"/>
        <w:rPr>
          <w:sz w:val="20"/>
          <w:szCs w:val="20"/>
          <w:color w:val="auto"/>
        </w:rPr>
      </w:pPr>
      <w:r>
        <w:rPr>
          <w:rFonts w:ascii="Times New Roman" w:cs="Times New Roman" w:eastAsia="Times New Roman" w:hAnsi="Times New Roman"/>
          <w:sz w:val="17"/>
          <w:szCs w:val="17"/>
          <w:color w:val="auto"/>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to this Offering</w:t>
      </w:r>
    </w:p>
    <w:p>
      <w:pPr>
        <w:spacing w:after="0" w:line="225" w:lineRule="exact"/>
        <w:rPr>
          <w:sz w:val="20"/>
          <w:szCs w:val="20"/>
          <w:color w:val="auto"/>
        </w:rPr>
      </w:pPr>
    </w:p>
    <w:p>
      <w:pPr>
        <w:jc w:val="both"/>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the stock price of our common stock may be volatile or may decline regardless of our operating performance and you may not be able to resell your shares at or above the initial public offering price.</w:t>
      </w:r>
    </w:p>
    <w:p>
      <w:pPr>
        <w:spacing w:after="0" w:line="15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There has been no public market for our common stock prior to this offering. The initial public offering price for our common stock will be determined through negotiations between the underwriters and us and may vary from the market price of our common stock following this offering. If you purchase shares of our common stock in this offering, you may not be able to resell those shares at or above the initial public offering price. An active or liquid market in our common stock may not develop upon the completion of this offering or, if it does develop, it may not be sustainable. The market price of our common stock may fluctuate significantly in response to numerous factors, many of which are beyond our control, including:</w:t>
      </w:r>
    </w:p>
    <w:p>
      <w:pPr>
        <w:spacing w:after="0" w:line="210" w:lineRule="exact"/>
        <w:rPr>
          <w:sz w:val="20"/>
          <w:szCs w:val="20"/>
          <w:color w:val="auto"/>
        </w:rPr>
      </w:pPr>
    </w:p>
    <w:p>
      <w:pPr>
        <w:ind w:left="1420" w:hanging="31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performance of other similar companies;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our ongoing clinical trials and future clinical trials with our current and future product candidates or of our competitors;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the ultimate completion of clinical trials;</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900" w:hanging="319"/>
        <w:spacing w:after="0" w:line="282"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future product candidates or clinical development programs;</w:t>
      </w:r>
    </w:p>
    <w:p>
      <w:pPr>
        <w:spacing w:after="0" w:line="252" w:lineRule="exact"/>
        <w:rPr>
          <w:rFonts w:ascii="Times New Roman" w:cs="Times New Roman" w:eastAsia="Times New Roman" w:hAnsi="Times New Roman"/>
          <w:sz w:val="18"/>
          <w:szCs w:val="18"/>
          <w:color w:val="auto"/>
        </w:rPr>
      </w:pPr>
    </w:p>
    <w:p>
      <w:pPr>
        <w:ind w:left="1420" w:right="640" w:hanging="319"/>
        <w:spacing w:after="0" w:line="282"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achieve product development or commercialization goals or regulatory approval milestones in the timeframe we announce;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hospital or ECP practices;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strategic alliances or significant agreements by us or by our competitors;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economy as a whole and market conditions in our industry, including conditions resulting from COVID-19;</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 or inability to obtain additional funding;</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by a limited number of stockholders who together beneficially own a majority of our outstanding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market standoff or contractual lock-up agreements;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market float;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discussed in this prospectus.</w:t>
      </w:r>
    </w:p>
    <w:p>
      <w:pPr>
        <w:spacing w:after="0" w:line="225"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79"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Securities and industry analysts do not currently, and may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in this offering, you will experience substantial and immediate dilution.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If you purchase shares of our common stock in this offering, you will experience substantial and immediate dilution in the pro forma net</w:t>
      </w:r>
    </w:p>
    <w:p>
      <w:pPr>
        <w:spacing w:after="0" w:line="27" w:lineRule="exact"/>
        <w:rPr>
          <w:sz w:val="20"/>
          <w:szCs w:val="20"/>
          <w:color w:val="auto"/>
        </w:rPr>
      </w:pPr>
    </w:p>
    <w:p>
      <w:pPr>
        <w:ind w:left="120"/>
        <w:spacing w:after="0"/>
        <w:tabs>
          <w:tab w:leader="none" w:pos="3120" w:val="left"/>
        </w:tabs>
        <w:rPr>
          <w:sz w:val="20"/>
          <w:szCs w:val="20"/>
          <w:color w:val="auto"/>
        </w:rPr>
      </w:pPr>
      <w:r>
        <w:rPr>
          <w:rFonts w:ascii="Times New Roman" w:cs="Times New Roman" w:eastAsia="Times New Roman" w:hAnsi="Times New Roman"/>
          <w:sz w:val="18"/>
          <w:szCs w:val="18"/>
          <w:color w:val="auto"/>
        </w:rPr>
        <w:t>tangible book value per share of $</w:t>
      </w:r>
      <w:r>
        <w:rPr>
          <w:sz w:val="20"/>
          <w:szCs w:val="20"/>
          <w:color w:val="auto"/>
        </w:rPr>
        <w:tab/>
      </w:r>
      <w:r>
        <w:rPr>
          <w:rFonts w:ascii="Times New Roman" w:cs="Times New Roman" w:eastAsia="Times New Roman" w:hAnsi="Times New Roman"/>
          <w:sz w:val="17"/>
          <w:szCs w:val="17"/>
          <w:color w:val="auto"/>
        </w:rPr>
        <w:t>per share as of June 30, 2020, based on an assumed initial public offering price of our common stock of</w:t>
      </w:r>
    </w:p>
    <w:p>
      <w:pPr>
        <w:spacing w:after="0" w:line="9" w:lineRule="exact"/>
        <w:rPr>
          <w:sz w:val="20"/>
          <w:szCs w:val="20"/>
          <w:color w:val="auto"/>
        </w:rPr>
      </w:pPr>
    </w:p>
    <w:p>
      <w:pPr>
        <w:ind w:left="120" w:right="80" w:hanging="4"/>
        <w:spacing w:after="0" w:line="252" w:lineRule="auto"/>
        <w:tabs>
          <w:tab w:leader="none" w:pos="7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price range on the cover page of this prospectus, because the price that you pay will be substantially greater than the pro forma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upon exercise of options to purchase common stock under our equity incentive plans, upon vesting of options to purchase common stock under our equity incentive plans, if we issue restricted stock to our employees under our equity incentive plans or if we otherwise issue additional shares of our common stock.</w:t>
      </w:r>
    </w:p>
    <w:p>
      <w:pPr>
        <w:spacing w:after="0" w:line="18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amounts of our outstanding shares may be sold into the market when lock-up periods end. If there are substantial sales of shares of our common stock, the price of our common stock could decline.</w:t>
      </w:r>
    </w:p>
    <w:p>
      <w:pPr>
        <w:spacing w:after="0" w:line="159" w:lineRule="exact"/>
        <w:rPr>
          <w:sz w:val="20"/>
          <w:szCs w:val="20"/>
          <w:color w:val="auto"/>
        </w:rPr>
      </w:pPr>
    </w:p>
    <w:p>
      <w:pPr>
        <w:ind w:left="120" w:right="200" w:firstLine="881"/>
        <w:spacing w:after="0" w:line="276" w:lineRule="auto"/>
        <w:rPr>
          <w:sz w:val="20"/>
          <w:szCs w:val="20"/>
          <w:color w:val="auto"/>
        </w:rPr>
      </w:pPr>
      <w:r>
        <w:rPr>
          <w:rFonts w:ascii="Times New Roman" w:cs="Times New Roman" w:eastAsia="Times New Roman" w:hAnsi="Times New Roman"/>
          <w:sz w:val="17"/>
          <w:szCs w:val="17"/>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that sales will occur. After this offering, we will have outstanding shares of our common stock, based on the number of shares outstanding as of June 30, 2020. All of the shares of common stock sold in this offering will be available for sale in the public market, unless purchased by our affiliates or existing stockholders. Substantially all of our outstanding shares of common stock are currently restricted from resale as a result of “lock-up” agreements (which may be waived by BofA Securities, Inc. and Jefferies LLC with or without notice), as more fully described in “Shares Eligible for Future Sale.” These shares will become available to be sold 181 days after the date of this prospectus. Shares held by directors, executive officers and other affiliates will be subject to volume limitations under Rule 144 under the Securities Act of 1933, as amended, or the Securities Act, and various vesting agreements.</w:t>
      </w:r>
    </w:p>
    <w:p>
      <w:pPr>
        <w:spacing w:after="0" w:line="188" w:lineRule="exact"/>
        <w:rPr>
          <w:sz w:val="20"/>
          <w:szCs w:val="20"/>
          <w:color w:val="auto"/>
        </w:rPr>
      </w:pPr>
    </w:p>
    <w:p>
      <w:pPr>
        <w:ind w:left="120" w:right="80" w:firstLine="881"/>
        <w:spacing w:after="0" w:line="281" w:lineRule="auto"/>
        <w:rPr>
          <w:sz w:val="20"/>
          <w:szCs w:val="20"/>
          <w:color w:val="auto"/>
        </w:rPr>
      </w:pPr>
      <w:r>
        <w:rPr>
          <w:rFonts w:ascii="Times New Roman" w:cs="Times New Roman" w:eastAsia="Times New Roman" w:hAnsi="Times New Roman"/>
          <w:sz w:val="17"/>
          <w:szCs w:val="17"/>
          <w:color w:val="auto"/>
        </w:rPr>
        <w:t>After our initial public offering, certain of our stockholders will have rights, subject to some conditions, to require us to file registration statements covering their shares or to include their shares in registration statements that we may file for ourselves or our stockholders, subject to lockup agreements. We also intend to register shares of common stock that we have issued and may issue under our employee equity incentive plans. Once we register these shares, they will be able to be sold freely in the public market upon issuance, subject to existing market standoff or lock-up agreements.</w:t>
      </w:r>
    </w:p>
    <w:p>
      <w:pPr>
        <w:spacing w:after="0" w:line="164"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58"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59" w:lineRule="exact"/>
        <w:rPr>
          <w:sz w:val="20"/>
          <w:szCs w:val="20"/>
          <w:color w:val="auto"/>
        </w:rPr>
      </w:pPr>
    </w:p>
    <w:p>
      <w:pPr>
        <w:ind w:left="120" w:right="140" w:firstLine="881"/>
        <w:spacing w:after="0" w:line="282" w:lineRule="auto"/>
        <w:rPr>
          <w:sz w:val="20"/>
          <w:szCs w:val="20"/>
          <w:color w:val="auto"/>
        </w:rPr>
      </w:pPr>
      <w:r>
        <w:rPr>
          <w:rFonts w:ascii="Times New Roman" w:cs="Times New Roman" w:eastAsia="Times New Roman" w:hAnsi="Times New Roman"/>
          <w:sz w:val="18"/>
          <w:szCs w:val="18"/>
          <w:color w:val="auto"/>
        </w:rPr>
        <w:t>Based upon shares outstanding as of June 30, 2020, prior to this offering, our executive officers, directors and the holders of more than 5% of our outstanding common stock, in the aggregate, beneficially owned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96% of our common stock, and upon the completion of this offering, that same group, in the aggregate, will beneficially own</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approximately % of our common stock, assuming no purchases of shares in this offering by any members of this group, no exercise by the underwriters of their option to purchase additional shares, no exercise of outstanding options or warrants and after giving effect to the issuance of shares in this offering.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including those who purchase shares in this offering, oppose them. This concentration of ownership might also have the effect of delaying or preventing a change of control of our company that other stockholders may view as beneficial.</w:t>
      </w:r>
    </w:p>
    <w:p>
      <w:pPr>
        <w:spacing w:after="0" w:line="18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59" w:lineRule="exact"/>
        <w:rPr>
          <w:sz w:val="20"/>
          <w:szCs w:val="20"/>
          <w:color w:val="auto"/>
        </w:rPr>
      </w:pPr>
    </w:p>
    <w:p>
      <w:pPr>
        <w:ind w:left="120" w:right="540" w:firstLine="881"/>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189" w:lineRule="exact"/>
        <w:rPr>
          <w:sz w:val="20"/>
          <w:szCs w:val="20"/>
          <w:color w:val="auto"/>
        </w:rPr>
      </w:pPr>
    </w:p>
    <w:p>
      <w:pPr>
        <w:jc w:val="both"/>
        <w:ind w:left="1420" w:hanging="319"/>
        <w:spacing w:after="0" w:line="282" w:lineRule="auto"/>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404(b) of the Sarbanes Oxley Act;</w:t>
      </w:r>
    </w:p>
    <w:p>
      <w:pPr>
        <w:spacing w:after="0" w:line="252" w:lineRule="exact"/>
        <w:rPr>
          <w:rFonts w:ascii="Times New Roman" w:cs="Times New Roman" w:eastAsia="Times New Roman" w:hAnsi="Times New Roman"/>
          <w:sz w:val="18"/>
          <w:szCs w:val="18"/>
          <w:color w:val="auto"/>
        </w:rPr>
      </w:pPr>
    </w:p>
    <w:p>
      <w:pPr>
        <w:ind w:left="1420" w:right="180" w:hanging="319"/>
        <w:spacing w:after="0" w:line="266" w:lineRule="auto"/>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02" w:lineRule="exact"/>
        <w:rPr>
          <w:rFonts w:ascii="Times New Roman" w:cs="Times New Roman" w:eastAsia="Times New Roman" w:hAnsi="Times New Roman"/>
          <w:sz w:val="18"/>
          <w:szCs w:val="18"/>
          <w:color w:val="auto"/>
        </w:rPr>
      </w:pPr>
    </w:p>
    <w:p>
      <w:pPr>
        <w:ind w:left="1420" w:right="160" w:hanging="319"/>
        <w:spacing w:after="0" w:line="282" w:lineRule="auto"/>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disclose certain executive compensation-related items such as the correlation between executive compensation and performance and comparisons of the chief executive officer’s compensation to median employee compensation; and</w:t>
      </w:r>
    </w:p>
    <w:p>
      <w:pPr>
        <w:spacing w:after="0" w:line="188" w:lineRule="exact"/>
        <w:rPr>
          <w:rFonts w:ascii="Times New Roman" w:cs="Times New Roman" w:eastAsia="Times New Roman" w:hAnsi="Times New Roman"/>
          <w:sz w:val="18"/>
          <w:szCs w:val="18"/>
          <w:color w:val="auto"/>
        </w:rPr>
      </w:pPr>
    </w:p>
    <w:p>
      <w:pPr>
        <w:ind w:left="1420" w:right="940" w:hanging="319"/>
        <w:spacing w:after="0" w:line="282" w:lineRule="auto"/>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submit certain executive compensation matters to stockholder advisory votes, such as “say-on-pay,” “say-on-frequency,” and “say-on-golden parachutes.”</w:t>
      </w:r>
    </w:p>
    <w:p>
      <w:pPr>
        <w:spacing w:after="0" w:line="162"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76"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Requirements associated with being a public company will increase our costs significantly, as well as divert significant company resources and management attention.</w:t>
      </w:r>
    </w:p>
    <w:p>
      <w:pPr>
        <w:spacing w:after="0" w:line="15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After the completion of this offering, we will be subject to the reporting requirements of the Securities Exchange Act of 1934, as amended, or the Exchange Act, or the other rules and regulations of the Securities and Exchange Commission, or the SEC, or any securities exchange relating to public companies. Compliance with the various reporting and other requirements applicable to public companies requires considerable time and attention of management and we will incur significant legal, accounting and other expenses that we did not incur as a private company. We cannot assure you that we will satisfy our obligations as a public company on a timely basis.</w:t>
      </w:r>
    </w:p>
    <w:p>
      <w:pPr>
        <w:spacing w:after="0" w:line="183"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spacing w:after="0" w:line="17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159" w:lineRule="exact"/>
        <w:rPr>
          <w:sz w:val="20"/>
          <w:szCs w:val="20"/>
          <w:color w:val="auto"/>
        </w:rPr>
      </w:pPr>
    </w:p>
    <w:p>
      <w:pPr>
        <w:ind w:left="120" w:right="100" w:firstLine="881"/>
        <w:spacing w:after="0" w:line="253" w:lineRule="auto"/>
        <w:rPr>
          <w:sz w:val="20"/>
          <w:szCs w:val="20"/>
          <w:color w:val="auto"/>
        </w:rPr>
      </w:pPr>
      <w:r>
        <w:rPr>
          <w:rFonts w:ascii="Times New Roman" w:cs="Times New Roman" w:eastAsia="Times New Roman" w:hAnsi="Times New Roman"/>
          <w:sz w:val="18"/>
          <w:szCs w:val="18"/>
          <w:color w:val="auto"/>
        </w:rPr>
        <w:t>After the completion of this offering, we will be subject to the reporting requirements of the Exchange Act, the Sarbanes-Oxley Act and the rules and regulations of the Nasdaq Global Market, or Nasdaq. The Sarbanes Oxley Act requires, among other things, that we maintain effective disclosure controls and procedures and internal controls over financial reporting. Commencing with our fiscal year ending the year after this offering is completed, we must perform system and process design evaluation and testing of the effectiveness of our internal controls over financial reporting to allow management to report on the effectiveness of our internal controls over financial reporting in our Form 10-K filing for that year, as required by Section 404 of the Sarbanes-Oxley Act.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as a result, we may experience difficulty in meeting these reporting requirements in a timely manner.</w:t>
      </w:r>
    </w:p>
    <w:p>
      <w:pPr>
        <w:spacing w:after="0" w:line="187"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ind w:left="120" w:right="180" w:firstLine="881"/>
        <w:spacing w:after="0" w:line="289" w:lineRule="auto"/>
        <w:rPr>
          <w:sz w:val="20"/>
          <w:szCs w:val="20"/>
          <w:color w:val="auto"/>
        </w:rPr>
      </w:pPr>
      <w:r>
        <w:rPr>
          <w:rFonts w:ascii="Times New Roman" w:cs="Times New Roman" w:eastAsia="Times New Roman" w:hAnsi="Times New Roman"/>
          <w:sz w:val="17"/>
          <w:szCs w:val="17"/>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sanctions or investigations by the SEC or other regulatory authorities including equivalent foreign authorities.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22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We cannot specify with any certainty the particular uses of the net proceeds that we will receive from this offering, but we currently expect such uses will include funding our development of TP-03 for the treatment of Demodex blepharitis, and to develop our product pipeline, and other general corporate purposes, which may include the hiring of additional personnel, capital expenditures and the costs of operating as a public company. We will have broad discretion in the application of the net proceeds, including working capital and other general corporate purposes, and you and other stockholders may disagree with how we spend or invest these proceeds. The failure by our management to apply these funds effectively could adversely affect our business and financial condition. Pending their use, we may invest the net proceeds from our initial public offering in a manner that does not produce income or that loses value. These investments may not yield a favorable return to our investors.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ind w:left="120" w:right="320" w:firstLine="881"/>
        <w:spacing w:after="0" w:line="261"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Consequently, stockholders must rely on sales of their common stock after price appreciation, which may never occur, as the only way to realize any future gains on their investment.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left="120" w:firstLine="881"/>
        <w:spacing w:after="0" w:line="289" w:lineRule="auto"/>
        <w:rPr>
          <w:sz w:val="20"/>
          <w:szCs w:val="20"/>
          <w:color w:val="auto"/>
        </w:rPr>
      </w:pPr>
      <w:r>
        <w:rPr>
          <w:rFonts w:ascii="Times New Roman" w:cs="Times New Roman" w:eastAsia="Times New Roman" w:hAnsi="Times New Roman"/>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5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59" w:lineRule="exact"/>
        <w:rPr>
          <w:sz w:val="20"/>
          <w:szCs w:val="20"/>
          <w:color w:val="auto"/>
        </w:rPr>
      </w:pPr>
    </w:p>
    <w:p>
      <w:pPr>
        <w:ind w:left="120" w:right="420" w:firstLine="881"/>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spacing w:after="0" w:line="203" w:lineRule="exact"/>
        <w:rPr>
          <w:sz w:val="20"/>
          <w:szCs w:val="20"/>
          <w:color w:val="auto"/>
        </w:rPr>
      </w:pPr>
    </w:p>
    <w:p>
      <w:pPr>
        <w:ind w:left="1420" w:right="140" w:hanging="319"/>
        <w:spacing w:after="0" w:line="282"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88" w:lineRule="exact"/>
        <w:rPr>
          <w:rFonts w:ascii="Times New Roman" w:cs="Times New Roman" w:eastAsia="Times New Roman" w:hAnsi="Times New Roman"/>
          <w:sz w:val="18"/>
          <w:szCs w:val="18"/>
          <w:color w:val="auto"/>
        </w:rPr>
      </w:pPr>
    </w:p>
    <w:p>
      <w:pPr>
        <w:ind w:left="1420" w:right="520" w:hanging="319"/>
        <w:spacing w:after="0" w:line="282"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patients for preclinical studies and clinical trials, and any delays caused by difficulties in such recruitment efforts;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252" w:lineRule="exact"/>
        <w:rPr>
          <w:rFonts w:ascii="Times New Roman" w:cs="Times New Roman" w:eastAsia="Times New Roman" w:hAnsi="Times New Roman"/>
          <w:sz w:val="18"/>
          <w:szCs w:val="18"/>
          <w:color w:val="auto"/>
        </w:rPr>
      </w:pPr>
    </w:p>
    <w:p>
      <w:pPr>
        <w:ind w:left="1420" w:right="140" w:hanging="319"/>
        <w:spacing w:after="0" w:line="282"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188" w:lineRule="exact"/>
        <w:rPr>
          <w:rFonts w:ascii="Times New Roman" w:cs="Times New Roman" w:eastAsia="Times New Roman" w:hAnsi="Times New Roman"/>
          <w:sz w:val="18"/>
          <w:szCs w:val="18"/>
          <w:color w:val="auto"/>
        </w:rPr>
      </w:pPr>
    </w:p>
    <w:p>
      <w:pPr>
        <w:ind w:left="1420" w:right="460" w:hanging="319"/>
        <w:spacing w:after="0" w:line="282"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manufacturers;</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w:t>
      </w:r>
    </w:p>
    <w:p>
      <w:pPr>
        <w:sectPr>
          <w:pgSz w:w="11900" w:h="16838" w:orient="portrait"/>
          <w:cols w:equalWidth="0" w:num="1">
            <w:col w:w="11100"/>
          </w:cols>
          <w:pgMar w:left="320" w:top="455" w:right="4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should they receive approval, which may vary significantly;</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drugs that compete with our product candidates;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European and global economic environments, including impact of COVID-19;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83" w:lineRule="exact"/>
        <w:rPr>
          <w:sz w:val="20"/>
          <w:szCs w:val="20"/>
          <w:color w:val="auto"/>
        </w:rPr>
      </w:pPr>
    </w:p>
    <w:p>
      <w:pPr>
        <w:jc w:val="both"/>
        <w:ind w:left="12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amended and restated certificate of incorporation and amended and restated bylaws that will be in effect at the completion of this offering could make a merger, tender offer or proxy contest difficult, thereby depressing the trading price of our common stock.</w:t>
      </w:r>
    </w:p>
    <w:p>
      <w:pPr>
        <w:spacing w:after="0" w:line="136"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Following the completion of this offering, 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that will be in effect at the completion of this offering will contain provisions that may make the acquisition of our company more difficult, including the following:</w:t>
      </w:r>
    </w:p>
    <w:p>
      <w:pPr>
        <w:spacing w:after="0" w:line="210" w:lineRule="exact"/>
        <w:rPr>
          <w:sz w:val="20"/>
          <w:szCs w:val="20"/>
          <w:color w:val="auto"/>
        </w:rPr>
      </w:pPr>
    </w:p>
    <w:p>
      <w:pPr>
        <w:ind w:left="1420" w:right="900" w:hanging="319"/>
        <w:spacing w:after="0" w:line="282"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88" w:lineRule="exact"/>
        <w:rPr>
          <w:rFonts w:ascii="Times New Roman" w:cs="Times New Roman" w:eastAsia="Times New Roman" w:hAnsi="Times New Roman"/>
          <w:sz w:val="18"/>
          <w:szCs w:val="18"/>
          <w:color w:val="auto"/>
        </w:rPr>
      </w:pPr>
    </w:p>
    <w:p>
      <w:pPr>
        <w:ind w:left="1420" w:right="140" w:hanging="319"/>
        <w:spacing w:after="0" w:line="266"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02" w:lineRule="exact"/>
        <w:rPr>
          <w:rFonts w:ascii="Times New Roman" w:cs="Times New Roman" w:eastAsia="Times New Roman" w:hAnsi="Times New Roman"/>
          <w:sz w:val="18"/>
          <w:szCs w:val="18"/>
          <w:color w:val="auto"/>
        </w:rPr>
      </w:pPr>
    </w:p>
    <w:p>
      <w:pPr>
        <w:ind w:left="1420" w:hanging="319"/>
        <w:spacing w:after="0" w:line="312" w:lineRule="auto"/>
        <w:tabs>
          <w:tab w:leader="none" w:pos="14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6" w:lineRule="exact"/>
        <w:rPr>
          <w:rFonts w:ascii="Times New Roman" w:cs="Times New Roman" w:eastAsia="Times New Roman" w:hAnsi="Times New Roman"/>
          <w:sz w:val="17"/>
          <w:szCs w:val="17"/>
          <w:color w:val="auto"/>
        </w:rPr>
      </w:pPr>
    </w:p>
    <w:p>
      <w:pPr>
        <w:ind w:left="1420" w:right="100" w:hanging="319"/>
        <w:spacing w:after="0" w:line="282"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88" w:lineRule="exact"/>
        <w:rPr>
          <w:rFonts w:ascii="Times New Roman" w:cs="Times New Roman" w:eastAsia="Times New Roman" w:hAnsi="Times New Roman"/>
          <w:sz w:val="18"/>
          <w:szCs w:val="18"/>
          <w:color w:val="auto"/>
        </w:rPr>
      </w:pPr>
    </w:p>
    <w:p>
      <w:pPr>
        <w:ind w:left="1420" w:right="440" w:hanging="319"/>
        <w:spacing w:after="0" w:line="266"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0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p>
    <w:p>
      <w:pPr>
        <w:sectPr>
          <w:pgSz w:w="11900" w:h="16838" w:orient="portrait"/>
          <w:cols w:equalWidth="0" w:num="1">
            <w:col w:w="11100"/>
          </w:cols>
          <w:pgMar w:left="320" w:top="455" w:right="4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60" w:hanging="319"/>
        <w:spacing w:after="0" w:line="261" w:lineRule="auto"/>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206" w:lineRule="exact"/>
        <w:rPr>
          <w:rFonts w:ascii="Times New Roman" w:cs="Times New Roman" w:eastAsia="Times New Roman" w:hAnsi="Times New Roman"/>
          <w:sz w:val="18"/>
          <w:szCs w:val="18"/>
          <w:color w:val="auto"/>
        </w:rPr>
      </w:pPr>
    </w:p>
    <w:p>
      <w:pPr>
        <w:ind w:left="1420" w:right="20" w:hanging="319"/>
        <w:spacing w:after="0" w:line="266" w:lineRule="auto"/>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80" w:lineRule="exact"/>
        <w:rPr>
          <w:sz w:val="20"/>
          <w:szCs w:val="20"/>
          <w:color w:val="auto"/>
        </w:rPr>
      </w:pPr>
    </w:p>
    <w:p>
      <w:pPr>
        <w:jc w:val="both"/>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For information regarding these and other provisions, see the section titled “Description of Capital Stock.”</w:t>
      </w:r>
    </w:p>
    <w:p>
      <w:pPr>
        <w:spacing w:after="0" w:line="221" w:lineRule="exact"/>
        <w:rPr>
          <w:sz w:val="20"/>
          <w:szCs w:val="20"/>
          <w:color w:val="auto"/>
        </w:rPr>
      </w:pPr>
    </w:p>
    <w:p>
      <w:pPr>
        <w:jc w:val="both"/>
        <w:ind w:left="120"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 These choice of forum provisions will not apply to claims arising under the Securities Act of 1933, as amended, the Securities Exchange Act of 1934, as amended, or any other claim for which federal courts have exclusive jurisdiction.</w:t>
      </w:r>
    </w:p>
    <w:p>
      <w:pPr>
        <w:spacing w:after="0" w:line="183"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20" w:firstLine="881"/>
        <w:spacing w:after="0" w:line="274" w:lineRule="auto"/>
        <w:rPr>
          <w:sz w:val="20"/>
          <w:szCs w:val="20"/>
          <w:color w:val="auto"/>
        </w:rPr>
      </w:pPr>
      <w:r>
        <w:rPr>
          <w:rFonts w:ascii="Times New Roman" w:cs="Times New Roman" w:eastAsia="Times New Roman" w:hAnsi="Times New Roman"/>
          <w:sz w:val="17"/>
          <w:szCs w:val="17"/>
          <w:color w:val="auto"/>
        </w:rPr>
        <w:t>This prospectus contains forward-looking statements. All statements other than statements of historical facts contained in this prospectus, including statements regarding our future results of operations and financial position, future revenue, business strategy, prospects,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3" w:lineRule="exact"/>
        <w:rPr>
          <w:sz w:val="20"/>
          <w:szCs w:val="20"/>
          <w:color w:val="auto"/>
        </w:rPr>
      </w:pPr>
    </w:p>
    <w:p>
      <w:pPr>
        <w:jc w:val="both"/>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The words “anticipate,” “believe,” contemplate,” “continue” “could,” “estimate,” “expect,” “intend,” “may,” “might,” “plan,” “potential” “predict,” “project,” “should,” “target,” “will” or “would” or the negative of these terms or other similar expressions are intended to identify forward looking statements. Forward-looking statements contained in this prospectus include, but are not limited to, statements about:</w:t>
      </w:r>
    </w:p>
    <w:p>
      <w:pPr>
        <w:spacing w:after="0" w:line="203" w:lineRule="exact"/>
        <w:rPr>
          <w:sz w:val="20"/>
          <w:szCs w:val="20"/>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 and other positive results;</w:t>
      </w:r>
    </w:p>
    <w:p>
      <w:pPr>
        <w:spacing w:after="0" w:line="252"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current clinical trials and timing of initiation of our future clinical trials, and the reporting of data from our current and future trials;</w:t>
      </w:r>
    </w:p>
    <w:p>
      <w:pPr>
        <w:spacing w:after="0" w:line="188" w:lineRule="exact"/>
        <w:rPr>
          <w:rFonts w:ascii="Times New Roman" w:cs="Times New Roman" w:eastAsia="Times New Roman" w:hAnsi="Times New Roman"/>
          <w:sz w:val="18"/>
          <w:szCs w:val="18"/>
          <w:color w:val="auto"/>
        </w:rPr>
      </w:pPr>
    </w:p>
    <w:p>
      <w:pPr>
        <w:ind w:left="1420" w:right="300" w:hanging="319"/>
        <w:spacing w:after="0" w:line="282"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current and future product candidates, including the size, number and disease areas to be evaluated;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Demodex blepharitis and the size of the market opportunity for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sales strategy;</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operations;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52"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Demodex blepharitis, MGD and rosacea and the number of patients that will enroll in our clinical trials;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therapeutic effects and potential advantages of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 for our product candidates;</w:t>
      </w:r>
    </w:p>
    <w:p>
      <w:pPr>
        <w:spacing w:after="0" w:line="252"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our product candidates to meet existing or future regulatory standards;</w:t>
      </w:r>
    </w:p>
    <w:p>
      <w:pPr>
        <w:spacing w:after="0" w:line="188"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additional indications for which we may pursue;</w:t>
      </w:r>
    </w:p>
    <w:p>
      <w:pPr>
        <w:spacing w:after="0" w:line="188"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w:t>
      </w:r>
    </w:p>
    <w:p>
      <w:pPr>
        <w:sectPr>
          <w:pgSz w:w="11900" w:h="16838" w:orient="portrait"/>
          <w:cols w:equalWidth="0" w:num="1">
            <w:col w:w="11060"/>
          </w:cols>
          <w:pgMar w:left="320" w:top="455" w:right="51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180" w:hanging="319"/>
        <w:spacing w:after="0" w:line="282" w:lineRule="auto"/>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collaborations with third parties and our ability to attract collaborators with development, regulatory and commercialization expertise;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252" w:lineRule="exact"/>
        <w:rPr>
          <w:rFonts w:ascii="Times New Roman" w:cs="Times New Roman" w:eastAsia="Times New Roman" w:hAnsi="Times New Roman"/>
          <w:sz w:val="18"/>
          <w:szCs w:val="18"/>
          <w:color w:val="auto"/>
        </w:rPr>
      </w:pPr>
    </w:p>
    <w:p>
      <w:pPr>
        <w:ind w:left="1420" w:right="240" w:hanging="319"/>
        <w:spacing w:after="0" w:line="282" w:lineRule="auto"/>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in particular sales personnel, and our ability to attract and retain such personnel;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this offering.</w:t>
      </w:r>
    </w:p>
    <w:p>
      <w:pPr>
        <w:spacing w:after="0" w:line="225" w:lineRule="exact"/>
        <w:rPr>
          <w:sz w:val="20"/>
          <w:szCs w:val="20"/>
          <w:color w:val="auto"/>
        </w:rPr>
      </w:pPr>
    </w:p>
    <w:p>
      <w:pPr>
        <w:ind w:left="120" w:right="180" w:firstLine="881"/>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the section titled “Risk Factors” elsewhere in this prospectus.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7"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87" w:lineRule="exact"/>
        <w:rPr>
          <w:sz w:val="20"/>
          <w:szCs w:val="20"/>
          <w:color w:val="auto"/>
        </w:rPr>
      </w:pPr>
    </w:p>
    <w:p>
      <w:pPr>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left="120" w:firstLine="881"/>
        <w:spacing w:after="0" w:line="269" w:lineRule="auto"/>
        <w:rPr>
          <w:sz w:val="20"/>
          <w:szCs w:val="20"/>
          <w:color w:val="auto"/>
        </w:rPr>
      </w:pPr>
      <w:r>
        <w:rPr>
          <w:rFonts w:ascii="Times New Roman" w:cs="Times New Roman" w:eastAsia="Times New Roman" w:hAnsi="Times New Roman"/>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from our internal estimates and research, including surveys and studies we have sponsored and/or conducted, and from academic and industry research, publications, surveys and studies conducted by third parties, including governmental agencies.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Information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us and third parties, industry, medical and general publications, government data and similar sources.</w:t>
      </w:r>
    </w:p>
    <w:p>
      <w:pPr>
        <w:spacing w:after="0" w:line="1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55" w:right="47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000"/>
        <w:spacing w:after="0"/>
        <w:tabs>
          <w:tab w:leader="none" w:pos="7180" w:val="left"/>
          <w:tab w:leader="none" w:pos="8800" w:val="left"/>
        </w:tabs>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w:t>
      </w:r>
      <w:r>
        <w:rPr>
          <w:sz w:val="20"/>
          <w:szCs w:val="20"/>
          <w:color w:val="auto"/>
        </w:rPr>
        <w:tab/>
      </w:r>
      <w:r>
        <w:rPr>
          <w:rFonts w:ascii="Times New Roman" w:cs="Times New Roman" w:eastAsia="Times New Roman" w:hAnsi="Times New Roman"/>
          <w:sz w:val="18"/>
          <w:szCs w:val="18"/>
          <w:color w:val="auto"/>
        </w:rPr>
        <w:t>million, or $</w:t>
      </w:r>
      <w:r>
        <w:rPr>
          <w:sz w:val="20"/>
          <w:szCs w:val="20"/>
          <w:color w:val="auto"/>
        </w:rPr>
        <w:tab/>
      </w:r>
      <w:r>
        <w:rPr>
          <w:rFonts w:ascii="Times New Roman" w:cs="Times New Roman" w:eastAsia="Times New Roman" w:hAnsi="Times New Roman"/>
          <w:sz w:val="18"/>
          <w:szCs w:val="18"/>
          <w:color w:val="auto"/>
        </w:rPr>
        <w:t>million if the underwriters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exercise their option to purchase additional shares in full, after deducting estimated underwriting discounts and commissions and estimated offering</w:t>
      </w:r>
    </w:p>
    <w:p>
      <w:pPr>
        <w:spacing w:after="0" w:line="200" w:lineRule="exact"/>
        <w:rPr>
          <w:sz w:val="20"/>
          <w:szCs w:val="20"/>
          <w:color w:val="auto"/>
        </w:rPr>
      </w:pPr>
    </w:p>
    <w:p>
      <w:pPr>
        <w:spacing w:after="0" w:line="20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expenses payable by us, assuming an initial public offering price of $ per share, which is the midpoint of the estimated price range set forth on the cover page of this prospectus.</w:t>
      </w:r>
    </w:p>
    <w:p>
      <w:pPr>
        <w:spacing w:after="0" w:line="162" w:lineRule="exact"/>
        <w:rPr>
          <w:sz w:val="20"/>
          <w:szCs w:val="20"/>
          <w:color w:val="auto"/>
        </w:rPr>
      </w:pPr>
    </w:p>
    <w:p>
      <w:pPr>
        <w:ind w:left="120" w:right="20" w:firstLine="881"/>
        <w:spacing w:after="0" w:line="257"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the midpoint of the estimated price range set forth on the cover page of this prospectus, would increase (decrease) the net proceeds to us from this offering by approximately $ million, assuming the number of shares offered by us, as set forth on the cover page of this prospectus, remains the same and after deducting estimated</w:t>
      </w:r>
    </w:p>
    <w:p>
      <w:pPr>
        <w:spacing w:after="0" w:line="1" w:lineRule="exact"/>
        <w:rPr>
          <w:sz w:val="20"/>
          <w:szCs w:val="20"/>
          <w:color w:val="auto"/>
        </w:rPr>
      </w:pPr>
    </w:p>
    <w:p>
      <w:pPr>
        <w:ind w:left="120" w:right="200"/>
        <w:spacing w:after="0" w:line="265" w:lineRule="auto"/>
        <w:rPr>
          <w:sz w:val="20"/>
          <w:szCs w:val="20"/>
          <w:color w:val="auto"/>
        </w:rPr>
      </w:pPr>
      <w:r>
        <w:rPr>
          <w:rFonts w:ascii="Times New Roman" w:cs="Times New Roman" w:eastAsia="Times New Roman" w:hAnsi="Times New Roman"/>
          <w:sz w:val="17"/>
          <w:szCs w:val="17"/>
          <w:color w:val="auto"/>
        </w:rPr>
        <w:t>underwriting discounts and commissions and estimated offering expenses payable by us. An increase (decrease) of 1,000,000 shares in the number of shares offered by us, as set forth on the cover page of this prospectus, would increase (decrease) our net proceeds from this offering by approximately</w:t>
      </w:r>
    </w:p>
    <w:p>
      <w:pPr>
        <w:jc w:val="both"/>
        <w:ind w:left="120" w:right="80" w:hanging="4"/>
        <w:spacing w:after="0" w:line="255" w:lineRule="auto"/>
        <w:tabs>
          <w:tab w:leader="none" w:pos="9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assuming no change in the assumed initial public offering price per share and after deducting estimated underwriting discounts and commissions and estimated offering expenses payable by us. The principal purposes of this offering are to increase our financial flexibility and create a public market for our common stock. We intend to use the net proceeds from this offering as follows:</w:t>
      </w:r>
    </w:p>
    <w:p>
      <w:pPr>
        <w:spacing w:after="0" w:line="213" w:lineRule="exact"/>
        <w:rPr>
          <w:sz w:val="20"/>
          <w:szCs w:val="20"/>
          <w:color w:val="auto"/>
        </w:rPr>
      </w:pPr>
    </w:p>
    <w:p>
      <w:pPr>
        <w:ind w:left="1100"/>
        <w:spacing w:after="0"/>
        <w:tabs>
          <w:tab w:leader="none" w:pos="1400" w:val="left"/>
          <w:tab w:leader="none" w:pos="3300" w:val="left"/>
        </w:tabs>
        <w:rPr>
          <w:sz w:val="20"/>
          <w:szCs w:val="20"/>
          <w:color w:val="auto"/>
        </w:rPr>
      </w:pPr>
      <w:r>
        <w:rPr>
          <w:rFonts w:ascii="Times New Roman" w:cs="Times New Roman" w:eastAsia="Times New Roman" w:hAnsi="Times New Roman"/>
          <w:sz w:val="18"/>
          <w:szCs w:val="18"/>
          <w:color w:val="auto"/>
        </w:rPr>
        <w:t>•</w:t>
        <w:tab/>
        <w:t>approximately $</w:t>
      </w:r>
      <w:r>
        <w:rPr>
          <w:sz w:val="20"/>
          <w:szCs w:val="20"/>
          <w:color w:val="auto"/>
        </w:rPr>
        <w:tab/>
      </w:r>
      <w:r>
        <w:rPr>
          <w:rFonts w:ascii="Times New Roman" w:cs="Times New Roman" w:eastAsia="Times New Roman" w:hAnsi="Times New Roman"/>
          <w:sz w:val="18"/>
          <w:szCs w:val="18"/>
          <w:color w:val="auto"/>
        </w:rPr>
        <w:t>million to fund our development of TP-03 for the treatment Demodex blepharitis; and</w:t>
      </w:r>
    </w:p>
    <w:p>
      <w:pPr>
        <w:spacing w:after="0" w:line="252" w:lineRule="exact"/>
        <w:rPr>
          <w:sz w:val="20"/>
          <w:szCs w:val="20"/>
          <w:color w:val="auto"/>
        </w:rPr>
      </w:pPr>
    </w:p>
    <w:p>
      <w:pPr>
        <w:ind w:left="1420" w:right="560" w:hanging="319"/>
        <w:spacing w:after="0" w:line="282" w:lineRule="auto"/>
        <w:tabs>
          <w:tab w:leader="none" w:pos="1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proceeds to develop our product pipeline, and other general corporate purposes, which may include the hiring of additional personnel, capital expenditures and the costs of operating as a public company.</w:t>
      </w:r>
    </w:p>
    <w:p>
      <w:pPr>
        <w:spacing w:after="0" w:line="162"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upon our current plans and business conditions, which could change in the future as our plans and business conditions evolve. As of the date of this prospectus, we cannot predict with certainty all of the particular uses for the net proceeds to be received upon the completion of this offering or the amounts that we will actually spend on the uses set forth above. The amounts and timing of our actual expenditures and the extent of our preclinical, clinical and future development activities may vary significantly depending on numerous factors, including the progress of our development efforts, the status of and results from our ongoing and planned clinical trials, the timing of regulatory submissions and the outcome of regulatory review, our ability to take advantage of expedited programs or to obtain regulatory approval for product candidates, the timing and costs associated with the manufacture and supply of product candidates for clinical development or commercialization,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8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Based on our planned use of the net proceeds from this offering and our existing cash and cash equivalents, we estimate that such funds will</w:t>
      </w:r>
    </w:p>
    <w:p>
      <w:pPr>
        <w:spacing w:after="0" w:line="27"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be sufficient to enable us to and fund our operating expenses and capital expenditure requirements through . We have based these estimates on assumptions that may prove to be wrong and we could use our capital resources sooner than we currently expect.</w:t>
      </w:r>
    </w:p>
    <w:p>
      <w:pPr>
        <w:spacing w:after="0" w:line="181"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We may also use a portion of the net proceeds from this offering for the acquisition or in-license of other products, product candidates, businesses or technologies, although we have no current agreements or commitments for any material acquisitions or licenses of any products, businesses or technologies. Pending our use of the net proceeds from this offering, we plan to invest the net proceeds in a variety of capital preservation investments, including short-term interest-bearing investment-grade securities, certificates of deposit or government securities.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55" w:right="4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declare and pay dividends will be made at the discretion of our board of directors subject to applicable laws and will depend upon, among other factors, our results of operations, financial condition, business prospects, contractual restrictions, capital requirements and other factors our board of directors may deem relevant. Our future ability to pay cash dividends on our capital stock may also be limited by the terms of any future debt or preferred securities or any future credit facility.</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40"/>
          </w:cols>
          <w:pgMar w:left="320" w:top="455" w:right="5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total capitalization as of June 30, 2020, as follows:</w:t>
      </w:r>
    </w:p>
    <w:p>
      <w:pPr>
        <w:spacing w:after="0" w:line="252" w:lineRule="exact"/>
        <w:rPr>
          <w:sz w:val="20"/>
          <w:szCs w:val="20"/>
          <w:color w:val="auto"/>
        </w:rPr>
      </w:pPr>
    </w:p>
    <w:p>
      <w:pPr>
        <w:ind w:left="1420" w:hanging="319"/>
        <w:spacing w:after="0"/>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(i) the automatic conversion of all outstanding shares of our preferred stock into an aggregate</w:t>
      </w:r>
    </w:p>
    <w:p>
      <w:pPr>
        <w:spacing w:after="0" w:line="27" w:lineRule="exact"/>
        <w:rPr>
          <w:sz w:val="20"/>
          <w:szCs w:val="20"/>
          <w:color w:val="auto"/>
        </w:rPr>
      </w:pPr>
    </w:p>
    <w:p>
      <w:pPr>
        <w:ind w:left="1420" w:right="340"/>
        <w:spacing w:after="0" w:line="260" w:lineRule="auto"/>
        <w:rPr>
          <w:sz w:val="20"/>
          <w:szCs w:val="20"/>
          <w:color w:val="auto"/>
        </w:rPr>
      </w:pPr>
      <w:r>
        <w:rPr>
          <w:rFonts w:ascii="Times New Roman" w:cs="Times New Roman" w:eastAsia="Times New Roman" w:hAnsi="Times New Roman"/>
          <w:sz w:val="18"/>
          <w:szCs w:val="18"/>
          <w:color w:val="auto"/>
        </w:rPr>
        <w:t>of shares of common stock; and (ii) the filing and effectiveness of our amended and restated certificate of incorporation, each of which will occur immediately prior to the completion of this offering; and</w:t>
      </w:r>
    </w:p>
    <w:p>
      <w:pPr>
        <w:spacing w:after="0" w:line="208" w:lineRule="exact"/>
        <w:rPr>
          <w:sz w:val="20"/>
          <w:szCs w:val="20"/>
          <w:color w:val="auto"/>
        </w:rPr>
      </w:pPr>
    </w:p>
    <w:p>
      <w:pPr>
        <w:ind w:left="1420" w:hanging="319"/>
        <w:spacing w:after="0"/>
        <w:tabs>
          <w:tab w:leader="none" w:pos="1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(i) the pro forma adjustments set forth above and (ii) the sale and issuance</w:t>
      </w:r>
    </w:p>
    <w:p>
      <w:pPr>
        <w:sectPr>
          <w:pgSz w:w="11900" w:h="16838" w:orient="portrait"/>
          <w:cols w:equalWidth="0" w:num="1">
            <w:col w:w="11140"/>
          </w:cols>
          <w:pgMar w:left="320" w:top="455" w:right="439" w:bottom="1440" w:gutter="0" w:footer="0" w:header="0"/>
        </w:sectPr>
      </w:pPr>
    </w:p>
    <w:p>
      <w:pPr>
        <w:spacing w:after="0" w:line="27" w:lineRule="exact"/>
        <w:rPr>
          <w:sz w:val="20"/>
          <w:szCs w:val="20"/>
          <w:color w:val="auto"/>
        </w:rPr>
      </w:pPr>
    </w:p>
    <w:p>
      <w:pPr>
        <w:jc w:val="both"/>
        <w:ind w:left="1420" w:right="80"/>
        <w:spacing w:after="0" w:line="250" w:lineRule="auto"/>
        <w:rPr>
          <w:sz w:val="20"/>
          <w:szCs w:val="20"/>
          <w:color w:val="auto"/>
        </w:rPr>
      </w:pPr>
      <w:r>
        <w:rPr>
          <w:rFonts w:ascii="Times New Roman" w:cs="Times New Roman" w:eastAsia="Times New Roman" w:hAnsi="Times New Roman"/>
          <w:sz w:val="18"/>
          <w:szCs w:val="18"/>
          <w:color w:val="auto"/>
        </w:rPr>
        <w:t>of shares of our common stock by us in this offering, based upon the receipt by us of the estimated net proceeds from this offering at the assumed initial public offering price of $ per share, the midpoint of the price range set forth on the cover page</w:t>
      </w:r>
    </w:p>
    <w:p>
      <w:pPr>
        <w:sectPr>
          <w:pgSz w:w="11900" w:h="16838" w:orient="portrait"/>
          <w:cols w:equalWidth="0" w:num="1">
            <w:col w:w="11140"/>
          </w:cols>
          <w:pgMar w:left="320" w:top="455" w:right="439" w:bottom="1440" w:gutter="0" w:footer="0" w:header="0"/>
          <w:type w:val="continuous"/>
        </w:sectPr>
      </w:pPr>
    </w:p>
    <w:p>
      <w:pPr>
        <w:spacing w:after="0" w:line="1" w:lineRule="exact"/>
        <w:rPr>
          <w:sz w:val="20"/>
          <w:szCs w:val="20"/>
          <w:color w:val="auto"/>
        </w:rPr>
      </w:pPr>
    </w:p>
    <w:p>
      <w:pPr>
        <w:ind w:left="1420" w:right="60"/>
        <w:spacing w:after="0" w:line="260" w:lineRule="auto"/>
        <w:rPr>
          <w:sz w:val="20"/>
          <w:szCs w:val="20"/>
          <w:color w:val="auto"/>
        </w:rPr>
      </w:pPr>
      <w:r>
        <w:rPr>
          <w:rFonts w:ascii="Times New Roman" w:cs="Times New Roman" w:eastAsia="Times New Roman" w:hAnsi="Times New Roman"/>
          <w:sz w:val="18"/>
          <w:szCs w:val="18"/>
          <w:color w:val="auto"/>
        </w:rPr>
        <w:t>of this prospectus, and after deducting estimated underwriting discounts and commissions and estimated offering expenses payable by us.</w:t>
      </w:r>
    </w:p>
    <w:p>
      <w:pPr>
        <w:spacing w:after="0" w:line="181"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This information should be read in conjunction with our financial statements and the related notes appearing elsewhere in this prospectus, as well as the sections of this prospectus titled “Selected Financial Data” and “Management’s Discussion and Analysis of Financial Condition and Results of Operations.”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2020 (unaudited</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7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80" w:type="dxa"/>
            <w:vAlign w:val="bottom"/>
          </w:tcPr>
          <w:p>
            <w:pPr>
              <w:spacing w:after="0"/>
              <w:rPr>
                <w:sz w:val="10"/>
                <w:szCs w:val="10"/>
                <w:color w:val="auto"/>
              </w:rPr>
            </w:pPr>
          </w:p>
        </w:tc>
        <w:tc>
          <w:tcPr>
            <w:tcW w:w="8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tcPr>
          <w:p>
            <w:pPr>
              <w:jc w:val="right"/>
              <w:ind w:right="4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Series A preferred stock, $0.0001 par value per share; 11,698,716 shares authorized issued and</w:t>
            </w: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actual; no shares authorized, issued or outstanding, pro forma and pro forma as</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w:t>
            </w:r>
          </w:p>
        </w:tc>
        <w:tc>
          <w:tcPr>
            <w:tcW w:w="62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preferred stock, $0.0001 par value; 50,000,000 shares authorized, and 49,578,623 shares</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actual; no shares authorized, issued or outstanding, pro forma and pro</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forma as adjusted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8"/>
        </w:trPr>
        <w:tc>
          <w:tcPr>
            <w:tcW w:w="260" w:type="dxa"/>
            <w:vAlign w:val="bottom"/>
          </w:tcPr>
          <w:p>
            <w:pPr>
              <w:spacing w:after="0"/>
              <w:rPr>
                <w:sz w:val="17"/>
                <w:szCs w:val="17"/>
                <w:color w:val="auto"/>
              </w:rPr>
            </w:pPr>
          </w:p>
        </w:tc>
        <w:tc>
          <w:tcPr>
            <w:tcW w:w="5100" w:type="dxa"/>
            <w:vAlign w:val="bottom"/>
            <w:gridSpan w:val="6"/>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103,000,000 shares authorized,</w:t>
            </w:r>
          </w:p>
        </w:tc>
        <w:tc>
          <w:tcPr>
            <w:tcW w:w="3100" w:type="dxa"/>
            <w:vAlign w:val="bottom"/>
            <w:gridSpan w:val="2"/>
          </w:tcPr>
          <w:p>
            <w:pPr>
              <w:jc w:val="right"/>
              <w:ind w:right="1196"/>
              <w:spacing w:after="0" w:line="198" w:lineRule="exact"/>
              <w:rPr>
                <w:sz w:val="20"/>
                <w:szCs w:val="20"/>
                <w:color w:val="auto"/>
              </w:rPr>
            </w:pPr>
            <w:r>
              <w:rPr>
                <w:rFonts w:ascii="Times New Roman" w:cs="Times New Roman" w:eastAsia="Times New Roman" w:hAnsi="Times New Roman"/>
                <w:sz w:val="18"/>
                <w:szCs w:val="18"/>
                <w:color w:val="auto"/>
              </w:rPr>
              <w:t>shares issued and</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60" w:type="dxa"/>
            <w:vAlign w:val="bottom"/>
          </w:tcPr>
          <w:p>
            <w:pPr>
              <w:spacing w:after="0"/>
              <w:rPr>
                <w:sz w:val="18"/>
                <w:szCs w:val="18"/>
                <w:color w:val="auto"/>
              </w:rPr>
            </w:pPr>
          </w:p>
        </w:tc>
        <w:tc>
          <w:tcPr>
            <w:tcW w:w="23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outstanding, actual;</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shares authorized,</w:t>
            </w:r>
          </w:p>
        </w:tc>
        <w:tc>
          <w:tcPr>
            <w:tcW w:w="4120" w:type="dxa"/>
            <w:vAlign w:val="bottom"/>
            <w:gridSpan w:val="3"/>
          </w:tcPr>
          <w:p>
            <w:pPr>
              <w:jc w:val="right"/>
              <w:ind w:right="1176"/>
              <w:spacing w:after="0"/>
              <w:rPr>
                <w:sz w:val="20"/>
                <w:szCs w:val="20"/>
                <w:color w:val="auto"/>
              </w:rPr>
            </w:pPr>
            <w:r>
              <w:rPr>
                <w:rFonts w:ascii="Times New Roman" w:cs="Times New Roman" w:eastAsia="Times New Roman" w:hAnsi="Times New Roman"/>
                <w:sz w:val="18"/>
                <w:szCs w:val="18"/>
                <w:color w:val="auto"/>
              </w:rPr>
              <w:t>shares issued and outstanding, pro</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forma;</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authorized,</w:t>
            </w:r>
          </w:p>
        </w:tc>
        <w:tc>
          <w:tcPr>
            <w:tcW w:w="5060" w:type="dxa"/>
            <w:vAlign w:val="bottom"/>
            <w:gridSpan w:val="4"/>
          </w:tcPr>
          <w:p>
            <w:pPr>
              <w:jc w:val="right"/>
              <w:ind w:right="1496"/>
              <w:spacing w:after="0"/>
              <w:rPr>
                <w:sz w:val="20"/>
                <w:szCs w:val="20"/>
                <w:color w:val="auto"/>
              </w:rPr>
            </w:pPr>
            <w:r>
              <w:rPr>
                <w:rFonts w:ascii="Times New Roman" w:cs="Times New Roman" w:eastAsia="Times New Roman" w:hAnsi="Times New Roman"/>
                <w:sz w:val="18"/>
                <w:szCs w:val="18"/>
                <w:color w:val="auto"/>
              </w:rPr>
              <w:t>shares issued and outstanding, pro forma as</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adjusted</w:t>
            </w: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60" w:type="dxa"/>
            <w:vAlign w:val="bottom"/>
            <w:shd w:val="clear" w:color="auto" w:fill="CCEEFF"/>
          </w:tcPr>
          <w:p>
            <w:pPr>
              <w:spacing w:after="0"/>
              <w:rPr>
                <w:sz w:val="18"/>
                <w:szCs w:val="18"/>
                <w:color w:val="auto"/>
              </w:rPr>
            </w:pPr>
          </w:p>
        </w:tc>
        <w:tc>
          <w:tcPr>
            <w:tcW w:w="2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2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spacing w:after="0"/>
              <w:rPr>
                <w:sz w:val="19"/>
                <w:szCs w:val="19"/>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spacing w:after="0"/>
              <w:rPr>
                <w:sz w:val="19"/>
                <w:szCs w:val="19"/>
                <w:color w:val="auto"/>
              </w:rPr>
            </w:pPr>
          </w:p>
        </w:tc>
        <w:tc>
          <w:tcPr>
            <w:tcW w:w="8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140" w:type="dxa"/>
            <w:vAlign w:val="bottom"/>
            <w:gridSpan w:val="5"/>
          </w:tcPr>
          <w:p>
            <w:pPr>
              <w:spacing w:after="0"/>
              <w:rPr>
                <w:sz w:val="11"/>
                <w:szCs w:val="11"/>
                <w:color w:val="auto"/>
              </w:rPr>
            </w:pPr>
          </w:p>
        </w:tc>
        <w:tc>
          <w:tcPr>
            <w:tcW w:w="5660" w:type="dxa"/>
            <w:vAlign w:val="bottom"/>
            <w:gridSpan w:val="7"/>
          </w:tcPr>
          <w:p>
            <w:pPr>
              <w:spacing w:after="0"/>
              <w:rPr>
                <w:sz w:val="11"/>
                <w:szCs w:val="11"/>
                <w:color w:val="auto"/>
              </w:rPr>
            </w:pPr>
          </w:p>
        </w:tc>
      </w:tr>
      <w:tr>
        <w:trPr>
          <w:trHeight w:val="176"/>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510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auto"/>
              </w:rPr>
              <w:t>Each $1.00 increase (decrease) in the assumed initial public offering price of $</w:t>
            </w:r>
          </w:p>
        </w:tc>
        <w:tc>
          <w:tcPr>
            <w:tcW w:w="566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rPr>
              <w:t>per share, which is the midpoint of the estimated offering price range set forth on the cover</w:t>
            </w:r>
          </w:p>
        </w:tc>
      </w:tr>
    </w:tbl>
    <w:p>
      <w:pPr>
        <w:ind w:left="540" w:right="60"/>
        <w:spacing w:after="0" w:line="239" w:lineRule="auto"/>
        <w:rPr>
          <w:sz w:val="20"/>
          <w:szCs w:val="20"/>
          <w:color w:val="auto"/>
        </w:rPr>
      </w:pPr>
      <w:r>
        <w:rPr>
          <w:rFonts w:ascii="Times New Roman" w:cs="Times New Roman" w:eastAsia="Times New Roman" w:hAnsi="Times New Roman"/>
          <w:sz w:val="14"/>
          <w:szCs w:val="14"/>
          <w:color w:val="auto"/>
        </w:rPr>
        <w:t>page of this prospectus, would increase (decrease) our pro forma as adjusted amount of each of cash and cash equivalents, additional paid-in capital, total stockholders’ (deficit) equity and total capitalization by approximately</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55" w:right="43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540" w:right="300" w:firstLine="8"/>
        <w:spacing w:after="0" w:line="229" w:lineRule="auto"/>
        <w:tabs>
          <w:tab w:leader="none" w:pos="1187"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million, assuming that the number of shares of common stock offered by us, as set forth on the cover page of this prospectus, remains the same, and after deducting estimated underwriting discounts and commissions payable by us. Each increase (decrease) of 1.0 million shares in the number of shares of common stock offered by us would increase (decrease) our pro forma as adjusted amount of each of cash and cash equivalents, additional paid-in capital, total stockholders’ (deficit) equity and total capitalization by</w:t>
      </w:r>
    </w:p>
    <w:p>
      <w:pPr>
        <w:spacing w:after="0" w:line="1" w:lineRule="exact"/>
        <w:rPr>
          <w:sz w:val="20"/>
          <w:szCs w:val="20"/>
          <w:color w:val="auto"/>
        </w:rPr>
      </w:pPr>
    </w:p>
    <w:p>
      <w:pPr>
        <w:ind w:left="540" w:right="60"/>
        <w:spacing w:after="0" w:line="233" w:lineRule="auto"/>
        <w:rPr>
          <w:sz w:val="20"/>
          <w:szCs w:val="20"/>
          <w:color w:val="auto"/>
        </w:rPr>
      </w:pPr>
      <w:r>
        <w:rPr>
          <w:rFonts w:ascii="Times New Roman" w:cs="Times New Roman" w:eastAsia="Times New Roman" w:hAnsi="Times New Roman"/>
          <w:sz w:val="14"/>
          <w:szCs w:val="14"/>
          <w:color w:val="auto"/>
        </w:rPr>
        <w:t>approximately $ million, assuming the assumed initial public offering price of $ per share, which is the midpoint of the estimated offering price range set forth on the cover page of this prospectus, remains the same, and after deducting estimated underwriting discounts and commissions. The pro forma as adjusted information discussed above is illustrative only and will be adjusted based on the actual public offering price and other terms of this offering determined at pricing.</w:t>
      </w:r>
    </w:p>
    <w:p>
      <w:pPr>
        <w:sectPr>
          <w:pgSz w:w="11900" w:h="16838" w:orient="portrait"/>
          <w:cols w:equalWidth="0" w:num="1">
            <w:col w:w="11120"/>
          </w:cols>
          <w:pgMar w:left="320" w:top="455" w:right="459" w:bottom="1440" w:gutter="0" w:footer="0" w:header="0"/>
        </w:sectPr>
      </w:pPr>
    </w:p>
    <w:p>
      <w:pPr>
        <w:spacing w:after="0" w:line="181" w:lineRule="exact"/>
        <w:rPr>
          <w:sz w:val="20"/>
          <w:szCs w:val="20"/>
          <w:color w:val="auto"/>
        </w:rPr>
      </w:pPr>
    </w:p>
    <w:p>
      <w:pPr>
        <w:ind w:left="120" w:right="100" w:firstLine="881"/>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outstanding as of June 30, 2020 and excludes the following:</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w:t>
      </w:r>
    </w:p>
    <w:p>
      <w:pPr>
        <w:spacing w:after="0" w:line="479" w:lineRule="exact"/>
        <w:rPr>
          <w:sz w:val="20"/>
          <w:szCs w:val="20"/>
          <w:color w:val="auto"/>
        </w:rPr>
      </w:pPr>
    </w:p>
    <w:p>
      <w:pPr>
        <w:sectPr>
          <w:pgSz w:w="11900" w:h="16838" w:orient="portrait"/>
          <w:cols w:equalWidth="0" w:num="2">
            <w:col w:w="7660" w:space="720"/>
            <w:col w:w="2740"/>
          </w:cols>
          <w:pgMar w:left="320" w:top="455" w:right="459" w:bottom="1440" w:gutter="0" w:footer="0" w:header="0"/>
          <w:type w:val="continuous"/>
        </w:sectPr>
      </w:pPr>
    </w:p>
    <w:p>
      <w:pPr>
        <w:ind w:left="1960" w:hanging="859"/>
        <w:spacing w:after="0"/>
        <w:tabs>
          <w:tab w:leader="none" w:pos="1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options outstanding as of June 30, 2020, with a weighted-average</w:t>
      </w:r>
    </w:p>
    <w:p>
      <w:pPr>
        <w:spacing w:after="0" w:line="27" w:lineRule="exact"/>
        <w:rPr>
          <w:sz w:val="20"/>
          <w:szCs w:val="20"/>
          <w:color w:val="auto"/>
        </w:rPr>
      </w:pPr>
    </w:p>
    <w:p>
      <w:pPr>
        <w:ind w:left="1420"/>
        <w:spacing w:after="0"/>
        <w:tabs>
          <w:tab w:leader="none" w:pos="3540" w:val="left"/>
        </w:tabs>
        <w:rPr>
          <w:sz w:val="20"/>
          <w:szCs w:val="20"/>
          <w:color w:val="auto"/>
        </w:rPr>
      </w:pPr>
      <w:r>
        <w:rPr>
          <w:rFonts w:ascii="Times New Roman" w:cs="Times New Roman" w:eastAsia="Times New Roman" w:hAnsi="Times New Roman"/>
          <w:sz w:val="18"/>
          <w:szCs w:val="18"/>
          <w:color w:val="auto"/>
        </w:rPr>
        <w:t>exercise price of $</w:t>
      </w:r>
      <w:r>
        <w:rPr>
          <w:sz w:val="20"/>
          <w:szCs w:val="20"/>
          <w:color w:val="auto"/>
        </w:rPr>
        <w:tab/>
      </w:r>
      <w:r>
        <w:rPr>
          <w:rFonts w:ascii="Times New Roman" w:cs="Times New Roman" w:eastAsia="Times New Roman" w:hAnsi="Times New Roman"/>
          <w:sz w:val="17"/>
          <w:szCs w:val="17"/>
          <w:color w:val="auto"/>
        </w:rPr>
        <w:t>per share;</w:t>
      </w:r>
    </w:p>
    <w:p>
      <w:pPr>
        <w:spacing w:after="0" w:line="234" w:lineRule="exact"/>
        <w:rPr>
          <w:sz w:val="20"/>
          <w:szCs w:val="20"/>
          <w:color w:val="auto"/>
        </w:rPr>
      </w:pPr>
    </w:p>
    <w:p>
      <w:pPr>
        <w:ind w:left="1960" w:hanging="859"/>
        <w:spacing w:after="0"/>
        <w:tabs>
          <w:tab w:leader="none" w:pos="19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issuable upon the exercise of options granted after June 30, 2020, at a weighted-average exercise price</w:t>
      </w:r>
    </w:p>
    <w:p>
      <w:pPr>
        <w:spacing w:after="0" w:line="39" w:lineRule="exact"/>
        <w:rPr>
          <w:sz w:val="20"/>
          <w:szCs w:val="20"/>
          <w:color w:val="auto"/>
        </w:rPr>
      </w:pPr>
    </w:p>
    <w:p>
      <w:pPr>
        <w:ind w:left="1420"/>
        <w:spacing w:after="0"/>
        <w:tabs>
          <w:tab w:leader="none" w:pos="2460" w:val="left"/>
        </w:tabs>
        <w:rPr>
          <w:sz w:val="20"/>
          <w:szCs w:val="20"/>
          <w:color w:val="auto"/>
        </w:rPr>
      </w:pPr>
      <w:r>
        <w:rPr>
          <w:rFonts w:ascii="Times New Roman" w:cs="Times New Roman" w:eastAsia="Times New Roman" w:hAnsi="Times New Roman"/>
          <w:sz w:val="18"/>
          <w:szCs w:val="18"/>
          <w:color w:val="auto"/>
        </w:rPr>
        <w:t>of $</w:t>
      </w:r>
      <w:r>
        <w:rPr>
          <w:sz w:val="20"/>
          <w:szCs w:val="20"/>
          <w:color w:val="auto"/>
        </w:rPr>
        <w:tab/>
      </w:r>
      <w:r>
        <w:rPr>
          <w:rFonts w:ascii="Times New Roman" w:cs="Times New Roman" w:eastAsia="Times New Roman" w:hAnsi="Times New Roman"/>
          <w:sz w:val="17"/>
          <w:szCs w:val="17"/>
          <w:color w:val="auto"/>
        </w:rPr>
        <w:t>per share;</w:t>
      </w:r>
    </w:p>
    <w:p>
      <w:pPr>
        <w:spacing w:after="0" w:line="234" w:lineRule="exact"/>
        <w:rPr>
          <w:sz w:val="20"/>
          <w:szCs w:val="20"/>
          <w:color w:val="auto"/>
        </w:rPr>
      </w:pPr>
    </w:p>
    <w:p>
      <w:pPr>
        <w:ind w:left="1420" w:right="40" w:hanging="319"/>
        <w:spacing w:after="0" w:line="282" w:lineRule="auto"/>
        <w:tabs>
          <w:tab w:leader="none" w:pos="2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legally issued upon the early exercise of certain stock options, but are subject to service conditions and the right of repurchase, that were outstanding as of June 30, 2020;</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420" w:right="160" w:hanging="319"/>
        <w:spacing w:after="0" w:line="282" w:lineRule="auto"/>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2016 Plan, as of June 30, 2020, which shares will be added to the shares to be reserved under our 2020 Plan upon its effectiveness;</w:t>
      </w:r>
    </w:p>
    <w:p>
      <w:pPr>
        <w:spacing w:after="0" w:line="188" w:lineRule="exact"/>
        <w:rPr>
          <w:rFonts w:ascii="Times New Roman" w:cs="Times New Roman" w:eastAsia="Times New Roman" w:hAnsi="Times New Roman"/>
          <w:sz w:val="18"/>
          <w:szCs w:val="18"/>
          <w:color w:val="auto"/>
        </w:rPr>
      </w:pPr>
    </w:p>
    <w:p>
      <w:pPr>
        <w:ind w:left="1420" w:right="280" w:hanging="319"/>
        <w:spacing w:after="0" w:line="266" w:lineRule="auto"/>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202" w:lineRule="exact"/>
        <w:rPr>
          <w:rFonts w:ascii="Times New Roman" w:cs="Times New Roman" w:eastAsia="Times New Roman" w:hAnsi="Times New Roman"/>
          <w:sz w:val="18"/>
          <w:szCs w:val="18"/>
          <w:color w:val="auto"/>
        </w:rPr>
      </w:pPr>
    </w:p>
    <w:p>
      <w:pPr>
        <w:ind w:left="1420" w:right="560" w:hanging="319"/>
        <w:spacing w:after="0" w:line="266" w:lineRule="auto"/>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issuance under our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0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w:t>
      </w:r>
    </w:p>
    <w:p>
      <w:pPr>
        <w:sectPr>
          <w:pgSz w:w="11900" w:h="16838" w:orient="portrait"/>
          <w:cols w:equalWidth="0" w:num="1">
            <w:col w:w="11120"/>
          </w:cols>
          <w:pgMar w:left="320" w:top="455" w:right="459" w:bottom="1440" w:gutter="0" w:footer="0" w:header="0"/>
          <w:type w:val="continuous"/>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diluted to the extent of the difference between the assumed initial public offering price per share of our common stock and the pro forma as adjusted net tangible book value per share of our common stock immediately after this offering.</w:t>
      </w:r>
    </w:p>
    <w:p>
      <w:pPr>
        <w:spacing w:after="0" w:line="176" w:lineRule="exact"/>
        <w:rPr>
          <w:sz w:val="20"/>
          <w:szCs w:val="20"/>
          <w:color w:val="auto"/>
        </w:rPr>
      </w:pPr>
    </w:p>
    <w:p>
      <w:pPr>
        <w:ind w:left="120" w:right="360" w:firstLine="881"/>
        <w:spacing w:after="0" w:line="276" w:lineRule="auto"/>
        <w:rPr>
          <w:sz w:val="20"/>
          <w:szCs w:val="20"/>
          <w:color w:val="auto"/>
        </w:rPr>
      </w:pPr>
      <w:r>
        <w:rPr>
          <w:rFonts w:ascii="Times New Roman" w:cs="Times New Roman" w:eastAsia="Times New Roman" w:hAnsi="Times New Roman"/>
          <w:sz w:val="17"/>
          <w:szCs w:val="17"/>
          <w:color w:val="auto"/>
        </w:rPr>
        <w:t>Historical net tangible book value (deficit) per share represents our total tangible assets less our liabilities and preferred stock that is not included in equity divided by the total number of shares of common stock outstanding. As of June 30, 2020, our historical net tangible book value</w:t>
      </w:r>
    </w:p>
    <w:p>
      <w:pPr>
        <w:spacing w:after="0" w:line="1"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(deficit) was approximately $ million, or $ per share of common stock. Our pro forma net tangible book value as of June 30, 2020, was approximately $ million, or $ per share of common stock, after giving effect to the automatic conversion of all outstanding shares of our preferred stock into an aggregate of shares of common stock immediately prior to the completion of this offering.</w:t>
      </w:r>
    </w:p>
    <w:p>
      <w:pPr>
        <w:spacing w:after="0" w:line="186" w:lineRule="exact"/>
        <w:rPr>
          <w:sz w:val="20"/>
          <w:szCs w:val="20"/>
          <w:color w:val="auto"/>
        </w:rPr>
      </w:pPr>
    </w:p>
    <w:p>
      <w:pPr>
        <w:ind w:left="120" w:right="540" w:firstLine="881"/>
        <w:spacing w:after="0" w:line="261" w:lineRule="auto"/>
        <w:rPr>
          <w:sz w:val="20"/>
          <w:szCs w:val="20"/>
          <w:color w:val="auto"/>
        </w:rPr>
      </w:pPr>
      <w:r>
        <w:rPr>
          <w:rFonts w:ascii="Times New Roman" w:cs="Times New Roman" w:eastAsia="Times New Roman" w:hAnsi="Times New Roman"/>
          <w:sz w:val="18"/>
          <w:szCs w:val="18"/>
          <w:color w:val="auto"/>
        </w:rPr>
        <w:t>After giving further effect to receipt of the net proceeds of our sale of shares of common stock at an assumed initial public offering price of $ per share, the midpoint of the estimated price range set forth on the cover page of this prospectus and after deducting</w:t>
      </w:r>
    </w:p>
    <w:p>
      <w:pPr>
        <w:ind w:left="120"/>
        <w:spacing w:after="0"/>
        <w:rPr>
          <w:sz w:val="20"/>
          <w:szCs w:val="20"/>
          <w:color w:val="auto"/>
        </w:rPr>
      </w:pPr>
      <w:r>
        <w:rPr>
          <w:rFonts w:ascii="Times New Roman" w:cs="Times New Roman" w:eastAsia="Times New Roman" w:hAnsi="Times New Roman"/>
          <w:sz w:val="18"/>
          <w:szCs w:val="18"/>
          <w:color w:val="auto"/>
        </w:rPr>
        <w:t>estimated underwriting discounts and commissions and estimated offering expenses, our pro forma as adjusted net tangible book value as of June 30,</w:t>
      </w:r>
    </w:p>
    <w:p>
      <w:pPr>
        <w:spacing w:after="0" w:line="200" w:lineRule="exact"/>
        <w:rPr>
          <w:sz w:val="20"/>
          <w:szCs w:val="20"/>
          <w:color w:val="auto"/>
        </w:rPr>
      </w:pPr>
    </w:p>
    <w:p>
      <w:pPr>
        <w:spacing w:after="0" w:line="205"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2020 would have been approximately $ million, or $ per share. This represents an immediate increase in pro forma as adjusted net tangible book value of $ per share to our existing stockholders and an immediate dilution of $ per share to investors purchasing</w:t>
      </w:r>
    </w:p>
    <w:p>
      <w:pPr>
        <w:jc w:val="both"/>
        <w:ind w:left="120" w:right="220"/>
        <w:spacing w:after="0" w:line="290" w:lineRule="auto"/>
        <w:rPr>
          <w:sz w:val="20"/>
          <w:szCs w:val="20"/>
          <w:color w:val="auto"/>
        </w:rPr>
      </w:pPr>
      <w:r>
        <w:rPr>
          <w:rFonts w:ascii="Times New Roman" w:cs="Times New Roman" w:eastAsia="Times New Roman" w:hAnsi="Times New Roman"/>
          <w:sz w:val="17"/>
          <w:szCs w:val="17"/>
          <w:color w:val="auto"/>
        </w:rPr>
        <w:t>common stock in this offering. We determine dilution per share to new investors participating in this offering by subtracting pro forma as adjusted net tangible book value per share after this offering from the assumed initial public offering price per share paid by investors participating in this offering.</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18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The following table illustrates this dilution to new investors on a per share basis:</w:t>
            </w:r>
          </w:p>
        </w:tc>
        <w:tc>
          <w:tcPr>
            <w:tcW w:w="2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580" w:type="dxa"/>
            <w:vAlign w:val="bottom"/>
            <w:gridSpan w:val="2"/>
          </w:tcPr>
          <w:p>
            <w:pPr>
              <w:spacing w:after="0"/>
              <w:rPr>
                <w:sz w:val="21"/>
                <w:szCs w:val="21"/>
                <w:color w:val="auto"/>
              </w:rPr>
            </w:pPr>
          </w:p>
        </w:tc>
        <w:tc>
          <w:tcPr>
            <w:tcW w:w="2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2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June 30, 2020</w:t>
            </w: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(decrease) in historical net tangible book value per share attributable to conversion of our preferred stock</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(deficit) per share as of June 30, 2020</w:t>
            </w: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in this offering</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immediately after this offering</w:t>
            </w:r>
          </w:p>
        </w:tc>
        <w:tc>
          <w:tcPr>
            <w:tcW w:w="8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shares in this offering</w:t>
            </w:r>
          </w:p>
        </w:tc>
        <w:tc>
          <w:tcPr>
            <w:tcW w:w="8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10260" w:type="dxa"/>
            <w:vAlign w:val="bottom"/>
            <w:gridSpan w:val="7"/>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1020" w:type="dxa"/>
            <w:vAlign w:val="bottom"/>
            <w:gridSpan w:val="10"/>
          </w:tcPr>
          <w:p>
            <w:pPr>
              <w:ind w:left="880"/>
              <w:spacing w:after="0"/>
              <w:rPr>
                <w:sz w:val="20"/>
                <w:szCs w:val="20"/>
                <w:color w:val="auto"/>
              </w:rPr>
            </w:pPr>
            <w:r>
              <w:rPr>
                <w:rFonts w:ascii="Times New Roman" w:cs="Times New Roman" w:eastAsia="Times New Roman" w:hAnsi="Times New Roman"/>
                <w:sz w:val="18"/>
                <w:szCs w:val="18"/>
                <w:color w:val="auto"/>
              </w:rPr>
              <w:t>If the underwriters’ option to purchase additional shares in this offering is exercised in full, the pro forma as adjusted net tangible book</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value would be $</w:t>
            </w:r>
          </w:p>
        </w:tc>
        <w:tc>
          <w:tcPr>
            <w:tcW w:w="8940" w:type="dxa"/>
            <w:vAlign w:val="bottom"/>
            <w:gridSpan w:val="7"/>
          </w:tcPr>
          <w:p>
            <w:pPr>
              <w:jc w:val="right"/>
              <w:ind w:right="590"/>
              <w:spacing w:after="0"/>
              <w:rPr>
                <w:sz w:val="20"/>
                <w:szCs w:val="20"/>
                <w:color w:val="auto"/>
              </w:rPr>
            </w:pPr>
            <w:r>
              <w:rPr>
                <w:rFonts w:ascii="Times New Roman" w:cs="Times New Roman" w:eastAsia="Times New Roman" w:hAnsi="Times New Roman"/>
                <w:sz w:val="18"/>
                <w:szCs w:val="18"/>
                <w:color w:val="auto"/>
              </w:rPr>
              <w:t>per share, the increase in the pro forma net tangible book value per share for existing stockholders would be $</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w:t>
            </w:r>
          </w:p>
        </w:tc>
      </w:tr>
      <w:tr>
        <w:trPr>
          <w:trHeight w:val="234"/>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and the dilution to new investors participating in this offering would be $</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 share.</w:t>
            </w:r>
          </w:p>
        </w:tc>
        <w:tc>
          <w:tcPr>
            <w:tcW w:w="2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718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p>
        </w:tc>
        <w:tc>
          <w:tcPr>
            <w:tcW w:w="38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per share, the midpoint of the estimated price range</w:t>
            </w:r>
          </w:p>
        </w:tc>
      </w:tr>
      <w:tr>
        <w:trPr>
          <w:trHeight w:val="216"/>
        </w:trPr>
        <w:tc>
          <w:tcPr>
            <w:tcW w:w="92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set forth on the cover page of this prospectus, would increase (decrease) the pro forma as adjusted net tangible book value, by $</w:t>
            </w:r>
          </w:p>
        </w:tc>
        <w:tc>
          <w:tcPr>
            <w:tcW w:w="700" w:type="dxa"/>
            <w:vAlign w:val="bottom"/>
          </w:tcPr>
          <w:p>
            <w:pPr>
              <w:spacing w:after="0"/>
              <w:rPr>
                <w:sz w:val="18"/>
                <w:szCs w:val="18"/>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 share and</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dilution per share to new investors by $</w:t>
            </w:r>
          </w:p>
        </w:tc>
        <w:tc>
          <w:tcPr>
            <w:tcW w:w="6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per share, assuming the number of shares offered by us, as set forth on the cover page of this</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prospectus, remains the same, after deducting estimated underwriting discounts and commissions and estimated offering expenses payable by us.</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98" w:lineRule="exact"/>
        <w:rPr>
          <w:sz w:val="20"/>
          <w:szCs w:val="20"/>
          <w:color w:val="auto"/>
        </w:rPr>
      </w:pPr>
    </w:p>
    <w:p>
      <w:pPr>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We may also increase or decrease the number of shares we are offering. An increase (decrease) of 1,000,000 shares in the number of shares we are offering would increase (decrease) our pro forma as adjusted net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3680" w:val="left"/>
          <w:tab w:leader="none" w:pos="5300" w:val="left"/>
        </w:tabs>
        <w:rPr>
          <w:sz w:val="20"/>
          <w:szCs w:val="20"/>
          <w:color w:val="auto"/>
        </w:rPr>
      </w:pPr>
      <w:r>
        <w:rPr>
          <w:rFonts w:ascii="Times New Roman" w:cs="Times New Roman" w:eastAsia="Times New Roman" w:hAnsi="Times New Roman"/>
          <w:sz w:val="18"/>
          <w:szCs w:val="18"/>
          <w:color w:val="auto"/>
        </w:rPr>
        <w:t>tangible book value by approximately $</w:t>
      </w:r>
      <w:r>
        <w:rPr>
          <w:sz w:val="20"/>
          <w:szCs w:val="20"/>
          <w:color w:val="auto"/>
        </w:rPr>
        <w:tab/>
      </w:r>
      <w:r>
        <w:rPr>
          <w:rFonts w:ascii="Times New Roman" w:cs="Times New Roman" w:eastAsia="Times New Roman" w:hAnsi="Times New Roman"/>
          <w:sz w:val="18"/>
          <w:szCs w:val="18"/>
          <w:color w:val="auto"/>
        </w:rPr>
        <w:t>million, or $</w:t>
      </w:r>
      <w:r>
        <w:rPr>
          <w:sz w:val="20"/>
          <w:szCs w:val="20"/>
          <w:color w:val="auto"/>
        </w:rPr>
        <w:tab/>
      </w:r>
      <w:r>
        <w:rPr>
          <w:rFonts w:ascii="Times New Roman" w:cs="Times New Roman" w:eastAsia="Times New Roman" w:hAnsi="Times New Roman"/>
          <w:sz w:val="17"/>
          <w:szCs w:val="17"/>
          <w:color w:val="auto"/>
        </w:rPr>
        <w:t>per share, and the pro forma dilution per share to investors in this offering by</w:t>
      </w:r>
    </w:p>
    <w:p>
      <w:pPr>
        <w:spacing w:after="0" w:line="27" w:lineRule="exact"/>
        <w:rPr>
          <w:sz w:val="20"/>
          <w:szCs w:val="20"/>
          <w:color w:val="auto"/>
        </w:rPr>
      </w:pPr>
    </w:p>
    <w:p>
      <w:pPr>
        <w:ind w:left="120" w:right="40" w:hanging="4"/>
        <w:spacing w:after="0" w:line="255" w:lineRule="auto"/>
        <w:tabs>
          <w:tab w:leader="none" w:pos="93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assuming that the assumed initial public offering price remains the same, and after deducting estimated underwriting discounts and commissions and estimated offering expenses payable by us. The pro forma information discussed above is illustrative only and will change based on the actual initial public offering price, number of shares and other terms of this offering determined at pricing.</w:t>
      </w:r>
    </w:p>
    <w:p>
      <w:pPr>
        <w:spacing w:after="0" w:line="186" w:lineRule="exact"/>
        <w:rPr>
          <w:sz w:val="20"/>
          <w:szCs w:val="20"/>
          <w:color w:val="auto"/>
        </w:rPr>
      </w:pPr>
    </w:p>
    <w:p>
      <w:pPr>
        <w:ind w:left="120" w:right="40" w:firstLine="881"/>
        <w:spacing w:after="0" w:line="276" w:lineRule="auto"/>
        <w:rPr>
          <w:sz w:val="20"/>
          <w:szCs w:val="20"/>
          <w:color w:val="auto"/>
        </w:rPr>
      </w:pPr>
      <w:r>
        <w:rPr>
          <w:rFonts w:ascii="Times New Roman" w:cs="Times New Roman" w:eastAsia="Times New Roman" w:hAnsi="Times New Roman"/>
          <w:sz w:val="17"/>
          <w:szCs w:val="17"/>
          <w:color w:val="auto"/>
        </w:rPr>
        <w:t>The table below summarizes, as of June 30, 2020, on a pro forma as adjusted basis, the number of shares of our common stock, the total consideration, and the average price per share (i) paid to us by our existing stockholders and (ii) to be paid by new investors participating in this offering</w:t>
      </w:r>
    </w:p>
    <w:p>
      <w:pPr>
        <w:spacing w:after="0" w:line="1" w:lineRule="exact"/>
        <w:rPr>
          <w:sz w:val="20"/>
          <w:szCs w:val="20"/>
          <w:color w:val="auto"/>
        </w:rPr>
      </w:pPr>
    </w:p>
    <w:p>
      <w:pPr>
        <w:ind w:left="120" w:right="820"/>
        <w:spacing w:after="0" w:line="260" w:lineRule="auto"/>
        <w:rPr>
          <w:sz w:val="20"/>
          <w:szCs w:val="20"/>
          <w:color w:val="auto"/>
        </w:rPr>
      </w:pPr>
      <w:r>
        <w:rPr>
          <w:rFonts w:ascii="Times New Roman" w:cs="Times New Roman" w:eastAsia="Times New Roman" w:hAnsi="Times New Roman"/>
          <w:sz w:val="18"/>
          <w:szCs w:val="18"/>
          <w:color w:val="auto"/>
        </w:rPr>
        <w:t>at an assumed initial public offering price of $ per share, the midpoint of the estimated price range set forth on the cover page of this prospectus, before deducting estimated underwriting discounts and commissions and estimated offering expenses payable by us.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4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4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6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340" w:type="dxa"/>
            <w:vAlign w:val="bottom"/>
            <w:tcBorders>
              <w:bottom w:val="single" w:sz="8" w:color="auto"/>
            </w:tcBorders>
            <w:gridSpan w:val="4"/>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17"/>
        </w:trPr>
        <w:tc>
          <w:tcPr>
            <w:tcW w:w="17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0"/>
                <w:szCs w:val="10"/>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0"/>
                <w:szCs w:val="10"/>
                <w:color w:val="auto"/>
              </w:rPr>
            </w:pPr>
          </w:p>
        </w:tc>
        <w:tc>
          <w:tcPr>
            <w:tcW w:w="84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40" w:type="dxa"/>
            <w:vAlign w:val="bottom"/>
          </w:tcPr>
          <w:p>
            <w:pPr>
              <w:spacing w:after="0"/>
              <w:rPr>
                <w:sz w:val="10"/>
                <w:szCs w:val="10"/>
                <w:color w:val="auto"/>
              </w:rPr>
            </w:pPr>
          </w:p>
        </w:tc>
        <w:tc>
          <w:tcPr>
            <w:tcW w:w="76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0"/>
        </w:trPr>
        <w:tc>
          <w:tcPr>
            <w:tcW w:w="1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5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5"/>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5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3"/>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1020" w:type="dxa"/>
            <w:vAlign w:val="bottom"/>
            <w:gridSpan w:val="16"/>
          </w:tcPr>
          <w:p>
            <w:pPr>
              <w:ind w:left="880"/>
              <w:spacing w:after="0"/>
              <w:rPr>
                <w:sz w:val="20"/>
                <w:szCs w:val="20"/>
                <w:color w:val="auto"/>
              </w:rPr>
            </w:pPr>
            <w:r>
              <w:rPr>
                <w:rFonts w:ascii="Times New Roman" w:cs="Times New Roman" w:eastAsia="Times New Roman" w:hAnsi="Times New Roman"/>
                <w:sz w:val="18"/>
                <w:szCs w:val="18"/>
                <w:color w:val="auto"/>
              </w:rPr>
              <w:t>In addition, if the underwriters’ option to purchase additional shares is exercised in full, the number of shares held by existing stockholders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will be reduced to</w:t>
            </w:r>
          </w:p>
        </w:tc>
        <w:tc>
          <w:tcPr>
            <w:tcW w:w="9240" w:type="dxa"/>
            <w:vAlign w:val="bottom"/>
            <w:gridSpan w:val="15"/>
          </w:tcPr>
          <w:p>
            <w:pPr>
              <w:ind w:left="220"/>
              <w:spacing w:after="0"/>
              <w:rPr>
                <w:sz w:val="20"/>
                <w:szCs w:val="20"/>
                <w:color w:val="auto"/>
              </w:rPr>
            </w:pPr>
            <w:r>
              <w:rPr>
                <w:rFonts w:ascii="Times New Roman" w:cs="Times New Roman" w:eastAsia="Times New Roman" w:hAnsi="Times New Roman"/>
                <w:sz w:val="18"/>
                <w:szCs w:val="18"/>
                <w:color w:val="auto"/>
              </w:rPr>
              <w:t>% of the total number of shares of common stock to be outstanding upon completion of this offering, and the number of</w:t>
            </w:r>
          </w:p>
        </w:tc>
        <w:tc>
          <w:tcPr>
            <w:tcW w:w="0" w:type="dxa"/>
            <w:vAlign w:val="bottom"/>
          </w:tcPr>
          <w:p>
            <w:pPr>
              <w:spacing w:after="0"/>
              <w:rPr>
                <w:sz w:val="1"/>
                <w:szCs w:val="1"/>
                <w:color w:val="auto"/>
              </w:rPr>
            </w:pPr>
          </w:p>
        </w:tc>
      </w:tr>
      <w:tr>
        <w:trPr>
          <w:trHeight w:val="216"/>
        </w:trPr>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of common stock held by new investors participating in this offering will be further increased to</w:t>
            </w:r>
          </w:p>
        </w:tc>
        <w:tc>
          <w:tcPr>
            <w:tcW w:w="480" w:type="dxa"/>
            <w:vAlign w:val="bottom"/>
          </w:tcPr>
          <w:p>
            <w:pPr>
              <w:spacing w:after="0"/>
              <w:rPr>
                <w:sz w:val="18"/>
                <w:szCs w:val="18"/>
                <w:color w:val="auto"/>
              </w:rPr>
            </w:pPr>
          </w:p>
        </w:tc>
        <w:tc>
          <w:tcPr>
            <w:tcW w:w="302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 of the total number of shares of</w:t>
            </w:r>
          </w:p>
        </w:tc>
        <w:tc>
          <w:tcPr>
            <w:tcW w:w="0" w:type="dxa"/>
            <w:vAlign w:val="bottom"/>
          </w:tcPr>
          <w:p>
            <w:pPr>
              <w:spacing w:after="0"/>
              <w:rPr>
                <w:sz w:val="1"/>
                <w:szCs w:val="1"/>
                <w:color w:val="auto"/>
              </w:rPr>
            </w:pPr>
          </w:p>
        </w:tc>
      </w:tr>
      <w:tr>
        <w:trPr>
          <w:trHeight w:val="234"/>
        </w:trPr>
        <w:tc>
          <w:tcPr>
            <w:tcW w:w="7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common stock to be outstanding upon completion of the offering.</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24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p>
        </w:tc>
        <w:tc>
          <w:tcPr>
            <w:tcW w:w="29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w w:val="99"/>
              </w:rPr>
              <w:t>per share would increase (decrease) total</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consideration paid by new investors by $</w:t>
            </w:r>
          </w:p>
        </w:tc>
        <w:tc>
          <w:tcPr>
            <w:tcW w:w="7720" w:type="dxa"/>
            <w:vAlign w:val="bottom"/>
            <w:gridSpan w:val="14"/>
          </w:tcPr>
          <w:p>
            <w:pPr>
              <w:ind w:left="360"/>
              <w:spacing w:after="0"/>
              <w:rPr>
                <w:sz w:val="20"/>
                <w:szCs w:val="20"/>
                <w:color w:val="auto"/>
              </w:rPr>
            </w:pPr>
            <w:r>
              <w:rPr>
                <w:rFonts w:ascii="Times New Roman" w:cs="Times New Roman" w:eastAsia="Times New Roman" w:hAnsi="Times New Roman"/>
                <w:sz w:val="18"/>
                <w:szCs w:val="18"/>
                <w:color w:val="auto"/>
              </w:rPr>
              <w:t>and increase (decrease) the percent of total consideration paid by new investors by  %, assuming the</w:t>
            </w:r>
          </w:p>
        </w:tc>
        <w:tc>
          <w:tcPr>
            <w:tcW w:w="0" w:type="dxa"/>
            <w:vAlign w:val="bottom"/>
          </w:tcPr>
          <w:p>
            <w:pPr>
              <w:spacing w:after="0"/>
              <w:rPr>
                <w:sz w:val="1"/>
                <w:szCs w:val="1"/>
                <w:color w:val="auto"/>
              </w:rPr>
            </w:pPr>
          </w:p>
        </w:tc>
      </w:tr>
    </w:tbl>
    <w:p>
      <w:pPr>
        <w:ind w:left="120" w:right="160"/>
        <w:spacing w:after="0" w:line="264" w:lineRule="auto"/>
        <w:rPr>
          <w:sz w:val="20"/>
          <w:szCs w:val="20"/>
          <w:color w:val="auto"/>
        </w:rPr>
      </w:pPr>
      <w:r>
        <w:rPr>
          <w:rFonts w:ascii="Times New Roman" w:cs="Times New Roman" w:eastAsia="Times New Roman" w:hAnsi="Times New Roman"/>
          <w:sz w:val="17"/>
          <w:szCs w:val="17"/>
          <w:color w:val="auto"/>
        </w:rPr>
        <w:t>number of shares we are offering, as set forth on the cover page of this prospectus, remains the same, after deducting estimated underwriting discounts and commissions. We may also increase or decrease the number of shares we are offering. An increase (decrease) of 1,000,000 in the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offered by us would increase (decrease) total consideration paid by new investors by $ , assuming that the assumed initial price to the public remains the same, and after deducting the estimated underwriting discounts and commissions.</w:t>
      </w:r>
    </w:p>
    <w:p>
      <w:pPr>
        <w:sectPr>
          <w:pgSz w:w="11900" w:h="16838" w:orient="portrait"/>
          <w:cols w:equalWidth="0" w:num="1">
            <w:col w:w="11140"/>
          </w:cols>
          <w:pgMar w:left="320" w:top="455" w:right="439" w:bottom="1440" w:gutter="0" w:footer="0" w:header="0"/>
        </w:sectPr>
      </w:pP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number of shares of common stock to be outstanding after this offering is based on</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30, 2020 and excludes the following: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 stock outstanding as of</w:t>
      </w:r>
    </w:p>
    <w:p>
      <w:pPr>
        <w:spacing w:after="0" w:line="445" w:lineRule="exact"/>
        <w:rPr>
          <w:sz w:val="20"/>
          <w:szCs w:val="20"/>
          <w:color w:val="auto"/>
        </w:rPr>
      </w:pPr>
    </w:p>
    <w:p>
      <w:pPr>
        <w:sectPr>
          <w:pgSz w:w="11900" w:h="16838" w:orient="portrait"/>
          <w:cols w:equalWidth="0" w:num="2">
            <w:col w:w="7280" w:space="720"/>
            <w:col w:w="3140"/>
          </w:cols>
          <w:pgMar w:left="320" w:top="455" w:right="439" w:bottom="1440" w:gutter="0" w:footer="0" w:header="0"/>
          <w:type w:val="continuous"/>
        </w:sectPr>
      </w:pPr>
    </w:p>
    <w:p>
      <w:pPr>
        <w:spacing w:after="0" w:line="34" w:lineRule="exact"/>
        <w:rPr>
          <w:sz w:val="20"/>
          <w:szCs w:val="20"/>
          <w:color w:val="auto"/>
        </w:rPr>
      </w:pPr>
    </w:p>
    <w:p>
      <w:pPr>
        <w:ind w:left="2140" w:hanging="1039"/>
        <w:spacing w:after="0"/>
        <w:tabs>
          <w:tab w:leader="none" w:pos="2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options outstanding as of June 30, 2020 with a weighted-average</w:t>
      </w:r>
    </w:p>
    <w:p>
      <w:pPr>
        <w:spacing w:after="0" w:line="27" w:lineRule="exact"/>
        <w:rPr>
          <w:sz w:val="20"/>
          <w:szCs w:val="20"/>
          <w:color w:val="auto"/>
        </w:rPr>
      </w:pPr>
    </w:p>
    <w:p>
      <w:pPr>
        <w:ind w:left="1420"/>
        <w:spacing w:after="0"/>
        <w:tabs>
          <w:tab w:leader="none" w:pos="3440" w:val="left"/>
        </w:tabs>
        <w:rPr>
          <w:sz w:val="20"/>
          <w:szCs w:val="20"/>
          <w:color w:val="auto"/>
        </w:rPr>
      </w:pPr>
      <w:r>
        <w:rPr>
          <w:rFonts w:ascii="Times New Roman" w:cs="Times New Roman" w:eastAsia="Times New Roman" w:hAnsi="Times New Roman"/>
          <w:sz w:val="18"/>
          <w:szCs w:val="18"/>
          <w:color w:val="auto"/>
        </w:rPr>
        <w:t>exercise price of $</w:t>
      </w:r>
      <w:r>
        <w:rPr>
          <w:sz w:val="20"/>
          <w:szCs w:val="20"/>
          <w:color w:val="auto"/>
        </w:rPr>
        <w:tab/>
      </w:r>
      <w:r>
        <w:rPr>
          <w:rFonts w:ascii="Times New Roman" w:cs="Times New Roman" w:eastAsia="Times New Roman" w:hAnsi="Times New Roman"/>
          <w:sz w:val="18"/>
          <w:szCs w:val="18"/>
          <w:color w:val="auto"/>
        </w:rPr>
        <w:t>per share;</w:t>
      </w:r>
    </w:p>
    <w:p>
      <w:pPr>
        <w:spacing w:after="0" w:line="234" w:lineRule="exact"/>
        <w:rPr>
          <w:sz w:val="20"/>
          <w:szCs w:val="20"/>
          <w:color w:val="auto"/>
        </w:rPr>
      </w:pPr>
    </w:p>
    <w:p>
      <w:pPr>
        <w:ind w:left="2140" w:hanging="1039"/>
        <w:spacing w:after="0"/>
        <w:tabs>
          <w:tab w:leader="none" w:pos="21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issuable upon the exercise of options granted after June 30, 2020 with a weighted-average exercise</w:t>
      </w:r>
    </w:p>
    <w:p>
      <w:pPr>
        <w:spacing w:after="0" w:line="39" w:lineRule="exact"/>
        <w:rPr>
          <w:sz w:val="20"/>
          <w:szCs w:val="20"/>
          <w:color w:val="auto"/>
        </w:rPr>
      </w:pPr>
    </w:p>
    <w:p>
      <w:pPr>
        <w:ind w:left="1420"/>
        <w:spacing w:after="0"/>
        <w:tabs>
          <w:tab w:leader="none" w:pos="2820" w:val="left"/>
        </w:tabs>
        <w:rPr>
          <w:sz w:val="20"/>
          <w:szCs w:val="20"/>
          <w:color w:val="auto"/>
        </w:rPr>
      </w:pPr>
      <w:r>
        <w:rPr>
          <w:rFonts w:ascii="Times New Roman" w:cs="Times New Roman" w:eastAsia="Times New Roman" w:hAnsi="Times New Roman"/>
          <w:sz w:val="18"/>
          <w:szCs w:val="18"/>
          <w:color w:val="auto"/>
        </w:rPr>
        <w:t>price of $</w:t>
      </w:r>
      <w:r>
        <w:rPr>
          <w:sz w:val="20"/>
          <w:szCs w:val="20"/>
          <w:color w:val="auto"/>
        </w:rPr>
        <w:tab/>
      </w:r>
      <w:r>
        <w:rPr>
          <w:rFonts w:ascii="Times New Roman" w:cs="Times New Roman" w:eastAsia="Times New Roman" w:hAnsi="Times New Roman"/>
          <w:sz w:val="17"/>
          <w:szCs w:val="17"/>
          <w:color w:val="auto"/>
        </w:rPr>
        <w:t>per share;</w:t>
      </w:r>
    </w:p>
    <w:p>
      <w:pPr>
        <w:spacing w:after="0" w:line="234" w:lineRule="exact"/>
        <w:rPr>
          <w:sz w:val="20"/>
          <w:szCs w:val="20"/>
          <w:color w:val="auto"/>
        </w:rPr>
      </w:pPr>
    </w:p>
    <w:p>
      <w:pPr>
        <w:ind w:left="1420" w:right="240" w:hanging="319"/>
        <w:spacing w:after="0" w:line="282" w:lineRule="auto"/>
        <w:tabs>
          <w:tab w:leader="none" w:pos="1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legally issued upon the early exercise of certain stock options, but are subject to service conditions and the right of repurchase, that were outstanding as of June 30, 2020;</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w:t>
      </w:r>
    </w:p>
    <w:p>
      <w:pPr>
        <w:sectPr>
          <w:pgSz w:w="11900" w:h="16838" w:orient="portrait"/>
          <w:cols w:equalWidth="0" w:num="1">
            <w:col w:w="11140"/>
          </w:cols>
          <w:pgMar w:left="320" w:top="455" w:right="439" w:bottom="1440" w:gutter="0" w:footer="0" w:header="0"/>
          <w:type w:val="continuous"/>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100" w:hanging="319"/>
        <w:spacing w:after="0" w:line="282" w:lineRule="auto"/>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2016 Plan, as of June 30, 2020, which shares will be added to the shares to be reserved under our 2020 Plan upon its effectiveness;</w:t>
      </w:r>
    </w:p>
    <w:p>
      <w:pPr>
        <w:spacing w:after="0" w:line="188" w:lineRule="exact"/>
        <w:rPr>
          <w:rFonts w:ascii="Times New Roman" w:cs="Times New Roman" w:eastAsia="Times New Roman" w:hAnsi="Times New Roman"/>
          <w:sz w:val="18"/>
          <w:szCs w:val="18"/>
          <w:color w:val="auto"/>
        </w:rPr>
      </w:pPr>
    </w:p>
    <w:p>
      <w:pPr>
        <w:ind w:left="1420" w:right="40" w:hanging="319"/>
        <w:spacing w:after="0" w:line="266" w:lineRule="auto"/>
        <w:tabs>
          <w:tab w:leader="none" w:pos="2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202" w:lineRule="exact"/>
        <w:rPr>
          <w:rFonts w:ascii="Times New Roman" w:cs="Times New Roman" w:eastAsia="Times New Roman" w:hAnsi="Times New Roman"/>
          <w:sz w:val="18"/>
          <w:szCs w:val="18"/>
          <w:color w:val="auto"/>
        </w:rPr>
      </w:pPr>
    </w:p>
    <w:p>
      <w:pPr>
        <w:ind w:left="1420" w:right="500" w:hanging="319"/>
        <w:spacing w:after="0" w:line="266" w:lineRule="auto"/>
        <w:tabs>
          <w:tab w:leader="none" w:pos="200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issuance under our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76"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To the extent that any outstanding options are exercised or new awards are granted under our equity compensation plans, new investors will experience further dilution.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60"/>
          </w:cols>
          <w:pgMar w:left="320" w:top="455" w:right="51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ind w:left="120" w:right="500" w:firstLine="881"/>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section titled “Management’s Discussion and Analysis of Financial Condition and Results of Operations” and the financial statements and related notes included elsewhere in this prospectus.</w:t>
      </w:r>
    </w:p>
    <w:p>
      <w:pPr>
        <w:spacing w:after="0" w:line="162"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The statements of operations data for the years ended December 31, 2018 and 2019 and the balance sheet data as of December 31, 2018 and 2019 are derived from our audited financial statements and related notes included elsewhere in this prospectus. Our historical results are not necessarily indicative of the results to be expected in the future. The selected financial data in this section are not intended to replace our financial statements and the related notes and are qualified in their entirety by the financial statements and related notes included elsewhere in this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20" w:type="dxa"/>
            <w:vAlign w:val="bottom"/>
            <w:gridSpan w:val="5"/>
          </w:tcPr>
          <w:p>
            <w:pPr>
              <w:jc w:val="center"/>
              <w:ind w:right="11"/>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901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3,162</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4,298</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other income (expense) and income taxes</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(1,319)</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r>
              <w:rPr>
                <w:rFonts w:ascii="Times New Roman" w:cs="Times New Roman" w:eastAsia="Times New Roman" w:hAnsi="Times New Roman"/>
                <w:sz w:val="15"/>
                <w:szCs w:val="15"/>
                <w:color w:val="auto"/>
              </w:rPr>
              <w:t>(1)</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and diluted </w:t>
            </w:r>
            <w:r>
              <w:rPr>
                <w:rFonts w:ascii="Times New Roman" w:cs="Times New Roman" w:eastAsia="Times New Roman" w:hAnsi="Times New Roman"/>
                <w:sz w:val="15"/>
                <w:szCs w:val="15"/>
                <w:color w:val="auto"/>
              </w:rPr>
              <w:t>(1)</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13,068,854</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17,728,991</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 (unaudited)</w:t>
            </w:r>
            <w:r>
              <w:rPr>
                <w:rFonts w:ascii="Times New Roman" w:cs="Times New Roman" w:eastAsia="Times New Roman" w:hAnsi="Times New Roman"/>
                <w:sz w:val="15"/>
                <w:szCs w:val="15"/>
                <w:color w:val="auto"/>
              </w:rPr>
              <w:t>(1)</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pro forma net loss per share attributable to common</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 (unaudited)</w:t>
            </w:r>
            <w:r>
              <w:rPr>
                <w:rFonts w:ascii="Times New Roman" w:cs="Times New Roman" w:eastAsia="Times New Roman" w:hAnsi="Times New Roman"/>
                <w:sz w:val="15"/>
                <w:szCs w:val="15"/>
                <w:color w:val="auto"/>
              </w:rPr>
              <w:t>(1)</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32,008,512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0" w:lineRule="exact"/>
        <w:rPr>
          <w:sz w:val="20"/>
          <w:szCs w:val="20"/>
          <w:color w:val="auto"/>
        </w:rPr>
      </w:pPr>
    </w:p>
    <w:p>
      <w:pPr>
        <w:ind w:left="540" w:right="60" w:hanging="424"/>
        <w:spacing w:after="0" w:line="261" w:lineRule="auto"/>
        <w:tabs>
          <w:tab w:leader="none" w:pos="5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calculation of our basic and diluted net loss per share, unaudited basic and diluted pro forma net loss per share and weighted-average number of shares used in the computation of the per share amounts, see Note 6 and Note 7 to our financial statements included elsewhere in this prospectus.</w:t>
      </w:r>
    </w:p>
    <w:p>
      <w:pPr>
        <w:spacing w:after="0" w:line="99" w:lineRule="exact"/>
        <w:rPr>
          <w:rFonts w:ascii="Times New Roman" w:cs="Times New Roman" w:eastAsia="Times New Roman" w:hAnsi="Times New Roman"/>
          <w:sz w:val="14"/>
          <w:szCs w:val="14"/>
          <w:color w:val="auto"/>
        </w:rPr>
      </w:pPr>
    </w:p>
    <w:p>
      <w:pPr>
        <w:ind w:left="5540" w:hanging="111"/>
        <w:spacing w:after="0"/>
        <w:tabs>
          <w:tab w:leader="none" w:pos="55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w:t>
      </w:r>
    </w:p>
    <w:p>
      <w:pPr>
        <w:sectPr>
          <w:pgSz w:w="11900" w:h="16838" w:orient="portrait"/>
          <w:cols w:equalWidth="0" w:num="1">
            <w:col w:w="11140"/>
          </w:cols>
          <w:pgMar w:left="320" w:top="455"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2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94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9420" w:type="dxa"/>
            <w:vAlign w:val="bottom"/>
          </w:tcPr>
          <w:p>
            <w:pPr>
              <w:spacing w:after="0"/>
              <w:rPr>
                <w:sz w:val="12"/>
                <w:szCs w:val="12"/>
                <w:color w:val="auto"/>
              </w:rPr>
            </w:pPr>
          </w:p>
        </w:tc>
        <w:tc>
          <w:tcPr>
            <w:tcW w:w="1480" w:type="dxa"/>
            <w:vAlign w:val="bottom"/>
            <w:gridSpan w:val="2"/>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99"/>
              </w:rPr>
              <w:t>$ 2,355</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$57,952</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15"/>
                <w:szCs w:val="15"/>
                <w:color w:val="auto"/>
              </w:rPr>
              <w:t>(1)</w:t>
            </w:r>
          </w:p>
        </w:tc>
        <w:tc>
          <w:tcPr>
            <w:tcW w:w="7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2,204</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57,211</w:t>
            </w: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2,389</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58,316</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179</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3,564</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63,402</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(1,364)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(6,034)</w:t>
            </w:r>
          </w:p>
        </w:tc>
      </w:tr>
      <w:tr>
        <w:trPr>
          <w:trHeight w:val="234"/>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(1,354)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6"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define working capital as current assets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current liabilities as of the balance sheet date.</w:t>
      </w:r>
    </w:p>
    <w:p>
      <w:pPr>
        <w:spacing w:after="0" w:line="142" w:lineRule="exact"/>
        <w:rPr>
          <w:rFonts w:ascii="Times New Roman" w:cs="Times New Roman" w:eastAsia="Times New Roman" w:hAnsi="Times New Roman"/>
          <w:sz w:val="14"/>
          <w:szCs w:val="14"/>
          <w:color w:val="auto"/>
        </w:rPr>
      </w:pPr>
    </w:p>
    <w:p>
      <w:pPr>
        <w:ind w:left="5540" w:hanging="111"/>
        <w:spacing w:after="0"/>
        <w:tabs>
          <w:tab w:leader="none" w:pos="55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w:t>
      </w:r>
    </w:p>
    <w:p>
      <w:pPr>
        <w:sectPr>
          <w:pgSz w:w="11900" w:h="16838" w:orient="portrait"/>
          <w:cols w:equalWidth="0" w:num="1">
            <w:col w:w="11140"/>
          </w:cols>
          <w:pgMar w:left="320" w:top="455" w:right="4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right="2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“Selected Financial Data” and our audited financial statements and the related notes to those statements included elsewhere in this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 titled “Risk Factors” and elsewhere in this prospectus. See the section titled “Special Note Regarding Forward-Looking Statements” elsewhere in this prospectus.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 of our Business</w:t>
      </w:r>
    </w:p>
    <w:p>
      <w:pPr>
        <w:spacing w:after="0" w:line="22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We are a late clinical-stage biopharmaceutical company focused on the development and commercialization of first-in-class therapeutic candidates to address large market opportunities initially in ophthalmic conditions where there are limited treatment alternatives. Our lead product candidate, TP-03, is a Phase 3 ready, first-in-class, novel therapeutic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of cases caused by Demodex infestation. Further, our internal studies indicate the possibility that the number of Demodex blepharitis cases may be as high as approximately 25 million based on observation of collarettes in patients presenting to eye care clinics. We believe that, if approved, TP-03 has the potential to be the first FDA-approved therapeutic and become the standard of care for the treatment of Demodex blepharitis. To date, we have completed four Phase 2 trials for TP-03 in Demodex blepharitis, all of which showed highly statistically significant cure and eradication rates and TP-03 was well tolerated. We intend to commence our first Phase 3 trial, Saturn-1, in 2020 and a second Phase 3 trial, Saturn-2, in 2021 with primary and secondary endpoints consistent with those of the Phase 2 trials. If successful, we expect these trials to support the submission of an NDA, to the FDA for TP-03 for the treatment of Demodex blepharitis. Furthermore, we intend to pursue marketing authorizations in jurisdictions outside the United States, including Europe and Japan.</w:t>
      </w:r>
    </w:p>
    <w:p>
      <w:pPr>
        <w:spacing w:after="0" w:line="196"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Our current therapeutic strategy is focused on the clinical development of, for the first time in human medicine, the novel drug, lotilaner, which is designed to paralyze and eradicate mites and other parasites through the inhibition of parasite-specific GABA-Cl channels. Our pipeline will address a number of diseases across therapeutic categories including eye care and dermatology. These diseases include Demodex blepharitis, MGD and rosacea.</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and Financial Overview</w:t>
      </w:r>
    </w:p>
    <w:p>
      <w:pPr>
        <w:spacing w:after="0" w:line="229" w:lineRule="exact"/>
        <w:rPr>
          <w:sz w:val="20"/>
          <w:szCs w:val="20"/>
          <w:color w:val="auto"/>
        </w:rPr>
      </w:pPr>
    </w:p>
    <w:p>
      <w:pPr>
        <w:ind w:left="120" w:right="60" w:firstLine="881"/>
        <w:spacing w:after="0" w:line="277" w:lineRule="auto"/>
        <w:rPr>
          <w:sz w:val="20"/>
          <w:szCs w:val="20"/>
          <w:color w:val="auto"/>
        </w:rPr>
      </w:pPr>
      <w:r>
        <w:rPr>
          <w:rFonts w:ascii="Times New Roman" w:cs="Times New Roman" w:eastAsia="Times New Roman" w:hAnsi="Times New Roman"/>
          <w:sz w:val="17"/>
          <w:szCs w:val="17"/>
          <w:color w:val="auto"/>
        </w:rPr>
        <w:t>We were incorporated as a Delaware corporation in November 2016, and our headquarters is located in Irvine, California. Since our inception in November 2016, we have devoted substantially all of our resources to organizing and staffing our company, acquiring intellectual property, clinical development of our product candidates, building our research and development capabilities, raising capital, and enhancing our corporate infrastructure. To date we have financed our operations through private placements of preferred stock and convertible promissory notes. From inception through December 31, 2019, we have raised net proceeds of approximately $61.0 million through private placements of preferred stock.</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We have incurred significant net operating losses in every year since our inception and expect to continue to incur significant operating expenses and increasing operating losses for the foreseeable future. Our net losses were $1.3 million and $4.7 million for the years ended December 31, 2018 and 2019, respectively. Our net losses may fluctuate significantly from quarter to quarter and year to year and could be substantial. As of December 31, 2019, we had an accumulated deficit of $6.0 million from research and development and general and administrative activities since our inception. We anticipate that our operating expenses will increase significantly as we:</w:t>
      </w:r>
    </w:p>
    <w:p>
      <w:pPr>
        <w:spacing w:after="0" w:line="210" w:lineRule="exact"/>
        <w:rPr>
          <w:sz w:val="20"/>
          <w:szCs w:val="20"/>
          <w:color w:val="auto"/>
        </w:rPr>
      </w:pPr>
    </w:p>
    <w:p>
      <w:pPr>
        <w:ind w:left="1420" w:hanging="319"/>
        <w:spacing w:after="0" w:line="282" w:lineRule="auto"/>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clinical trials of our lead product candidate, TP-03, for the treatment of Demodex blepharitis including our Phase 3 trials, Saturn-1 and Saturn-2;</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TP-03 for the treatment of MGD and TP-04 for the potential treatment of rosacea;</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product candidates that successfully complete clinical development, if any;</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own salesforce in the United States to commercialize our products for which we obtain regulatory approval;</w:t>
      </w:r>
    </w:p>
    <w:p>
      <w:pPr>
        <w:spacing w:after="0" w:line="252" w:lineRule="exact"/>
        <w:rPr>
          <w:rFonts w:ascii="Times New Roman" w:cs="Times New Roman" w:eastAsia="Times New Roman" w:hAnsi="Times New Roman"/>
          <w:sz w:val="18"/>
          <w:szCs w:val="18"/>
          <w:color w:val="auto"/>
        </w:rPr>
      </w:pPr>
    </w:p>
    <w:p>
      <w:pPr>
        <w:ind w:left="1420" w:right="100" w:hanging="319"/>
        <w:spacing w:after="0" w:line="282" w:lineRule="auto"/>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contract manufacturers to ensure a sufficient supply chain capacity to provide commercial quantities of any products for which we may obtain marketing approval;</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52" w:lineRule="exact"/>
        <w:rPr>
          <w:rFonts w:ascii="Times New Roman" w:cs="Times New Roman" w:eastAsia="Times New Roman" w:hAnsi="Times New Roman"/>
          <w:sz w:val="18"/>
          <w:szCs w:val="18"/>
          <w:color w:val="auto"/>
        </w:rPr>
      </w:pPr>
    </w:p>
    <w:p>
      <w:pPr>
        <w:ind w:left="1420" w:right="80" w:hanging="319"/>
        <w:spacing w:after="0" w:line="282" w:lineRule="auto"/>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technical, regulatory, marketing, operations, financial, and other support personnel, to execute our business plan; and</w:t>
      </w:r>
    </w:p>
    <w:p>
      <w:pPr>
        <w:spacing w:after="0" w:line="188" w:lineRule="exact"/>
        <w:rPr>
          <w:rFonts w:ascii="Times New Roman" w:cs="Times New Roman" w:eastAsia="Times New Roman" w:hAnsi="Times New Roman"/>
          <w:sz w:val="18"/>
          <w:szCs w:val="18"/>
          <w:color w:val="auto"/>
        </w:rPr>
      </w:pPr>
    </w:p>
    <w:p>
      <w:pPr>
        <w:ind w:left="1420" w:right="320" w:hanging="319"/>
        <w:spacing w:after="0" w:line="282" w:lineRule="auto"/>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information systems and personnel to support our product development and potential future commercialization efforts, and to enable us to operate as a public company.</w:t>
      </w:r>
    </w:p>
    <w:p>
      <w:pPr>
        <w:spacing w:after="0" w:line="162"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We do not have any products approved for sale and we have not yet generated any revenue from product sales or other sources. 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88"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product development, we are unable to accurately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180" w:lineRule="exact"/>
        <w:rPr>
          <w:sz w:val="20"/>
          <w:szCs w:val="20"/>
          <w:color w:val="auto"/>
        </w:rPr>
      </w:pPr>
    </w:p>
    <w:p>
      <w:pPr>
        <w:ind w:left="120" w:right="180" w:firstLine="881"/>
        <w:spacing w:after="0" w:line="276" w:lineRule="auto"/>
        <w:rPr>
          <w:sz w:val="20"/>
          <w:szCs w:val="20"/>
          <w:color w:val="auto"/>
        </w:rPr>
      </w:pPr>
      <w:r>
        <w:rPr>
          <w:rFonts w:ascii="Times New Roman" w:cs="Times New Roman" w:eastAsia="Times New Roman" w:hAnsi="Times New Roman"/>
          <w:sz w:val="17"/>
          <w:szCs w:val="17"/>
          <w:color w:val="auto"/>
        </w:rPr>
        <w:t>As of December 31, 2019, our aggregate cash and cash equivalents was $58.0 million. We believe that the net proceeds from this offering together with our existing cash and cash equivalents will enable us to fund our operating expenses and capital expenditure requirements through</w:t>
      </w:r>
    </w:p>
    <w:p>
      <w:pPr>
        <w:spacing w:after="0" w:line="1" w:lineRule="exact"/>
        <w:rPr>
          <w:sz w:val="20"/>
          <w:szCs w:val="20"/>
          <w:color w:val="auto"/>
        </w:rPr>
      </w:pPr>
    </w:p>
    <w:p>
      <w:pPr>
        <w:ind w:left="120"/>
        <w:spacing w:after="0"/>
        <w:tabs>
          <w:tab w:leader="none" w:pos="1040" w:val="left"/>
          <w:tab w:leader="none" w:pos="1680" w:val="left"/>
        </w:tabs>
        <w:rPr>
          <w:sz w:val="20"/>
          <w:szCs w:val="20"/>
          <w:color w:val="auto"/>
        </w:rPr>
      </w:pP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of 202</w:t>
      </w:r>
      <w:r>
        <w:rPr>
          <w:sz w:val="20"/>
          <w:szCs w:val="20"/>
          <w:color w:val="auto"/>
        </w:rPr>
        <w:tab/>
      </w:r>
      <w:r>
        <w:rPr>
          <w:rFonts w:ascii="Times New Roman" w:cs="Times New Roman" w:eastAsia="Times New Roman" w:hAnsi="Times New Roman"/>
          <w:sz w:val="17"/>
          <w:szCs w:val="17"/>
          <w:color w:val="auto"/>
        </w:rPr>
        <w:t>– see “Liquidity and Capital Resources.”</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80"/>
          </w:cols>
          <w:pgMar w:left="320" w:top="455" w:right="49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the COVID-19 Pandemic on our Operations</w:t>
      </w:r>
    </w:p>
    <w:p>
      <w:pPr>
        <w:spacing w:after="0" w:line="22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Efforts to contain the spread of COVID-19 in the United States (including in California where our corporate headquarters and laboratory facility are located) and other countries have included quarantines, shelter-in-place orders, and various other government restrictions in order to control the spread of this virus.</w:t>
      </w:r>
    </w:p>
    <w:p>
      <w:pPr>
        <w:spacing w:after="0" w:line="176"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have been carefully monitoring the COVID-19 pandemic as it continues to progress and its potential impact on our business. We have taken important steps to ensure the workplace safety of our employees when working within our laboratory and administrative offices, or when traveling to our clinical trial sites. We have also implemented an interim work-from-home policy and we may take further actions as may be required by federal, state or local authorities.</w:t>
      </w:r>
    </w:p>
    <w:p>
      <w:pPr>
        <w:spacing w:after="0" w:line="180"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However, the ultimate effect from this pandemic on our development timelines for TP-03 and our other product candidates is inherently uncertain.</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See “Risk Factors” for a further discussion of the potential adverse impact of COVID-19 on our business, results of operations and financial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condition.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In-License Agreement for Lotilaner</w:t>
      </w:r>
    </w:p>
    <w:p>
      <w:pPr>
        <w:spacing w:after="0" w:line="229" w:lineRule="exact"/>
        <w:rPr>
          <w:sz w:val="20"/>
          <w:szCs w:val="20"/>
          <w:color w:val="auto"/>
        </w:rPr>
      </w:pPr>
    </w:p>
    <w:p>
      <w:pPr>
        <w:ind w:left="120" w:right="220" w:firstLine="881"/>
        <w:spacing w:after="0" w:line="266" w:lineRule="auto"/>
        <w:rPr>
          <w:sz w:val="20"/>
          <w:szCs w:val="20"/>
          <w:color w:val="auto"/>
        </w:rPr>
      </w:pPr>
      <w:r>
        <w:rPr>
          <w:rFonts w:ascii="Times New Roman" w:cs="Times New Roman" w:eastAsia="Times New Roman" w:hAnsi="Times New Roman"/>
          <w:sz w:val="18"/>
          <w:szCs w:val="18"/>
          <w:color w:val="auto"/>
        </w:rPr>
        <w:t>In January 2019, we entered into the Elanco Agreement with Elanco granting us worldwide development and marketing rights (including sublicense rights) to lotilaner for the treatment or cure of any eye or skin disease or condition in humans. We plan to utilize these license rights in developing and marketing our TP-03 and TP-04 product candidates.</w:t>
      </w:r>
    </w:p>
    <w:p>
      <w:pPr>
        <w:spacing w:after="0" w:line="176" w:lineRule="exact"/>
        <w:rPr>
          <w:sz w:val="20"/>
          <w:szCs w:val="20"/>
          <w:color w:val="auto"/>
        </w:rPr>
      </w:pPr>
    </w:p>
    <w:p>
      <w:pPr>
        <w:ind w:left="120" w:right="540" w:firstLine="881"/>
        <w:spacing w:after="0" w:line="282" w:lineRule="auto"/>
        <w:rPr>
          <w:sz w:val="20"/>
          <w:szCs w:val="20"/>
          <w:color w:val="auto"/>
        </w:rPr>
      </w:pPr>
      <w:r>
        <w:rPr>
          <w:rFonts w:ascii="Times New Roman" w:cs="Times New Roman" w:eastAsia="Times New Roman" w:hAnsi="Times New Roman"/>
          <w:sz w:val="18"/>
          <w:szCs w:val="18"/>
          <w:color w:val="auto"/>
        </w:rPr>
        <w:t>We made an upfront payment of $1.0 million to Elanco at contract execution, which we recorded within “research and development” expense within our statements of operations for the year ended December 31, 2019.</w:t>
      </w:r>
    </w:p>
    <w:p>
      <w:pPr>
        <w:spacing w:after="0" w:line="162"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value of remaining clinical milestone payments that may become contractually due to Elanco for the Demodex blepharitis or MGD indications aggregate $3.0 million; and aggregate $3.0 million for the rosacea indication. We may also be required to pay Elanco up to an aggregate of $79.0 million for various commercialization milestones. Also, we will be obligated to pay Elanco tiered single-digit royalties on our worldwide net sales of these products.</w:t>
      </w:r>
    </w:p>
    <w:p>
      <w:pPr>
        <w:spacing w:after="0" w:line="180" w:lineRule="exact"/>
        <w:rPr>
          <w:sz w:val="20"/>
          <w:szCs w:val="20"/>
          <w:color w:val="auto"/>
        </w:rPr>
      </w:pPr>
    </w:p>
    <w:p>
      <w:pPr>
        <w:ind w:left="120" w:right="200" w:firstLine="881"/>
        <w:spacing w:after="0" w:line="258" w:lineRule="auto"/>
        <w:rPr>
          <w:sz w:val="20"/>
          <w:szCs w:val="20"/>
          <w:color w:val="auto"/>
        </w:rPr>
      </w:pPr>
      <w:r>
        <w:rPr>
          <w:rFonts w:ascii="Times New Roman" w:cs="Times New Roman" w:eastAsia="Times New Roman" w:hAnsi="Times New Roman"/>
          <w:sz w:val="18"/>
          <w:szCs w:val="18"/>
          <w:color w:val="auto"/>
        </w:rPr>
        <w:t>Depending on the milestone type, upon achievement, we expect that we will either recognize the payment value within “research and development” expense or “cost of sales” in our consolidated statements of operations. Ongoing royalty payments will be recognized within “cost of sales” in our consolidated statements of operations. The corresponding liability for any payment due to Elanco will be recognized within “accounts payable and other accrued liabilities” in our consolidated balance sheets in the earliest period that we determine the respective payment is triggered or becomes probable.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Our operating expenses since inception have consisted solely of research and development expenses and general and administrative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Our research and development expenses consist of expenses incurred in connection with the development of our product candidates,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w:t>
      </w:r>
    </w:p>
    <w:p>
      <w:pPr>
        <w:spacing w:after="0" w:line="234" w:lineRule="exact"/>
        <w:rPr>
          <w:sz w:val="20"/>
          <w:szCs w:val="20"/>
          <w:color w:val="auto"/>
        </w:rPr>
      </w:pPr>
    </w:p>
    <w:p>
      <w:pPr>
        <w:ind w:left="1420" w:hanging="319"/>
        <w:spacing w:after="0"/>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to conduct certain research and development activities on our behalf, including under agreements with CROs;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licensing agreements, such as our upfront in-license fee for lotilaner;</w:t>
      </w:r>
    </w:p>
    <w:p>
      <w:pPr>
        <w:spacing w:after="0" w:line="252" w:lineRule="exact"/>
        <w:rPr>
          <w:rFonts w:ascii="Times New Roman" w:cs="Times New Roman" w:eastAsia="Times New Roman" w:hAnsi="Times New Roman"/>
          <w:sz w:val="18"/>
          <w:szCs w:val="18"/>
          <w:color w:val="auto"/>
        </w:rPr>
      </w:pPr>
    </w:p>
    <w:p>
      <w:pPr>
        <w:ind w:left="1420" w:right="260" w:hanging="319"/>
        <w:spacing w:after="0" w:line="282" w:lineRule="auto"/>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costs and certain allocated payroll and employee-related expenses (including stock-based compensation and salaries) for personnel engaged in research and development functions;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clinical regulatory requirements;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drug products for use in our preclinical studies and clinical trials;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expenses, which include direct and allocated expenses for rent of our laboratory.</w:t>
      </w:r>
    </w:p>
    <w:p>
      <w:pPr>
        <w:spacing w:after="0" w:line="225"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We expense both internal and external research and development expenses as incurred or as certain upfront or milestone payments become contractually due to licensors upon achievement of clinical or regulatory events. We recognize external research and development costs based on an evaluation of the progress to completion of specific tasks or patient dosing using information provided to us by our service providers.</w:t>
      </w:r>
    </w:p>
    <w:p>
      <w:pPr>
        <w:spacing w:after="0" w:line="176"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 For the years ended December 31, 2018 and 2019, substantially all of our research and development expenses are attributable to our TP-03 program for Demodex blepharitis.</w:t>
      </w:r>
    </w:p>
    <w:p>
      <w:pPr>
        <w:spacing w:after="0" w:line="183"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such as TP-03, generally have higher development costs than those in earlier stages of clinical development, primarily due to the increased size and duration of later-stage clinical trials. We expect our research and development expenses to increase substantially following this offering and in the future, as we seek to initiate and progress additional clinical trials for our product candidates, including TP-03 for the potential treatment of MGD and TP-04 for the potential treatment of rosacea, complete our clinical programs, pursue regulatory approval of our product candidates, and prepare for the possible commercialization of these product candidates. The successful development of our product candidates is highly uncertain. As this time, we cannot precisely estimate the aggregate costs required to complete significant portions of our clinical programs or additional costs associated with the validation of our contract manufacturers and suppliers as required by the FDA. See “Risk Factors” for a discussion of risks and uncertainties associated with our research and development projects.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of personnel-related costs including payroll, benefits, and stock-based compensation for our executive, finance, and other administrative functions. Other general and administrative expenses include consulting fees, legal services, rent and other facilities costs, and other general operating expenses not otherwise classified as research and development expenses.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substantially in the future as a result of expanding our operations, including hiring personal, preparing for potential commercialization of our product candidates, and additional facility occupancy costs, as well various incremental costs associated with being a public company (including increased legal and accounting fees, regulatory costs associated with maintaining compliance with the rules of the Nasdaq Stock Market and SEC regulations, investor relations activities, directors and officers liability insurance premiums, and other accompanying compliance and governance costs).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2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primarily of interest expense on our convertible promissory notes, other expense from the change in fair value of the derivative liabilities associated with the promissory notes and losses recorded on the extinguishment of convertible promissory notes. Interest expense is comprised of coupon interest, amortization of debt issuance costs, and non-cash accretion of an estimated discount on the convertible promissory notes (as part of the separate recognition of an embedded derivative liability). Our recognized interest expense was partially offset by interest income earned on our cash and cash equivalents.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29"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Since our inception, we have not recorded any U.S. federal or state income tax benefits for the net operating losses we have incurred in each year, or for our earned research and development tax credits, due to our uncertainty of realizing a benefit from either. As of December 31, 2019, we had deferred tax assets including federal and state net operating loss carryforwards of $1.3 million. As a result of the Tax Cuts and Jobs Act of 2017, net operating losses (for U.S. income tax purposes) generated prior to December 31, 2018 can be carried forward for up to 20 years, while net operating losses generated after December 31, 2017 can be carried forward indefinitely, but are limited to 80% utilization against taxable income. Our California net operating losses will begin to expire in 2037. At December 31, 2019, we had federal and California research and development tax credits of</w:t>
      </w:r>
    </w:p>
    <w:p>
      <w:pPr>
        <w:spacing w:after="0" w:line="5" w:lineRule="exact"/>
        <w:rPr>
          <w:sz w:val="20"/>
          <w:szCs w:val="20"/>
          <w:color w:val="auto"/>
        </w:rPr>
      </w:pPr>
    </w:p>
    <w:p>
      <w:pPr>
        <w:ind w:left="120" w:right="700"/>
        <w:spacing w:after="0" w:line="260" w:lineRule="auto"/>
        <w:rPr>
          <w:sz w:val="20"/>
          <w:szCs w:val="20"/>
          <w:color w:val="auto"/>
        </w:rPr>
      </w:pPr>
      <w:r>
        <w:rPr>
          <w:rFonts w:ascii="Times New Roman" w:cs="Times New Roman" w:eastAsia="Times New Roman" w:hAnsi="Times New Roman"/>
          <w:sz w:val="18"/>
          <w:szCs w:val="18"/>
          <w:color w:val="auto"/>
        </w:rPr>
        <w:t>$0.1 million each. The federal research and development tax credits begin to expire in 2037 unless previously utilized, and the California credit carryforwards are available indefinitely.</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2018 and 2019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4"/>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980" w:type="dxa"/>
            <w:vAlign w:val="bottom"/>
            <w:gridSpan w:val="2"/>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5"/>
          </w:tcPr>
          <w:p>
            <w:pPr>
              <w:jc w:val="right"/>
              <w:ind w:right="56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901</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3,162</w:t>
            </w:r>
          </w:p>
        </w:tc>
        <w:tc>
          <w:tcPr>
            <w:tcW w:w="116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color w:val="auto"/>
              </w:rPr>
              <w:t>2,261</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449</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1,136</w:t>
            </w:r>
          </w:p>
        </w:tc>
        <w:tc>
          <w:tcPr>
            <w:tcW w:w="116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687</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5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4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before other income (expense) and income taxes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w w:val="95"/>
              </w:rPr>
              <w:t>(1,350)</w:t>
            </w: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(4,298)</w:t>
            </w:r>
          </w:p>
        </w:tc>
        <w:tc>
          <w:tcPr>
            <w:tcW w:w="116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(2,948)</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32</w:t>
            </w: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(72)</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(255)</w:t>
            </w:r>
          </w:p>
        </w:tc>
        <w:tc>
          <w:tcPr>
            <w:tcW w:w="116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(255)</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(76)</w:t>
            </w:r>
          </w:p>
        </w:tc>
        <w:tc>
          <w:tcPr>
            <w:tcW w:w="116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(76)</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income (expense), net</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(1,319</w:t>
            </w:r>
          </w:p>
        </w:tc>
        <w:tc>
          <w:tcPr>
            <w:tcW w:w="4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(4,670</w:t>
            </w:r>
          </w:p>
        </w:tc>
        <w:tc>
          <w:tcPr>
            <w:tcW w:w="2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(3,351</w:t>
            </w:r>
          </w:p>
        </w:tc>
        <w:tc>
          <w:tcPr>
            <w:tcW w:w="420" w:type="dxa"/>
            <w:vAlign w:val="bottom"/>
            <w:vMerge w:val="continue"/>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2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Research and development expenses increased by $2.3 million for the year ended December 31, 2019. The increase was primarily due to</w:t>
      </w:r>
    </w:p>
    <w:p>
      <w:pPr>
        <w:spacing w:after="0" w:line="27" w:lineRule="exact"/>
        <w:rPr>
          <w:sz w:val="20"/>
          <w:szCs w:val="20"/>
          <w:color w:val="auto"/>
        </w:rPr>
      </w:pPr>
    </w:p>
    <w:p>
      <w:pPr>
        <w:ind w:left="120" w:right="40" w:hanging="4"/>
        <w:spacing w:after="0" w:line="265" w:lineRule="auto"/>
        <w:tabs>
          <w:tab w:leader="none" w:pos="33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one-time upfront payment of $1.0 million for the lotilaner in-license, (ii) increased payroll and personnel related expenses (including stock-based compensation) of $0.9 million due to additional clinical and formulation development employees to drive our product development initiatives, and</w:t>
      </w:r>
    </w:p>
    <w:p>
      <w:pPr>
        <w:ind w:left="440" w:hanging="324"/>
        <w:spacing w:after="0"/>
        <w:tabs>
          <w:tab w:leader="none" w:pos="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clinical study site costs of $0.3 million.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$0.7 million for the year ended December 31, 2019. The increase was primarily due to $0.5 million increase in payroll and personnel-related expenses (including stock-based compensation) for employee additions and $0.2 million increase primarily from legal costs and market research activities.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9" w:lineRule="exact"/>
        <w:rPr>
          <w:sz w:val="20"/>
          <w:szCs w:val="20"/>
          <w:color w:val="auto"/>
        </w:rPr>
      </w:pPr>
    </w:p>
    <w:p>
      <w:pPr>
        <w:jc w:val="both"/>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The change in interest income (expense), net was primarily due to convertible promissory notes issued to our co-founders and certain other related parties, aggregating $2.0 million in principal value (see below). During the year ended December 31, 2019 interest expense recognized for these notes was $0.1 million and was partially offset by interest income on our cash and cash equivalents.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Liabilities</w:t>
      </w:r>
    </w:p>
    <w:p>
      <w:pPr>
        <w:spacing w:after="0" w:line="229"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During May, August, and October 2019, we issued convertible promissory notes to our co-founders and certain other related parties, aggregating $2.0 million in principal value. These notes contained stock-settled redemption features that were required to be separately accounted for as derivative liabilities on the balance sheet until December 13, 2019 when we completed a qualified equity financing and these then-outstanding notes converted at the option of the holder into 2.0 million shares of Series B Preferred Stock. Change in fair value of derivative liabilities consists of non-cash changes in the fair value of these stock-settled redemption features. We classified the rights as a derivative liability on our balance sheet that was initially recorded at fair value and that we remeasured to fair value at December 13, 2019, and we recognized changes in the fair value of the derivative associated with the rights as a component of other income (expense) in our statement of operations.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Convertible Notes</w:t>
      </w:r>
    </w:p>
    <w:p>
      <w:pPr>
        <w:spacing w:after="0" w:line="229"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The loss on extinguishment of convertible notes was due to the extinguishment of convertible promissory notes issued to our co-founders and certain other related parties, aggregating $2.0 million in principal value (see below). On December 13, 2019 we completed the issuance of Series B Preferred Stock upon which the then-outstanding notes, along with accrued interest, converted into 2.0 million shares of Series B Preferred Stock.</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Since our inception in 2016 through December 31, 2019, our operations have been substantially financed by net cash proceeds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$61.0 million from private placements of Series A and Series B preferred stock. We will continue to be dependent upon equity, debt financing, and/or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forms of capital raises at least until we are able to generate significant positive cash flows from our operations. As of December 31, 2019, we had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cash and cash equivalents of $58.0 million. We have no ongoing material financing commitments, such as lines of credit or guarantees, that are expected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affect our liquidity over the next five years.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left="120" w:right="220" w:firstLine="881"/>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consisting of research and development expenditures (including clinical and regulatory activities) and general and administrative expenditures. Cash used to fund operating expenses is impacted by the timing of when we pay or prepay for these activities.</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believe that the net proceeds from this offering together with our existing cash and cash equivalents will enable us to fund our operating</w:t>
      </w:r>
    </w:p>
    <w:p>
      <w:pPr>
        <w:spacing w:after="0" w:line="2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expenses and capital expenditure requirements through the of 202 . We have based these estimates on our current assumptions that may require subsequent adjustment based on our ongoing business decisions. Accordingly, we may require additional capital resources sooner than we currently expect.</w:t>
      </w:r>
    </w:p>
    <w:p>
      <w:pPr>
        <w:spacing w:after="0" w:line="186"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any meaningful revenue unless and until we (1) complete development of any of our product candidates; (2) obtain applicable regulatory approval; and (3) successfully commercialize or enter into collaborative agreements for such product candidates. We do not know when, or if, any of these items will ultimately occur. We expect to continue to incur significant losses for the foreseeable future and we expect our losses to increase as we continue these activities. We may encounter unforeseen expenses, difficulties, complications, delays and other currently unknown factors that may adversely affect our business. Moreover, following the completion of this offering, we expect to incur additional costs associated with operating as a public company.</w:t>
      </w:r>
    </w:p>
    <w:p>
      <w:pPr>
        <w:spacing w:after="0" w:line="187" w:lineRule="exact"/>
        <w:rPr>
          <w:sz w:val="20"/>
          <w:szCs w:val="20"/>
          <w:color w:val="auto"/>
        </w:rPr>
      </w:pPr>
    </w:p>
    <w:p>
      <w:pPr>
        <w:ind w:left="120" w:right="720" w:firstLine="881"/>
        <w:spacing w:after="0" w:line="282" w:lineRule="auto"/>
        <w:rPr>
          <w:sz w:val="20"/>
          <w:szCs w:val="20"/>
          <w:color w:val="auto"/>
        </w:rPr>
      </w:pPr>
      <w:r>
        <w:rPr>
          <w:rFonts w:ascii="Times New Roman" w:cs="Times New Roman" w:eastAsia="Times New Roman" w:hAnsi="Times New Roman"/>
          <w:sz w:val="18"/>
          <w:szCs w:val="18"/>
          <w:color w:val="auto"/>
        </w:rPr>
        <w:t>We will continue to require additional capital to develop our product candidates and fund operations for the foreseeable future. We anticipate that we will need to raise substantial additional capital, the requirements for which will depend on many factors, including:</w:t>
      </w:r>
    </w:p>
    <w:p>
      <w:pPr>
        <w:spacing w:after="0" w:line="189" w:lineRule="exact"/>
        <w:rPr>
          <w:sz w:val="20"/>
          <w:szCs w:val="20"/>
          <w:color w:val="auto"/>
        </w:rPr>
      </w:pPr>
    </w:p>
    <w:p>
      <w:pPr>
        <w:ind w:left="1420" w:right="260" w:hanging="319"/>
        <w:spacing w:after="0" w:line="282" w:lineRule="auto"/>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rate of progress and costs of our drug discovery efforts, preclinical development activities, laboratory testing and clinical trials for our product candidates;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preparing for and undergoing regulatory review of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development and commercial manufacturing activities;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associated with commercializing our product candidates, if they receive marketing approval;</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188" w:lineRule="exact"/>
        <w:rPr>
          <w:rFonts w:ascii="Times New Roman" w:cs="Times New Roman" w:eastAsia="Times New Roman" w:hAnsi="Times New Roman"/>
          <w:sz w:val="18"/>
          <w:szCs w:val="18"/>
          <w:color w:val="auto"/>
        </w:rPr>
      </w:pPr>
    </w:p>
    <w:p>
      <w:pPr>
        <w:ind w:left="1420" w:right="380" w:hanging="319"/>
        <w:spacing w:after="0" w:line="282" w:lineRule="auto"/>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might have at such time;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52" w:lineRule="exact"/>
        <w:rPr>
          <w:rFonts w:ascii="Times New Roman" w:cs="Times New Roman" w:eastAsia="Times New Roman" w:hAnsi="Times New Roman"/>
          <w:sz w:val="18"/>
          <w:szCs w:val="18"/>
          <w:color w:val="auto"/>
        </w:rPr>
      </w:pPr>
    </w:p>
    <w:p>
      <w:pPr>
        <w:ind w:left="1420" w:right="540" w:hanging="319"/>
        <w:spacing w:after="0" w:line="282" w:lineRule="auto"/>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52"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94"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various computerized information systems;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COVID-19 on our clinical development or operations;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8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of our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of this prospectus titled “Risk Factors” for additional risks associated with our substantial capital requirements.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left="120" w:right="180" w:firstLine="881"/>
        <w:spacing w:after="0" w:line="282" w:lineRule="auto"/>
        <w:rPr>
          <w:sz w:val="20"/>
          <w:szCs w:val="20"/>
          <w:color w:val="auto"/>
        </w:rPr>
      </w:pPr>
      <w:r>
        <w:rPr>
          <w:rFonts w:ascii="Times New Roman" w:cs="Times New Roman" w:eastAsia="Times New Roman" w:hAnsi="Times New Roman"/>
          <w:sz w:val="18"/>
          <w:szCs w:val="18"/>
          <w:color w:val="auto"/>
        </w:rPr>
        <w:t>From May 2019 through October 2019, we issued convertible promissory notes with an aggregate principal amount of $2.0 million. These notes were fully converted into an aggregate of 1,991,052 shares of Series B Preferred Stock in December 2019.</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cash equivalents and restricted cash for each of the periods presented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w:t>
      </w:r>
    </w:p>
    <w:p>
      <w:pPr>
        <w:spacing w:after="0" w:line="227"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3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4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9420" w:type="dxa"/>
            <w:vAlign w:val="bottom"/>
          </w:tcPr>
          <w:p>
            <w:pPr>
              <w:spacing w:after="0"/>
              <w:rPr>
                <w:sz w:val="12"/>
                <w:szCs w:val="12"/>
                <w:color w:val="auto"/>
              </w:rPr>
            </w:pPr>
          </w:p>
        </w:tc>
        <w:tc>
          <w:tcPr>
            <w:tcW w:w="1480" w:type="dxa"/>
            <w:vAlign w:val="bottom"/>
            <w:gridSpan w:val="3"/>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$(1,183)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 (3,673)</w:t>
            </w:r>
          </w:p>
        </w:tc>
      </w:tr>
      <w:tr>
        <w:trPr>
          <w:trHeight w:val="216"/>
        </w:trPr>
        <w:tc>
          <w:tcPr>
            <w:tcW w:w="9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3,564</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59,445</w:t>
            </w:r>
          </w:p>
        </w:tc>
      </w:tr>
      <w:tr>
        <w:trPr>
          <w:trHeight w:val="27"/>
        </w:trPr>
        <w:tc>
          <w:tcPr>
            <w:tcW w:w="9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$ 2,374</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55,597</w:t>
            </w:r>
          </w:p>
        </w:tc>
      </w:tr>
      <w:tr>
        <w:trPr>
          <w:trHeight w:val="20"/>
        </w:trPr>
        <w:tc>
          <w:tcPr>
            <w:tcW w:w="9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$1.2 million for the year ended December 31, 2018, which was primarily due to our net loss of $1.3 million, partially offset by an increase in accrued liabilities of $0.1 million associated with clinical and manufacturing activities.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$3.7 million for the year ended December 31, 2019, which primarily consisted of our net loss of $4.7 million, partially offset by non-cash items totaling $0.5 million and a net increase in liabilities of $0.5 million associated with accounts payable and accrued bonuses.</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 was $7 thousand for the year ended December 31, 2018, which consisted of property and equipment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purchases.</w:t>
      </w:r>
    </w:p>
    <w:p>
      <w:pPr>
        <w:spacing w:after="0" w:line="207" w:lineRule="exact"/>
        <w:rPr>
          <w:sz w:val="20"/>
          <w:szCs w:val="20"/>
          <w:color w:val="auto"/>
        </w:rPr>
      </w:pPr>
    </w:p>
    <w:p>
      <w:pPr>
        <w:ind w:left="120" w:right="300" w:firstLine="881"/>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$0.2 million for the year ended December 31, 2019, which consisted of property and equipment purchases and tenant improvements to our leased laboratory and administrative offices.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 was $3.7 million for the year ended December 31, 2018 due to our issuance of Series A preferred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$59.4 million for the year ended December 31, 2019 due to our issuance of Series B preferred stock for net proceeds of $57.5 million and issuance of convertible promissory notes for proceeds of $2.0 million.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2019:</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Less</w:t>
            </w:r>
          </w:p>
        </w:tc>
        <w:tc>
          <w:tcPr>
            <w:tcW w:w="76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26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 to 5</w:t>
            </w:r>
          </w:p>
        </w:tc>
        <w:tc>
          <w:tcPr>
            <w:tcW w:w="100" w:type="dxa"/>
            <w:vAlign w:val="bottom"/>
          </w:tcPr>
          <w:p>
            <w:pPr>
              <w:spacing w:after="0"/>
              <w:rPr>
                <w:sz w:val="10"/>
                <w:szCs w:val="10"/>
                <w:color w:val="auto"/>
              </w:rPr>
            </w:pPr>
          </w:p>
        </w:tc>
        <w:tc>
          <w:tcPr>
            <w:tcW w:w="640" w:type="dxa"/>
            <w:vAlign w:val="bottom"/>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6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76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2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15"/>
                <w:szCs w:val="15"/>
                <w:color w:val="auto"/>
              </w:rPr>
              <w:t>(1)</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Contingent milestone obligations </w:t>
            </w:r>
            <w:r>
              <w:rPr>
                <w:rFonts w:ascii="Times New Roman" w:cs="Times New Roman" w:eastAsia="Times New Roman" w:hAnsi="Times New Roman"/>
                <w:sz w:val="15"/>
                <w:szCs w:val="15"/>
                <w:color w:val="auto"/>
              </w:rPr>
              <w:t>(2)</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w w:val="93"/>
              </w:rPr>
              <w:t>2,000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93"/>
              </w:rPr>
              <w:t>6,000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66,000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85,000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hanging="424"/>
        <w:spacing w:after="0"/>
        <w:tabs>
          <w:tab w:leader="none" w:pos="5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lease obligations are related to the facility lease for our corporate headquarters and research and development facility in Irvine, California, expiring April 30, 2022.</w:t>
      </w:r>
    </w:p>
    <w:p>
      <w:pPr>
        <w:spacing w:after="0" w:line="230" w:lineRule="exact"/>
        <w:rPr>
          <w:rFonts w:ascii="Times New Roman" w:cs="Times New Roman" w:eastAsia="Times New Roman" w:hAnsi="Times New Roman"/>
          <w:sz w:val="14"/>
          <w:szCs w:val="14"/>
          <w:color w:val="auto"/>
        </w:rPr>
      </w:pPr>
    </w:p>
    <w:p>
      <w:pPr>
        <w:ind w:left="540" w:right="40" w:hanging="424"/>
        <w:spacing w:after="0"/>
        <w:tabs>
          <w:tab w:leader="none" w:pos="5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Milestone obligations are contingent upon our achievement of specified development, regulatory and sales milestones. Given the unpredictability of the drug development process, and the impossibility of predicting the success of current and future clinical trials and the timing of achievement (if at all) of sales milestones, these values assume that all development, regulatory, and sales milestones under our in-license agreement with Elanco are successfully met. These values in each column represent the composite best estimates for each achievement date. In the event that any or all of these milestones are met, we believe that the corresponding increase in value from the related drug product will exceed the amount of the milestone obligation.</w:t>
      </w:r>
    </w:p>
    <w:p>
      <w:pPr>
        <w:spacing w:after="0" w:line="319"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clinical research consultants and clinical sites and with contract manufacturers for pre-clinical and clinical drug supply, as well as with various other vendors in operating our business. These contracts generally provide for termination provisions with notice, and therefore we believe that our non-cancelable obligations under these agreements were not material as of December 31, 2019.</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financial statements, which have been prepared in accordance with U.S. generally accepted accounting principles, or GAAP. The preparation of these financial statements requires us to make estimates and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3" w:lineRule="exact"/>
        <w:rPr>
          <w:sz w:val="20"/>
          <w:szCs w:val="20"/>
          <w:color w:val="auto"/>
        </w:rPr>
      </w:pPr>
    </w:p>
    <w:p>
      <w:pPr>
        <w:ind w:left="120" w:right="200" w:firstLine="881"/>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also included in this registration statement, we believe these critical accounting policies are the most important to understanding and evaluating our reported financial results.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w:t>
      </w:r>
    </w:p>
    <w:p>
      <w:pPr>
        <w:spacing w:after="0" w:line="180"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have entered, and may continue to enter into, license agreements to access and utilize certain technology. In each case, we evaluate if the assets acquired in a transaction represent the acquisition of an asset or a business, as defined under applicable GAAP. Our only executed in-license agreement was evaluated and determined to represent an asset acquisition. Because this asset had not yet received regulatory approval and has no alternative future use, its fair value was immediately recognized as research and development expense.</w:t>
      </w:r>
    </w:p>
    <w:p>
      <w:pPr>
        <w:spacing w:after="0" w:line="180"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We make research and development expense accrual estimates as of each balance sheet date, based on facts known to us at that time.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periodically confirm the accuracy of our estimates with the service providers, including CROs, and record adjustments, if necessary. To date, there have been no material differences between our estimates of such expenses and the amounts actually incurred.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We measure and recognize compensation expense for all options based on the estimated fair value of the award on the grant date. We use the Black-Scholes option-pricing model to estimate the fair value of awarded stock options. The fair value is recognized as expense on a straight-line or ratable basis over the requisite or implicit service period.</w:t>
      </w:r>
    </w:p>
    <w:p>
      <w:pPr>
        <w:spacing w:after="0" w:line="176"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The determination of the grant date fair value of options using an option pricing model is affected principally by our estimated fair value of shares of our common stock and requires management to make a number of other assumptions, including the (a) the fair value of Tarsus common stock on the date of the option grant, (b) the expected term of the stock option until its exercise by the recipient, (c) our stock price volatility over the expected term, (d) the prevailing risk-free interest rate over the expected term, and (e) our expected dividend payments over the expected term.</w:t>
      </w:r>
    </w:p>
    <w:p>
      <w:pPr>
        <w:spacing w:after="0" w:line="180"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The assumptions used in our Black-Scholes option-pricing model represent management’s best estimates at the time of measurement. These estimates are complex and involve a number of variables, uncertainties, and assumptions and the application of management’s judgment. If any assumptions change, our stock-based compensation expense could be materially different in the future.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Common Stock</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 xml:space="preserve">We are required to periodically estimate the fair value of our common stock in order properly apply the Black-Scholes option pricing model to value our issued stock options to employees, board members, and consultants. The fair value of our common stock is the most subjective input into this option pricing model. The fair value of our common stock underlying our stock-based awards at the time of issuance was derived with the assistance of an independent and qualified valuation expert. All options to purchase shares of our common stock are intended to be granted with an exercise price per share no less than the fair value per share of our common stock on the date of grant, based on the information known to us on the date of grant. In the absence of a public trading market for our common stock, the estimated fair value of our common stock has been determined by our board of directors, with input from management, taking into consideration our most recently available third-party valuations of our common stock at the time of the grants, as well as our board of directors’ assessment of additional objective and subjective factors that it believed were relevant and which may have changed from the date of the most recent valuation report through the date of the grant. Third-party valuations, or valuation reports, were performed in accordance with the guidance outlined in the American Institute of Certified Public Accountants’ </w:t>
      </w:r>
      <w:r>
        <w:rPr>
          <w:rFonts w:ascii="Times New Roman" w:cs="Times New Roman" w:eastAsia="Times New Roman" w:hAnsi="Times New Roman"/>
          <w:sz w:val="18"/>
          <w:szCs w:val="18"/>
          <w:i w:val="1"/>
          <w:iCs w:val="1"/>
          <w:color w:val="auto"/>
        </w:rPr>
        <w:t>Accounting and Valuation Guide, Valuation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Privately-Held-Company Equity Securities Issued as Compensation, or the Practice Aid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In addition to contemporaneous third-party valuation reports, our board of directors also considered various objective and subjective factors, along with input from management, to determine the fair value of our common stock, including:</w:t>
      </w:r>
    </w:p>
    <w:p>
      <w:pPr>
        <w:spacing w:after="0" w:line="189" w:lineRule="exact"/>
        <w:rPr>
          <w:sz w:val="20"/>
          <w:szCs w:val="20"/>
          <w:color w:val="auto"/>
        </w:rPr>
      </w:pPr>
    </w:p>
    <w:p>
      <w:pPr>
        <w:ind w:left="1420" w:right="40" w:hanging="319"/>
        <w:spacing w:after="0" w:line="266"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Series A preferred stock and Series B preferred stock sold to investors in arm’s length transactions and the rights, preferences and privileges of such preferred stock as compared to those of our common stock, including the liquidation preferences of such preferred stock;</w:t>
      </w:r>
    </w:p>
    <w:p>
      <w:pPr>
        <w:spacing w:after="0" w:line="202" w:lineRule="exact"/>
        <w:rPr>
          <w:rFonts w:ascii="Times New Roman" w:cs="Times New Roman" w:eastAsia="Times New Roman" w:hAnsi="Times New Roman"/>
          <w:sz w:val="18"/>
          <w:szCs w:val="18"/>
          <w:color w:val="auto"/>
        </w:rPr>
      </w:pPr>
    </w:p>
    <w:p>
      <w:pPr>
        <w:ind w:left="1420" w:right="800" w:hanging="319"/>
        <w:spacing w:after="0" w:line="282"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financial position and the status of research and development and clinical development efforts and achievement of enterprise milestones;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and changes to, our management team and board of directors;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of our common stock as a private company;</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business strategy and the material risks related to our business and industry;</w:t>
      </w:r>
    </w:p>
    <w:p>
      <w:pPr>
        <w:spacing w:after="0" w:line="252" w:lineRule="exact"/>
        <w:rPr>
          <w:rFonts w:ascii="Times New Roman" w:cs="Times New Roman" w:eastAsia="Times New Roman" w:hAnsi="Times New Roman"/>
          <w:sz w:val="18"/>
          <w:szCs w:val="18"/>
          <w:color w:val="auto"/>
        </w:rPr>
      </w:pPr>
    </w:p>
    <w:p>
      <w:pPr>
        <w:ind w:left="1420" w:right="160" w:hanging="319"/>
        <w:spacing w:after="0" w:line="282"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publicly-traded companies in the life sciences and biotechnology sectors, as well as recently completed mergers and acquisitions of peer companies;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life sciences and biotechnology industry sectors;</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common stock, such as an initial public offering, or IPO, or a sale of our company, given prevailing market conditions; and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IPO market for similarly situated privately held biotechnology companies.</w:t>
      </w:r>
    </w:p>
    <w:p>
      <w:pPr>
        <w:spacing w:after="0" w:line="225" w:lineRule="exact"/>
        <w:rPr>
          <w:sz w:val="20"/>
          <w:szCs w:val="20"/>
          <w:color w:val="auto"/>
        </w:rPr>
      </w:pPr>
    </w:p>
    <w:p>
      <w:pPr>
        <w:ind w:left="120" w:right="180" w:firstLine="881"/>
        <w:spacing w:after="0" w:line="312" w:lineRule="auto"/>
        <w:rPr>
          <w:sz w:val="20"/>
          <w:szCs w:val="20"/>
          <w:color w:val="auto"/>
        </w:rPr>
      </w:pPr>
      <w:r>
        <w:rPr>
          <w:rFonts w:ascii="Times New Roman" w:cs="Times New Roman" w:eastAsia="Times New Roman" w:hAnsi="Times New Roman"/>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67" w:lineRule="exact"/>
        <w:rPr>
          <w:sz w:val="20"/>
          <w:szCs w:val="20"/>
          <w:color w:val="auto"/>
        </w:rPr>
      </w:pPr>
    </w:p>
    <w:p>
      <w:pPr>
        <w:ind w:left="1420" w:right="40" w:hanging="319"/>
        <w:spacing w:after="0" w:line="266" w:lineRule="auto"/>
        <w:tabs>
          <w:tab w:leader="none" w:pos="1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Hybrid Option Pricing Method. Under the hybrid option pricing method, or OPM, shares are valued by taking into account the preferred stockholders’ liquidation preferences, participation rights, dividend policy, and conversion rights to determine how proceeds from a liquidity event shall be distributed among the various ownership classes at a future date.</w:t>
      </w:r>
    </w:p>
    <w:p>
      <w:pPr>
        <w:spacing w:after="0" w:line="108"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240" w:hanging="319"/>
        <w:spacing w:after="0" w:line="266" w:lineRule="auto"/>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The probability-weighted expected return method, or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76"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Based on our early stage of development and other relevant factors, we determined that an OPM was the most appropriate method for allocating our enterprise value to determine the estimated fair value of our common stock for the valuation performed on May 31, 2018. For the valuation performed after this date which valued our common stock as of March 19, 2020, we also used an OPM method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87"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76" w:lineRule="exact"/>
        <w:rPr>
          <w:sz w:val="20"/>
          <w:szCs w:val="20"/>
          <w:color w:val="auto"/>
        </w:rPr>
      </w:pPr>
    </w:p>
    <w:p>
      <w:pPr>
        <w:ind w:left="120" w:right="20" w:firstLine="881"/>
        <w:spacing w:after="0" w:line="289" w:lineRule="auto"/>
        <w:rPr>
          <w:sz w:val="20"/>
          <w:szCs w:val="20"/>
          <w:color w:val="auto"/>
        </w:rPr>
      </w:pPr>
      <w:r>
        <w:rPr>
          <w:rFonts w:ascii="Times New Roman" w:cs="Times New Roman" w:eastAsia="Times New Roman" w:hAnsi="Times New Roman"/>
          <w:sz w:val="17"/>
          <w:szCs w:val="17"/>
          <w:color w:val="auto"/>
        </w:rPr>
        <w:t>Once a public trading market for our common stock has been established in connection with the closing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daily quoted market price of our common stock.</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our financial position, results of operations or cash flows is disclosed in the notes to which they relate within our financial statements also included in this registration statement.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as defined in the rules and regulations of the SEC.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December 31, 2019.</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76"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our first fiscal year (a) following the fifth anniversary of the completion of this offering, (b) in which we have total annual gross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revenues of at least $1.07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December 31, 2019, we had cash and cash equivalents of $58.0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cash equivalents.</w:t>
      </w:r>
    </w:p>
    <w:p>
      <w:pPr>
        <w:spacing w:after="0" w:line="183"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interest rate changes, or exchange rate fluctuations had a significant impact on our results of operations for any periods presented herein.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We are a late clinical-stage biopharmaceutical company focused on the development and commercialization of first-in-class therapeutic candidates to address large market opportunities initially in ophthalmic conditions where there are limited treatment alternatives. Our lead product candidate, TP-03, is a Phase 3 ready, first-in-class, novel therapeutic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or approximately 9 million, of cases caused by Demodex infestation. Further, our internal studies indicate the possibility that the number of Demodex blepharitis cases may be as high as approximately 25 million based on observation of collarettes in patients presenting to eye care clinics. To date, we have completed four Phase 2 trials for TP-03 in Demodex blepharitis, all of which showed highly statistically significant cure and eradication rates and TP-03 was well tolerated. We intend to commence our first Phase 3 trial, Saturn-1, in 2020 and a second Phase 3 trial, Saturn-2, in 2021 with primary and secondary endpoints consistent with those of the Phase 2 trials. If successful, we expect these trials to support the submission of an NDA to the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195" w:lineRule="exact"/>
        <w:rPr>
          <w:sz w:val="20"/>
          <w:szCs w:val="20"/>
          <w:color w:val="auto"/>
        </w:rPr>
      </w:pPr>
    </w:p>
    <w:p>
      <w:pPr>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Our current therapeutic strategy is focused on the clinical development of, for the first time in human medicine, the novel drug, lotilaner, which is designed to paralyze and eradicate mites and other parasites through the inhibition of parasite-specific GABA-Cl channels. We are advancing our pipeline to address a number of diseases across therapeutic categories including ophthalmic conditions, and dermatology. These diseases include Demodex blepharitis, MGD and rosacea.</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pipeline chart presents our wholly-owned product candidates and clinical development status:</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 1: 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1920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8604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Blepharitis: A Significant, Underserved &amp; Underdiagnosed Market</w:t>
      </w:r>
    </w:p>
    <w:p>
      <w:pPr>
        <w:spacing w:after="0" w:line="229" w:lineRule="exact"/>
        <w:rPr>
          <w:sz w:val="20"/>
          <w:szCs w:val="20"/>
          <w:color w:val="auto"/>
        </w:rPr>
      </w:pPr>
    </w:p>
    <w:p>
      <w:pPr>
        <w:ind w:left="120" w:right="100" w:firstLine="881"/>
        <w:spacing w:after="0" w:line="253" w:lineRule="auto"/>
        <w:rPr>
          <w:sz w:val="20"/>
          <w:szCs w:val="20"/>
          <w:color w:val="auto"/>
        </w:rPr>
      </w:pPr>
      <w:r>
        <w:rPr>
          <w:rFonts w:ascii="Times New Roman" w:cs="Times New Roman" w:eastAsia="Times New Roman" w:hAnsi="Times New Roman"/>
          <w:sz w:val="18"/>
          <w:szCs w:val="18"/>
          <w:color w:val="auto"/>
        </w:rPr>
        <w:t>Blepharitis is a common, chronic ophthalmic condition characterized by inflammation of the eyelid margin, redness and ocular irritation. It is also a progressive disease that often manifests with more severe symptoms if left untreated, such as blurring of vision, missing eyelashes, corneal damage and, in extreme cases, blindness. According to published studies, estimated 20 million patients suffer from blepharitis, and there is growing recognition within the ophthalmic community about Demodex mites as an underlying cause of blepharitis. Demodex mites are the most common ectoparasite found on humans. Demodex mites potentially cause approximately 45% of blepharitis cases, or approximately 9 million patients. Based on our internal studies of collarette prevalence in the eye care office, we believe that the number of Demodex blepharitis patients in the United States may be as high as approximately 25 million. In addition, there is growing awareness among ECPs of a specific type of debris found at the base of the eyelashes, known as collarettes, or cylindrical dandruff, which are highly correlated with Demodex infestation. Collarettes are composed of partially digested epithelial cells, mite waste products and eggs among other things and can be easily diagnosed by ECPs with a standard eye examination. Demodex blepharitis increases progressively with aging, which is the main risk factor for the condition. These patients commonly present to the offices of ECPs for other ophthalmic conditions besides blepharitis, such as cataract surgery and contact lens discomfort. Accordingly, we believe that there is significant opportunity to increase the diagnosis rate of Demodex blepharitis through ECP and patient education that encourages examination of the condition in standard practice.</w:t>
      </w:r>
    </w:p>
    <w:p>
      <w:pPr>
        <w:spacing w:after="0" w:line="187"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Demodex blepharitis is currently treated with a variety of over the counter remedies such as tea tree oil, lid wipes and artificial tears, as well as off-label prescription products, which often show sub-optimal efficacy, are poorly tolerated and lead to significant irritation and dissatisfaction for patients, and do not eradicate the Demodex mites.</w:t>
      </w:r>
    </w:p>
    <w:p>
      <w:pPr>
        <w:spacing w:after="0" w:line="187"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We have conducted epidemiology and market research on the prevalence of blepharitis and potential adoption of TP-03. Our research indicates approximately 58% of patients presenting to ECP offices have collarettes indicative of Demodex blepharitis, further validating the accessible opportunity to increase diagnosis rates amongst patients. In addition, our market research suggests the potential for a high level of adoption of TP-03, if approved. In our surveys, we interviewed 50 ECPs, 96% of whom indicated they would prescribe TP-03 as a first-line treatment for Demodex blepharitis after exposure to the TP-03 target product profile. Since patients continue to have underlying risk of Demodex infestation, there could be a recurrence based on the presence of Demodex mites in the skin even after eradication of Demodex mites from the eyelid as demonstrated in our Phase 2 trials with TP-03. Our Phase 2 data from the Mars and Jupiter clinical trials followed patients to one year after treatment and showed meaningful recurrence of Demodex blepharitis within six to nine months, which increased considerably one year after treatment. We believe this data suggests TP-03, if approved, may be used on a chronic, intermittent basis in Demodex blepharitis.</w:t>
      </w:r>
    </w:p>
    <w:p>
      <w:pPr>
        <w:spacing w:after="0" w:line="188"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We believe the blepharitis market has the potential to be analogous to other ophthalmic markets that grew significantly once there was a product to address the large, latent demand for an effective therapy. Another ocular surface disease, dry eye, had no approved therapeutic for the condition until 2003. With the approval of Allergan’s Restasis (cyclosporine) in 2003 and concurrent ECP and patient education, the diagnosis rate increased by approximately 12x, growing from 500,000 diagnoses in 2003 to over 6 million diagnoses in 2015. Annual diagnoses rates have been maintained at similar levels since 2015, and in 2016 Restasis generated peak revenue of $1.5 billion. Blepharitis already has 2.1 million diagnoses per year, despite no approved therapies to help with market awareness, but like dry eye, we believe there is potential for significant market expansion. We believe there is a significant opportunity to increase the diagnosis rate of Demodex blepharitis and build a significant new market with the approval of a safe and effective therapeutic alternative that addresses the underlying cause of the condition.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Approach: TP-03</w:t>
      </w:r>
    </w:p>
    <w:p>
      <w:pPr>
        <w:spacing w:after="0" w:line="229" w:lineRule="exact"/>
        <w:rPr>
          <w:sz w:val="20"/>
          <w:szCs w:val="20"/>
          <w:color w:val="auto"/>
        </w:rPr>
      </w:pPr>
    </w:p>
    <w:p>
      <w:pPr>
        <w:jc w:val="both"/>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There are currently no FDA-approved therapeutics for blepharitis, which remains a significant unmet need for patients. We are developing TP-03, formulated as an eye drop, which we believe, if approved, has the potential to become the standard of care for Demodex blepharitis. TP-03 is a first-in-class therapeutic based on the novel drug, lotilaner, which is designed to paralyze and eradicate mites and other parasites through the inhibition of parasite-specific GABA-Cl channels.</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provides the characteristics of TP-03 in the Saturn-1 Phase 3 clinical trial:</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 2: Characteristics of TP-03 in the Saturn-1 Phase 3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3399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8604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 xml:space="preserve">We have completed four Phase 2 clinical trials to date, along with one additional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study. Key efficacy endpoints included cure rate based on collarette grade, which we refer to herein as collarette cure rate and mite eradication rate, with TP-03 meeting its primary and secondary endpoints and showing highly statistically significant cure and eradication rates in our two most recent trials, Io and Europa. TP-03 was generally well tolerated throughout these trials.</w:t>
      </w:r>
    </w:p>
    <w:p>
      <w:pPr>
        <w:spacing w:after="0" w:line="182"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The results of our Phase 2 trials highlight the robust and consistent clinical efficacy of TP-03 in curing collarettes and eradicating mites which we believe are essential to successfully treat Demodex blepharitis. The Phase 2a Mars trial was a smaller single arm study evaluating the safety and efficacy of TP-03 with a 28-day BID dosing regimen, exploratory endpoints including collarette grading score and mite density. We utilized the data from the exploratory endpoints to determine collarette cure rate, defined as 10 or fewer collarettes, and mite eradication rate, defined as zero mites per lash. Both collarette cure and mite eradication rates were assessed at 28 days, which were 86% and 57% respectively. The Phase 2b Jupiter trial was a larger randomized, controlled double-blind trial with collarette grade and mite density as primary and secondary endpoints, respectively. Similarly to the Mars trial, we utilized the collarette grading and mite density data to determine collarette cure and mite eradication rates, which were both defined consistently with those used in the Mars trial. The efficacy observed in the Jupiter trial appeared consistent with the Mars trial, with a collarette cure rate of 88%, and mite eradication rate of 66%, which were statistically significant compared to the vehicle control. We subsequently conducted the Io Phase 2a and Europa Phase 2b trials to evaluate the safety and efficacy of TP-03 formulation for the treatment of Demodex blepharitis. The design of the Io trial took into account feedback from the FDA, and accordingly we defined collarette cure rate to a more stringent definition of two or fewer collarettes on the eyelid and mite eradication rates, with a treatment duration of 42 days. In the Io trial, we utilized for the first time in clinical studies the formulation of TP-03 that is expected to support our NDA submission for Demodex</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blepharitis. The key differences between the Io and Europa trials, were that Io was a smaller single-arm trial, while Europa was slightly larger randomized placebo-controlled trial. The observed efficacy in Io and Europa were consistent across both studies, with a collarette cure rate of 72% and 79% respectively, and a mite eradication rate of 78% and 71% respectively. The meaningful and consistent clinical efficacy and safety results we observed across our comprehensive Phase 2 program, provided us with the basis to design and initiate our pivotal Phase 3 program.</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provides a summary of our completed and planned clinical investigations evaluating TP-03 for Demodex blepharitis: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Figure 3: Our Completed and Planned Clinical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77790" cy="31457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7779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We plan to evaluate TP-03 in two Phase 3 pivotal registration trials, referred to as Saturn-1 and Saturn-2. Saturn-1 is a Phase 3, randomized, controlled, double-blind trial to evaluate the safety and efficacy of TP-03 in approximately 350 Demodex blepharitis patients in multiple centers in the United States. Enrollment of Saturn-1 is expected to begin in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We expect these trials to support the potential submission of an NDA for TP-03 for the treatment of Demodex blepharitis.</w:t>
      </w:r>
    </w:p>
    <w:p>
      <w:pPr>
        <w:spacing w:after="0" w:line="18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 xml:space="preserve">We also intend to explore the therapeutic potential of TP-03 for a second ophthalmic condition, MGD, commonly characterized in part by a widespread clogging of the meibomian glands that can result in tear film deficiency, and is one of the leading causes of dry eye disease. There are no FDA-approved therapeutics for MGD. In the United States, MGD prevalence has been found to be approximately two-thirds of that of the estimated 34 million dry eye patient population. One species of Demodex mite,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is known to infest the meibomian gland, and clinical signs of MGD have been shown to be correlated with infestation of</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455" w:right="49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TP-03 is designed to relieve some of the key elements of MGD by virtue of causing the death of the</w:t>
      </w:r>
      <w:r>
        <w:rPr>
          <w:rFonts w:ascii="Times New Roman" w:cs="Times New Roman" w:eastAsia="Times New Roman" w:hAnsi="Times New Roman"/>
          <w:sz w:val="18"/>
          <w:szCs w:val="18"/>
          <w:i w:val="1"/>
          <w:iCs w:val="1"/>
          <w:color w:val="auto"/>
        </w:rPr>
        <w:t xml:space="preserve"> Demodex brevis </w:t>
      </w:r>
      <w:r>
        <w:rPr>
          <w:rFonts w:ascii="Times New Roman" w:cs="Times New Roman" w:eastAsia="Times New Roman" w:hAnsi="Times New Roman"/>
          <w:sz w:val="18"/>
          <w:szCs w:val="18"/>
          <w:color w:val="auto"/>
        </w:rPr>
        <w:t>mites.</w:t>
      </w:r>
    </w:p>
    <w:p>
      <w:pPr>
        <w:spacing w:after="0" w:line="227" w:lineRule="exact"/>
        <w:rPr>
          <w:sz w:val="20"/>
          <w:szCs w:val="20"/>
          <w:color w:val="auto"/>
        </w:rPr>
      </w:pPr>
    </w:p>
    <w:p>
      <w:pPr>
        <w:ind w:left="120" w:right="260" w:firstLine="881"/>
        <w:spacing w:after="0" w:line="282" w:lineRule="auto"/>
        <w:rPr>
          <w:sz w:val="20"/>
          <w:szCs w:val="20"/>
          <w:color w:val="auto"/>
        </w:rPr>
      </w:pPr>
      <w:r>
        <w:rPr>
          <w:rFonts w:ascii="Times New Roman" w:cs="Times New Roman" w:eastAsia="Times New Roman" w:hAnsi="Times New Roman"/>
          <w:sz w:val="18"/>
          <w:szCs w:val="18"/>
          <w:color w:val="auto"/>
        </w:rPr>
        <w:t>Beyond TP-03, we are developing TP-04 for the potential treatment of rosacea, a condition that affects approximately 16 million patients per year in the United States.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Strengths and Differentiation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believe our company and our product candidates have the following key distinguishing characteristics:</w:t>
      </w:r>
    </w:p>
    <w:p>
      <w:pPr>
        <w:spacing w:after="0" w:line="248" w:lineRule="exact"/>
        <w:rPr>
          <w:sz w:val="20"/>
          <w:szCs w:val="20"/>
          <w:color w:val="auto"/>
        </w:rPr>
      </w:pPr>
    </w:p>
    <w:p>
      <w:pPr>
        <w:ind w:left="1420" w:right="80" w:hanging="319"/>
        <w:spacing w:after="0" w:line="262" w:lineRule="auto"/>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Compelling efficacy and safety data. </w:t>
      </w:r>
      <w:r>
        <w:rPr>
          <w:rFonts w:ascii="Times New Roman" w:cs="Times New Roman" w:eastAsia="Times New Roman" w:hAnsi="Times New Roman"/>
          <w:sz w:val="18"/>
          <w:szCs w:val="18"/>
          <w:color w:val="auto"/>
        </w:rPr>
        <w:t>We have observed TP-03’s compelling efficacy and safety in our four Phase 2 clinical trials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Mars, Jupiter, Io, and Europa – where treatment with TP-03 resulted in highly statistically significant levels of collarette cure rate and mite eradication rate and was well tolerated. Our Phase 3 trials, Saturn-1 and Saturn-2, are expected to utilize trial designs that are highly comparable to those of the Phase 2 Io and Europa trials.</w:t>
      </w:r>
    </w:p>
    <w:p>
      <w:pPr>
        <w:spacing w:after="0" w:line="203" w:lineRule="exact"/>
        <w:rPr>
          <w:rFonts w:ascii="Times New Roman" w:cs="Times New Roman" w:eastAsia="Times New Roman" w:hAnsi="Times New Roman"/>
          <w:sz w:val="18"/>
          <w:szCs w:val="18"/>
          <w:color w:val="auto"/>
        </w:rPr>
      </w:pPr>
    </w:p>
    <w:p>
      <w:pPr>
        <w:ind w:left="1420" w:right="40" w:hanging="319"/>
        <w:spacing w:after="0" w:line="254" w:lineRule="auto"/>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Large, underserved and underdiagnosed blepharitis market with a significant opportunity for growth. </w:t>
      </w:r>
      <w:r>
        <w:rPr>
          <w:rFonts w:ascii="Times New Roman" w:cs="Times New Roman" w:eastAsia="Times New Roman" w:hAnsi="Times New Roman"/>
          <w:sz w:val="18"/>
          <w:szCs w:val="18"/>
          <w:color w:val="auto"/>
        </w:rPr>
        <w:t>Although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blepharitis and Demodex blepharitis are significantly underdiagnosed conditions, with limited treatment alternatives, there are already an estimated 2.1 million annual blepharitis diagnoses in the United States. However, we believe the market opportunity may be substantially larger. According to published studies, there are an estimated 20 million patients in the United States that suffer from blepharitis with approximately 45% of cases caused by Demodex infestation. Further, our internal studies indicate the possibility that the number of Demodex blepharitis cases may be as high as approximately 25 million based on observation of collarettes in patients presenting to eye care clinics. We believe the blepharitis market has the potential to be analogous to other ophthalmic markets where diagnoses grew significantly once there was a product to address the large, latent demand for an effective therapy, as was observed with the approval of Allergan’s Restasis in 2003.</w:t>
      </w:r>
    </w:p>
    <w:p>
      <w:pPr>
        <w:spacing w:after="0" w:line="215" w:lineRule="exact"/>
        <w:rPr>
          <w:rFonts w:ascii="Times New Roman" w:cs="Times New Roman" w:eastAsia="Times New Roman" w:hAnsi="Times New Roman"/>
          <w:sz w:val="18"/>
          <w:szCs w:val="18"/>
          <w:color w:val="auto"/>
        </w:rPr>
      </w:pPr>
    </w:p>
    <w:p>
      <w:pPr>
        <w:ind w:left="1420" w:right="120" w:hanging="319"/>
        <w:spacing w:after="0" w:line="262" w:lineRule="auto"/>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Novel chemistry developed for the first time in human medicine. </w:t>
      </w:r>
      <w:r>
        <w:rPr>
          <w:rFonts w:ascii="Times New Roman" w:cs="Times New Roman" w:eastAsia="Times New Roman" w:hAnsi="Times New Roman"/>
          <w:sz w:val="18"/>
          <w:szCs w:val="18"/>
          <w:color w:val="auto"/>
        </w:rPr>
        <w:t>Our current therapeutic strategy is focused on the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for the first time in human medicine, the novel drug, lotilaner, which is designed to paralyze and eradicate mites and other parasites through the inhibition of parasite-specific GABA-Cl channels. Our pipeline aims to address a number of diseases across therapeutic categories including ophthalmic conditions and dermatology.</w:t>
      </w:r>
    </w:p>
    <w:p>
      <w:pPr>
        <w:spacing w:after="0" w:line="203" w:lineRule="exact"/>
        <w:rPr>
          <w:rFonts w:ascii="Times New Roman" w:cs="Times New Roman" w:eastAsia="Times New Roman" w:hAnsi="Times New Roman"/>
          <w:sz w:val="18"/>
          <w:szCs w:val="18"/>
          <w:color w:val="auto"/>
        </w:rPr>
      </w:pPr>
    </w:p>
    <w:p>
      <w:pPr>
        <w:ind w:left="1420" w:hanging="319"/>
        <w:spacing w:after="0" w:line="262" w:lineRule="auto"/>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opportunities beyond Demodex blepharitis. </w:t>
      </w:r>
      <w:r>
        <w:rPr>
          <w:rFonts w:ascii="Times New Roman" w:cs="Times New Roman" w:eastAsia="Times New Roman" w:hAnsi="Times New Roman"/>
          <w:sz w:val="18"/>
          <w:szCs w:val="18"/>
          <w:color w:val="auto"/>
        </w:rPr>
        <w:t>Like blepharitis, MGD may also be caused by Demodex infestation, and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 to explore the therapeutic potential for TP-03 in this indication. In the United States, MGD prevalence has been found to be approximately two-thirds of that of the estimated 34 million dry eye patient population. Further, we are developing TP-04 for the potential treatment of rosacea, a condition that affects approximately 16 million patients per year in the United States.</w:t>
      </w:r>
    </w:p>
    <w:p>
      <w:pPr>
        <w:spacing w:after="0" w:line="203" w:lineRule="exact"/>
        <w:rPr>
          <w:rFonts w:ascii="Times New Roman" w:cs="Times New Roman" w:eastAsia="Times New Roman" w:hAnsi="Times New Roman"/>
          <w:sz w:val="18"/>
          <w:szCs w:val="18"/>
          <w:color w:val="auto"/>
        </w:rPr>
      </w:pPr>
    </w:p>
    <w:p>
      <w:pPr>
        <w:ind w:left="1420" w:right="20" w:hanging="319"/>
        <w:spacing w:after="0" w:line="259" w:lineRule="auto"/>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Experienced management team and board of directors supported by high quality investor base. </w:t>
      </w:r>
      <w:r>
        <w:rPr>
          <w:rFonts w:ascii="Times New Roman" w:cs="Times New Roman" w:eastAsia="Times New Roman" w:hAnsi="Times New Roman"/>
          <w:sz w:val="18"/>
          <w:szCs w:val="18"/>
          <w:color w:val="auto"/>
        </w:rPr>
        <w:t>We have built a leadership team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significant experience in developing and commercializing therapeutic products for ophthalmic conditions. Members of our management team and board of directors have founded and led several biopharmaceutical companies including those in the ophthalmic care space, such as Oyster Point Pharma and Oculeve, and have been pivotal in the development and commercialization of various leading ophthalmic products, including the dry eye therapy, Restasis.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Our goal is to transform the treatment of Demodex blepharitis with a first ever FDA approved pharmaceutical therapeutic, and to develop our pipeline of innovative therapies that target certain parasite-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mediated diseases with large market opportunities. We intend to achieve these goals by pursuing the following key strategic objectives:</w:t>
      </w:r>
    </w:p>
    <w:p>
      <w:pPr>
        <w:spacing w:after="0" w:line="248" w:lineRule="exact"/>
        <w:rPr>
          <w:sz w:val="20"/>
          <w:szCs w:val="20"/>
          <w:color w:val="auto"/>
        </w:rPr>
      </w:pPr>
    </w:p>
    <w:p>
      <w:pPr>
        <w:ind w:left="1420" w:right="160" w:hanging="319"/>
        <w:spacing w:after="0" w:line="259" w:lineRule="auto"/>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TP-03 through clinical development and eventual approval for the treatment of Demodex blepharitis.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observed in multiple Phase 2 trials across 147 patients that TP-03 results in collarette cure and mite eradication, the same clinical endpoints that will be utilized in our pivotal Phase 3 trials. We expect enrollment of our first pivotal trial, Saturn-1, to begin in 2020 and top-line data is anticipated in 2021, subject to the impact of the ongoing COVID-19 pandemic. Enrollment of our second pivotal trial, Saturn-2, is expected to begin in 2021, subject to the impact of the ongoing COVID-19 pandemic.</w:t>
      </w:r>
    </w:p>
    <w:p>
      <w:pPr>
        <w:spacing w:after="0" w:line="206" w:lineRule="exact"/>
        <w:rPr>
          <w:rFonts w:ascii="Times New Roman" w:cs="Times New Roman" w:eastAsia="Times New Roman" w:hAnsi="Times New Roman"/>
          <w:sz w:val="18"/>
          <w:szCs w:val="18"/>
          <w:color w:val="auto"/>
        </w:rPr>
      </w:pPr>
    </w:p>
    <w:p>
      <w:pPr>
        <w:ind w:left="1420" w:right="100" w:hanging="319"/>
        <w:spacing w:after="0" w:line="255" w:lineRule="auto"/>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Educate ECPs and establish our own specialty sales organization to commercialize TP-03 in the United States. </w:t>
      </w:r>
      <w:r>
        <w:rPr>
          <w:rFonts w:ascii="Times New Roman" w:cs="Times New Roman" w:eastAsia="Times New Roman" w:hAnsi="Times New Roman"/>
          <w:sz w:val="18"/>
          <w:szCs w:val="18"/>
          <w:color w:val="auto"/>
        </w:rPr>
        <w:t>If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FDA for Demodex blepharitis, we intend to commercialize TP-03 by developing our own sales organization targeting a subset of the approximately 25,000 prescribing ECPs in the United States. Throughout our commercialization efforts, we intend to educate ECPs on Demodex blepharitis and how to diagnose it with a simple slit lamp examination. We have completed an in-depth claims analysis and market research studies that have demonstrated a significantly prevalent Demodex blepharitis population and the importance of educating ECPs on the key role of collarettes in diagnosing Demodex blepharitis. Outside the United States, we intend to establish commercialization strategies for TP-03 as we approach possible commercial approval in each market, which may include collaborations with other companies.</w:t>
      </w:r>
    </w:p>
    <w:p>
      <w:pPr>
        <w:spacing w:after="0" w:line="211" w:lineRule="exact"/>
        <w:rPr>
          <w:rFonts w:ascii="Times New Roman" w:cs="Times New Roman" w:eastAsia="Times New Roman" w:hAnsi="Times New Roman"/>
          <w:sz w:val="18"/>
          <w:szCs w:val="18"/>
          <w:color w:val="auto"/>
        </w:rPr>
      </w:pPr>
    </w:p>
    <w:p>
      <w:pPr>
        <w:ind w:left="1420" w:hanging="319"/>
        <w:spacing w:after="0" w:line="275" w:lineRule="auto"/>
        <w:tabs>
          <w:tab w:leader="none" w:pos="14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Expand the label of TP-03 for other indications and develop our pipeline to bring a novel, first-in-class, anti-parasitic molecule to unmet needs across human medicine, including rosacea. </w:t>
      </w:r>
      <w:r>
        <w:rPr>
          <w:rFonts w:ascii="Times New Roman" w:cs="Times New Roman" w:eastAsia="Times New Roman" w:hAnsi="Times New Roman"/>
          <w:sz w:val="17"/>
          <w:szCs w:val="17"/>
          <w:color w:val="auto"/>
        </w:rPr>
        <w:t>Like blepharitis, MGD may also be caused by Demodex infestation,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we intend to explore the therapeutic potential for TP-03 in the indication. Further, we plan to expand our pipeline of novel, differentiated products that target parasites to treat diseases with large market opportunities, like rosacea. The lotilaner mechanism of action coupled with our insights into disease where it can demonstrate clinical benefit provides an opportunity to expand into new indications for treatment. By utilizing new formulations of lotilaner, we intend to create cream formulations designed to treat rosacea.</w:t>
      </w:r>
    </w:p>
    <w:p>
      <w:pPr>
        <w:spacing w:after="0" w:line="195" w:lineRule="exact"/>
        <w:rPr>
          <w:rFonts w:ascii="Times New Roman" w:cs="Times New Roman" w:eastAsia="Times New Roman" w:hAnsi="Times New Roman"/>
          <w:sz w:val="17"/>
          <w:szCs w:val="17"/>
          <w:color w:val="auto"/>
        </w:rPr>
      </w:pPr>
    </w:p>
    <w:p>
      <w:pPr>
        <w:ind w:left="1420" w:right="20" w:hanging="319"/>
        <w:spacing w:after="0" w:line="259" w:lineRule="auto"/>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and selectively enter into strategic partnerships to maximize the potential of our pipeline and the scope of our eye care product offerings. </w:t>
      </w:r>
      <w:r>
        <w:rPr>
          <w:rFonts w:ascii="Times New Roman" w:cs="Times New Roman" w:eastAsia="Times New Roman" w:hAnsi="Times New Roman"/>
          <w:sz w:val="18"/>
          <w:szCs w:val="18"/>
          <w:color w:val="auto"/>
        </w:rPr>
        <w:t>We have retained our rights globally to all of our indications for use in humans. Given the potential to treat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worldwide we may opportunistically enter into strategic partnerships around certain product candidates, disease or geographic regions. These collaborations could help expand and accelerate our programs to maximize their worldwide market potential, especially in regions where a partner may bring greater expertise or resources.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Blepharitis Overview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Blepharitis</w:t>
      </w:r>
    </w:p>
    <w:p>
      <w:pPr>
        <w:spacing w:after="0" w:line="229"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Ocular surface disease represents a broad category of disease that affects at least 35 million people in the United States. The ocular surface comprises the cornea, conjunctiva, eyelids and lacrimal glands and as such any diseases in these structures can be classified as ocular surface disease. Common ocular surface diseases include dry eye disease, ocular allergy, blepharitis and MGD. Almost all of the ocular surface diseases are associated with eye redness and ocular surface inflammation and in some cases conjunctival and/or lid edema. Patients often present with multiple ocular surface diseases and the symptoms have significant overlap, leading to frequent misdiagnosis of the various conditions.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3" w:lineRule="auto"/>
        <w:rPr>
          <w:sz w:val="20"/>
          <w:szCs w:val="20"/>
          <w:color w:val="auto"/>
        </w:rPr>
      </w:pPr>
      <w:r>
        <w:rPr>
          <w:rFonts w:ascii="Times New Roman" w:cs="Times New Roman" w:eastAsia="Times New Roman" w:hAnsi="Times New Roman"/>
          <w:sz w:val="17"/>
          <w:szCs w:val="17"/>
          <w:color w:val="auto"/>
        </w:rPr>
        <w:t>Blepharitis is a common chronic ophthalmic condition characterized by inflammation of the eyelid margin, redness and ocular irritation. Based on published studies, an estimated 20 million patients suffer from blepharitis. Typical signs and symptoms of blepharitis include debris on the eyelashes, redness of eye and eyelid, missing or misdirected eyelashes, blurring of vision, irritation, itchiness and ocular discomfort. It is challenging to manage, recurs frequently, and its progression can lead to scarring of the eyelid, loss of proper eyelid and tear-film function, eyelid and lash abnormalities, inflammation of the conjunctiva and surrounding skin, suboptimal surgical outcomes, corneal damage, and in extreme cases, blindness. Blepharitis can limit the ability for patients to tolerate contact lenses and may impact patient satisfaction with cataract and refractive surgery, all of which lead to lower quality of life and poor vision. Blepharitis is primarily diagnosed and treated by ECPs, including ophthalmologists and optometrists.</w:t>
      </w:r>
    </w:p>
    <w:p>
      <w:pPr>
        <w:spacing w:after="0" w:line="171" w:lineRule="exact"/>
        <w:rPr>
          <w:sz w:val="20"/>
          <w:szCs w:val="20"/>
          <w:color w:val="auto"/>
        </w:rPr>
      </w:pPr>
    </w:p>
    <w:p>
      <w:pPr>
        <w:ind w:left="120" w:right="200" w:firstLine="881"/>
        <w:spacing w:after="0" w:line="282" w:lineRule="auto"/>
        <w:rPr>
          <w:sz w:val="20"/>
          <w:szCs w:val="20"/>
          <w:color w:val="auto"/>
        </w:rPr>
      </w:pPr>
      <w:r>
        <w:rPr>
          <w:rFonts w:ascii="Times New Roman" w:cs="Times New Roman" w:eastAsia="Times New Roman" w:hAnsi="Times New Roman"/>
          <w:sz w:val="18"/>
          <w:szCs w:val="18"/>
          <w:color w:val="auto"/>
        </w:rPr>
        <w:t>Multiple factors can cause blepharitis, including infestation by Demodex mites, bacterial infection, clogging of the meibomian glands and seborrheic dermatitis.</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image shows an eyelid with blepharitis:</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 4: Eyelid With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173990</wp:posOffset>
            </wp:positionV>
            <wp:extent cx="3103245" cy="23577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0324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Demodex Blepharitis</w:t>
      </w:r>
    </w:p>
    <w:p>
      <w:pPr>
        <w:spacing w:after="0" w:line="229" w:lineRule="exact"/>
        <w:rPr>
          <w:sz w:val="20"/>
          <w:szCs w:val="20"/>
          <w:color w:val="auto"/>
        </w:rPr>
      </w:pPr>
    </w:p>
    <w:p>
      <w:pPr>
        <w:ind w:left="120" w:right="140" w:firstLine="881"/>
        <w:spacing w:after="0" w:line="256" w:lineRule="auto"/>
        <w:rPr>
          <w:sz w:val="20"/>
          <w:szCs w:val="20"/>
          <w:color w:val="auto"/>
        </w:rPr>
      </w:pPr>
      <w:r>
        <w:rPr>
          <w:rFonts w:ascii="Times New Roman" w:cs="Times New Roman" w:eastAsia="Times New Roman" w:hAnsi="Times New Roman"/>
          <w:sz w:val="18"/>
          <w:szCs w:val="18"/>
          <w:color w:val="auto"/>
        </w:rPr>
        <w:t xml:space="preserve">Demodex infestation is a major cause of blepharitis, implicated in approximately 45% of blepharitis cases, or approximately 9 million patients. Based on our internal studies of collarette prevalence in the eye care office, we believe that the number of Demodex blepharitis patients in the United States may be as high as approximately 25 million. These blepharitis cases are referred to Demodex blepharitis. Demodex mites are the most common ectoparasite found on humans and are more likely to cause infestation and disease with aging. Demodex blepharitis typically presents bilaterally in patients with the condition. There are two species of Demodex, </w:t>
      </w:r>
      <w:r>
        <w:rPr>
          <w:rFonts w:ascii="Times New Roman" w:cs="Times New Roman" w:eastAsia="Times New Roman" w:hAnsi="Times New Roman"/>
          <w:sz w:val="18"/>
          <w:szCs w:val="18"/>
          <w:i w:val="1"/>
          <w:iCs w:val="1"/>
          <w:color w:val="auto"/>
        </w:rPr>
        <w:t>folliculorum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brevis</w:t>
      </w:r>
      <w:r>
        <w:rPr>
          <w:rFonts w:ascii="Times New Roman" w:cs="Times New Roman" w:eastAsia="Times New Roman" w:hAnsi="Times New Roman"/>
          <w:sz w:val="18"/>
          <w:szCs w:val="18"/>
          <w:color w:val="auto"/>
        </w:rPr>
        <w:t xml:space="preserve">, that live on the skin of the face and eyelids. </w:t>
      </w:r>
      <w:r>
        <w:rPr>
          <w:rFonts w:ascii="Times New Roman" w:cs="Times New Roman" w:eastAsia="Times New Roman" w:hAnsi="Times New Roman"/>
          <w:sz w:val="18"/>
          <w:szCs w:val="18"/>
          <w:i w:val="1"/>
          <w:iCs w:val="1"/>
          <w:color w:val="auto"/>
        </w:rPr>
        <w:t xml:space="preserve">Demodex folliculorum, </w:t>
      </w:r>
      <w:r>
        <w:rPr>
          <w:rFonts w:ascii="Times New Roman" w:cs="Times New Roman" w:eastAsia="Times New Roman" w:hAnsi="Times New Roman"/>
          <w:sz w:val="18"/>
          <w:szCs w:val="18"/>
          <w:color w:val="auto"/>
        </w:rPr>
        <w:t>which is commonly found in the follicle, is the more common sub-species of mite that causes Demodex blepharitis.</w:t>
      </w:r>
    </w:p>
    <w:p>
      <w:pPr>
        <w:spacing w:after="0" w:line="187"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The key clinical sign of Demodex blepharitis is a specific type of eyelid debris known as the collarette, which is also sometimes referred to as cylindrical dandruff or waxy scurf. Collarettes are composed of partially digested epithelial cells, mite waste products and eggs among other things and can be easily diagnosed by ECPs with a standard eye examination known as the slit lamp examination. Other bothersome signs and symptoms of Demodex blepharitis that lead to further disease progression include missing or misdirected eyelashes, crusting,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redness of the lid margin, inflammation of the lid margin, inflammation of the conjunctiva and/or inflammation of the cornea, also known as blepharoconjunctivitis and blepharokeratitis. Demodex blepharitis is a progressive disease that often manifests with more severe signs and symptoms if left untreated, such as blurring of vision, missing eyelashes, corneal damage and, in extreme cases, blindness. Furthermore, Demodex blepharitis can negatively impact quality of life and create an emotional burden for individuals with the condition.</w:t>
      </w:r>
    </w:p>
    <w:p>
      <w:pPr>
        <w:spacing w:after="0" w:line="1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The following figures demonstrate how </w:t>
      </w:r>
      <w:r>
        <w:rPr>
          <w:rFonts w:ascii="Times New Roman" w:cs="Times New Roman" w:eastAsia="Times New Roman" w:hAnsi="Times New Roman"/>
          <w:sz w:val="18"/>
          <w:szCs w:val="18"/>
          <w:i w:val="1"/>
          <w:iCs w:val="1"/>
          <w:color w:val="auto"/>
        </w:rPr>
        <w:t>Demodex folliculorum</w:t>
      </w:r>
      <w:r>
        <w:rPr>
          <w:rFonts w:ascii="Times New Roman" w:cs="Times New Roman" w:eastAsia="Times New Roman" w:hAnsi="Times New Roman"/>
          <w:sz w:val="18"/>
          <w:szCs w:val="18"/>
          <w:color w:val="auto"/>
        </w:rPr>
        <w:t xml:space="preserve"> mites enter and reside in the eyelash follicles:</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Figure 5: </w:t>
      </w:r>
      <w:r>
        <w:rPr>
          <w:rFonts w:ascii="Times New Roman" w:cs="Times New Roman" w:eastAsia="Times New Roman" w:hAnsi="Times New Roman"/>
          <w:sz w:val="18"/>
          <w:szCs w:val="18"/>
          <w:b w:val="1"/>
          <w:bCs w:val="1"/>
          <w:i w:val="1"/>
          <w:iCs w:val="1"/>
          <w:color w:val="auto"/>
        </w:rPr>
        <w:t>Demodex folliculorum</w:t>
      </w:r>
      <w:r>
        <w:rPr>
          <w:rFonts w:ascii="Times New Roman" w:cs="Times New Roman" w:eastAsia="Times New Roman" w:hAnsi="Times New Roman"/>
          <w:sz w:val="18"/>
          <w:szCs w:val="18"/>
          <w:b w:val="1"/>
          <w:bCs w:val="1"/>
          <w:color w:val="auto"/>
        </w:rPr>
        <w:t xml:space="preserve"> Mites Entering and Residing in Eyelash Follicles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3686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9493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Demodex infestation can lead to Demodex blepharitis in three main ways:</w:t>
      </w:r>
    </w:p>
    <w:p>
      <w:pPr>
        <w:spacing w:after="0" w:line="248" w:lineRule="exact"/>
        <w:rPr>
          <w:sz w:val="20"/>
          <w:szCs w:val="20"/>
          <w:color w:val="auto"/>
        </w:rPr>
      </w:pPr>
    </w:p>
    <w:p>
      <w:pPr>
        <w:ind w:left="1420" w:right="120" w:hanging="427"/>
        <w:spacing w:after="0" w:line="268" w:lineRule="auto"/>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Mechanical: </w:t>
      </w:r>
      <w:r>
        <w:rPr>
          <w:rFonts w:ascii="Times New Roman" w:cs="Times New Roman" w:eastAsia="Times New Roman" w:hAnsi="Times New Roman"/>
          <w:sz w:val="18"/>
          <w:szCs w:val="18"/>
          <w:color w:val="auto"/>
        </w:rPr>
        <w:t>Overcrowded mites scrape the epithelial cell lining of the eyelash follicles with their claws and lay eggs, causing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follicular distention, misdirected lashes, eyelash loss and irritation. Dead mites and collarettes also obstruct the hair follicle opening, leading to inflammation.</w:t>
      </w:r>
    </w:p>
    <w:p>
      <w:pPr>
        <w:spacing w:after="0" w:line="197" w:lineRule="exact"/>
        <w:rPr>
          <w:rFonts w:ascii="Times New Roman" w:cs="Times New Roman" w:eastAsia="Times New Roman" w:hAnsi="Times New Roman"/>
          <w:sz w:val="18"/>
          <w:szCs w:val="18"/>
          <w:color w:val="auto"/>
        </w:rPr>
      </w:pPr>
    </w:p>
    <w:p>
      <w:pPr>
        <w:ind w:left="1420" w:hanging="427"/>
        <w:spacing w:after="0" w:line="286" w:lineRule="auto"/>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Chemical: </w:t>
      </w:r>
      <w:r>
        <w:rPr>
          <w:rFonts w:ascii="Times New Roman" w:cs="Times New Roman" w:eastAsia="Times New Roman" w:hAnsi="Times New Roman"/>
          <w:sz w:val="18"/>
          <w:szCs w:val="18"/>
          <w:color w:val="auto"/>
        </w:rPr>
        <w:t>Mites excrete digestive enzymes as they feed and exude digestive waste when they die, resulting in inflammation, redness,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irritation and epithelial hyperplasia.</w:t>
      </w:r>
    </w:p>
    <w:p>
      <w:pPr>
        <w:spacing w:after="0" w:line="181"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Bacterial: </w:t>
      </w:r>
      <w:r>
        <w:rPr>
          <w:rFonts w:ascii="Times New Roman" w:cs="Times New Roman" w:eastAsia="Times New Roman" w:hAnsi="Times New Roman"/>
          <w:sz w:val="18"/>
          <w:szCs w:val="18"/>
          <w:color w:val="auto"/>
        </w:rPr>
        <w:t>Bacteria living on the mite surface or in its gut cause inflammation of the surrounding ocular tissues.</w:t>
      </w:r>
    </w:p>
    <w:p>
      <w:pPr>
        <w:spacing w:after="0" w:line="161" w:lineRule="exact"/>
        <w:rPr>
          <w:rFonts w:ascii="Times New Roman" w:cs="Times New Roman" w:eastAsia="Times New Roman" w:hAnsi="Times New Roman"/>
          <w:sz w:val="18"/>
          <w:szCs w:val="18"/>
          <w:color w:val="auto"/>
        </w:rPr>
      </w:pPr>
    </w:p>
    <w:p>
      <w:pPr>
        <w:ind w:left="5500" w:hanging="112"/>
        <w:spacing w:after="0"/>
        <w:tabs>
          <w:tab w:leader="none" w:pos="55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w:t>
      </w:r>
    </w:p>
    <w:p>
      <w:pPr>
        <w:sectPr>
          <w:pgSz w:w="11900" w:h="16838" w:orient="portrait"/>
          <w:cols w:equalWidth="0" w:num="1">
            <w:col w:w="11080"/>
          </w:cols>
          <w:pgMar w:left="320" w:top="455" w:right="49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As mites scratch and feed on the skin, the partially digested epithelial cells, keratin, mite waste and eggs combine to form collarettes. These collarettes are typically found at the base of the lash but can migrate away as the hair shaft grows.</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collarettes at the base of an eye lash:</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Figure 6: Collarettes Are the Pathognomonic Sign of Demodex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173990</wp:posOffset>
            </wp:positionV>
            <wp:extent cx="3420110" cy="1825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011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A clinical trial confirmed the pathognomonic relationship of the collarette to Demodex infestation. As illustrated in the figure below, 100% of patients with at least one collarette had Demodex infestation, while only 7% of patients without collarettes had Demodex. Even for those subjects without collarettes, but who were performing daily lid scrubs with shampoo for a full year, 50% had Demodex infestation, implying that hygiene alone did not eradicate the mites.</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that 100% of patients with at least one collarette had Demodex infestation:</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Figure 7: 100% of Patients With at Least One Collarette Had Demodex Infestation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Demodex blepharitis can be easily diagnosed by ECPs with the standard eye examination, the slit lamp examination, by confirming the presence of collarettes. The slit lamp examination is routinely performed by ECPs as part of standard practice during a customary eye examination, so diagnosing Demodex blepharitis via presence of collarettes would not involve any additional equipment, training or workflow alterations on the part of the ECP.</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Opportunity in Blepharitis</w:t>
      </w:r>
    </w:p>
    <w:p>
      <w:pPr>
        <w:spacing w:after="0" w:line="229" w:lineRule="exact"/>
        <w:rPr>
          <w:sz w:val="20"/>
          <w:szCs w:val="20"/>
          <w:color w:val="auto"/>
        </w:rPr>
      </w:pPr>
    </w:p>
    <w:p>
      <w:pPr>
        <w:ind w:left="120" w:right="880" w:firstLine="881"/>
        <w:spacing w:after="0" w:line="282" w:lineRule="auto"/>
        <w:rPr>
          <w:sz w:val="20"/>
          <w:szCs w:val="20"/>
          <w:color w:val="auto"/>
        </w:rPr>
      </w:pPr>
      <w:r>
        <w:rPr>
          <w:rFonts w:ascii="Times New Roman" w:cs="Times New Roman" w:eastAsia="Times New Roman" w:hAnsi="Times New Roman"/>
          <w:sz w:val="18"/>
          <w:szCs w:val="18"/>
          <w:color w:val="auto"/>
        </w:rPr>
        <w:t>According to published studies, there are an estimated 20 million patients in the United States who suffer from blepharitis, with approximately 45%, or approximately 9 million, of cases caused by Demodex</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60"/>
          </w:cols>
          <w:pgMar w:left="320" w:top="455" w:right="51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58" w:lineRule="auto"/>
        <w:rPr>
          <w:sz w:val="20"/>
          <w:szCs w:val="20"/>
          <w:color w:val="auto"/>
        </w:rPr>
      </w:pPr>
      <w:r>
        <w:rPr>
          <w:rFonts w:ascii="Times New Roman" w:cs="Times New Roman" w:eastAsia="Times New Roman" w:hAnsi="Times New Roman"/>
          <w:sz w:val="18"/>
          <w:szCs w:val="18"/>
          <w:color w:val="auto"/>
        </w:rPr>
        <w:t>infestation. Further, our internal studies indicate the possibility that the number of Demodex blepharitis cases may be as high as approximately 25 million based on observation of collarettes in patients presenting to eye care clinics. 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Market Research Studies and Surveys</w:t>
      </w:r>
    </w:p>
    <w:p>
      <w:pPr>
        <w:spacing w:after="0" w:line="229"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Our market research studies include an ECP survey of 50 ECPs conducted in 2019 and 2020 to determine ECP awareness of the connection between collarettes and Demodex infestation, or the ECP Survey. Twenty ECPs were interviewed in 2019 and 30 ECPs were interviewed in 2020. The ECP Survey showed that 44% of all diagnosed patients were over the age of 65, and 57% of diagnosed patients were female. Distribution of diagnoses across race and income metrics was approximately proportional to that of the United States population, implying little correlation of the condition with socioeconomic status. The ECP Survey also showed that in April through May of 2020, the number of blepharitis patients in the eye care clinic, which represented 60% of the total patients, was approaching the level of dry eye patients, which represented approximately 65% of the total patients. As the population of the United States continues to age, we believe this disease will become more prevalent.</w:t>
      </w:r>
    </w:p>
    <w:p>
      <w:pPr>
        <w:spacing w:after="0" w:line="189" w:lineRule="exact"/>
        <w:rPr>
          <w:sz w:val="20"/>
          <w:szCs w:val="20"/>
          <w:color w:val="auto"/>
        </w:rPr>
      </w:pPr>
    </w:p>
    <w:p>
      <w:pPr>
        <w:ind w:left="120" w:right="500" w:firstLine="881"/>
        <w:spacing w:after="0" w:line="282" w:lineRule="auto"/>
        <w:rPr>
          <w:sz w:val="20"/>
          <w:szCs w:val="20"/>
          <w:color w:val="auto"/>
        </w:rPr>
      </w:pPr>
      <w:r>
        <w:rPr>
          <w:rFonts w:ascii="Times New Roman" w:cs="Times New Roman" w:eastAsia="Times New Roman" w:hAnsi="Times New Roman"/>
          <w:sz w:val="18"/>
          <w:szCs w:val="18"/>
          <w:color w:val="auto"/>
        </w:rPr>
        <w:t>The following figures show that according to the ECP Survey, the number of blepharitis diagnoses approached the number of dry eye diagnoses. This trend is also supported by independent epidemiology studies: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Figures 8 and 9: Blepharitis Diagnoses Approaching Number of Dry Eye Diagnoses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173990</wp:posOffset>
            </wp:positionV>
            <wp:extent cx="5057775" cy="17570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5777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We have sponsored two additional market research studies to attain ECP feedback on the TP-03 product profile. In these studies, a total of 25 ophthalmologists and 25 optometrists were educated on the pathognomonic relationship of collarettes to Demodex blepharitis and exposed to the Mars and Jupiter clinical trial data. After exposure, ECPs were asked whether they would prescribe TP-03 for their patients presenting with Demodex blepharitis as indicated by collarettes. In these studies, 48 of 50 (96%) ECPs indicated that they would prescribe TP-03 as first-line treatment, and 2 of 50 (4%) indicated that they would prescribe it as second-line treatment. No ECPs indicated that they would prescribe TP-03 as third line or not prescribe TP-03.</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that 96% of the surveyed ECPs indicated they would prescribe TP-03 as a first-line treatment:</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 10: 96% of Surveyed ECPs Indicated Prescribing TP-03 as First-Line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173990</wp:posOffset>
            </wp:positionV>
            <wp:extent cx="2983230" cy="2322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98323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We also sponsored a market research survey of 50 individuals with blepharitis symptoms, where the presence of “eye crust” on eye lashes was noted as a primary symptom. The individuals with blepharitis symptoms were educated on collarettes and that Demodex mites cause collarettes, and provided with a description of a hypothetical product with the target profile of TP-03, which can potentially eradicate Demodex mites in the eyelid and eliminate collarettes in a majority of patients. After considering the target product profile, the individuals with blepharitis symptoms were asked how likely they were to visit a doctor and ask about whether a product such as TP-03 would be right for them (on a scale of 1-7). Forty-six of 50 (92%) of the individuals with blepharitis symptoms indicated a likelihood to visit a doctor and ask about a product with a target profile of TP-03, and 32 of 50 (64%) indicated a response of “definitely would.” Two of 50 (4%) of the individuals with blepharitis symptoms indicated that they “may or may not,” and two of 50 (4%) of the individuals with blepharitis symptoms indicated that they “definitely would not.”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the results of this survey:</w:t>
      </w: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Figure 11: 92% of Individuals with Blepharitis Symptoms Indicated Likelihood To Inquire About a TP-03-Type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173990</wp:posOffset>
            </wp:positionV>
            <wp:extent cx="3360420" cy="24174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042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We believe that blepharitis is underdiagnosed due to the lack of an approved treatment and associated patient and physician education, and the lack of awareness of the role of Demodex mites in the disease process. The ECP Survey showed that only 10-15% of ECPs were aware that collarettes are highly correlated with Demodex infestation. Despite the current lack of awareness by ECPs, we believe that the ocular surface disease marketplace is highly responsive to education of both the ECP and the patient. For example, as a result of ECP and patient education the dry eye market, grew significantly once there was a product to address the large, latent demand for an effective therapy. Dry eye had no approved therapeutic until 2003. With the approval of Allergan’s Restasis (cyclosporine) in 2003 and concurrent ECP and patient education, the diagnosis rate increased by approximately 12x, growing from 500,000 diagnoses in 2003 to over 6 million annual diagnoses by 2015. Annual diagnoses rates have been maintained at similar levels since 2015 and, in 2016, Restasis generated peak revenue $1.5 billion.</w:t>
      </w:r>
    </w:p>
    <w:p>
      <w:pPr>
        <w:spacing w:after="0" w:line="192" w:lineRule="exact"/>
        <w:rPr>
          <w:sz w:val="20"/>
          <w:szCs w:val="20"/>
          <w:color w:val="auto"/>
        </w:rPr>
      </w:pPr>
    </w:p>
    <w:p>
      <w:pPr>
        <w:ind w:left="120" w:right="540" w:firstLine="881"/>
        <w:spacing w:after="0" w:line="282" w:lineRule="auto"/>
        <w:rPr>
          <w:sz w:val="20"/>
          <w:szCs w:val="20"/>
          <w:color w:val="auto"/>
        </w:rPr>
      </w:pPr>
      <w:r>
        <w:rPr>
          <w:rFonts w:ascii="Times New Roman" w:cs="Times New Roman" w:eastAsia="Times New Roman" w:hAnsi="Times New Roman"/>
          <w:sz w:val="18"/>
          <w:szCs w:val="18"/>
          <w:color w:val="auto"/>
        </w:rPr>
        <w:t>The following figure shows the annual diagnoses of dry eye disease prior to and after and the launch of Restasis, with the 2.1 million diagnoses for blepharitis in 2019 shown on the plot for reference: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 12: Dry Eye Diagnoses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Demodex mites have been implicated in approximately 45% of all blepharitis cases in a meta-analysis of 11 studies consisting of an aggregate of 4,741 patients with blepharitis. The incidence of Demodex blepharitis increases progressively with aging, which is the main risk factor for the condition, with the majority of people over the age of 60 having been shown to have the disease.</w:t>
      </w:r>
    </w:p>
    <w:p>
      <w:pPr>
        <w:spacing w:after="0" w:line="176" w:lineRule="exact"/>
        <w:rPr>
          <w:sz w:val="20"/>
          <w:szCs w:val="20"/>
          <w:color w:val="auto"/>
        </w:rPr>
      </w:pPr>
    </w:p>
    <w:p>
      <w:pPr>
        <w:ind w:left="120" w:right="100" w:firstLine="881"/>
        <w:spacing w:after="0" w:line="256" w:lineRule="auto"/>
        <w:rPr>
          <w:sz w:val="20"/>
          <w:szCs w:val="20"/>
          <w:color w:val="auto"/>
        </w:rPr>
      </w:pPr>
      <w:r>
        <w:rPr>
          <w:rFonts w:ascii="Times New Roman" w:cs="Times New Roman" w:eastAsia="Times New Roman" w:hAnsi="Times New Roman"/>
          <w:sz w:val="18"/>
          <w:szCs w:val="18"/>
          <w:color w:val="auto"/>
        </w:rPr>
        <w:t>Our market research studies also included an epidemiological evaluation of 1,121 consecutive patients in eight ophthalmology and optometry practices conducted in 2020, or the Patient Survey, which showed that 58% of all patients entering the practices had collarettes. By comparison, 20% of those same 1,121 patients were currently on a prescription therapeutic for dry eye disease (Restasis or Xiidra). The clinics in the Patient Survey were geographically diverse and represented both high and low dry eye prescription rates. Each practice was required to enroll between 100 and 180 consecutive patients. The clinic with the lowest prevalence demonstrated 29% of consecutive patients had collarettes, and the clinic with the highest prevalence demonstrated 76% of consecutive patients had collarettes.</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the prevelence of collarettes and prevalence distribution by clinic, from the Patient Survey:</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Figures 13 and 14: Prevalence of Collarettes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173990</wp:posOffset>
            </wp:positionV>
            <wp:extent cx="4671695" cy="16033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7169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firstLine="881"/>
        <w:spacing w:after="0" w:line="289" w:lineRule="auto"/>
        <w:rPr>
          <w:sz w:val="20"/>
          <w:szCs w:val="20"/>
          <w:color w:val="auto"/>
        </w:rPr>
      </w:pPr>
      <w:r>
        <w:rPr>
          <w:rFonts w:ascii="Times New Roman" w:cs="Times New Roman" w:eastAsia="Times New Roman" w:hAnsi="Times New Roman"/>
          <w:sz w:val="17"/>
          <w:szCs w:val="17"/>
          <w:color w:val="auto"/>
        </w:rPr>
        <w:t>We believe the data has demonstrated that there is a significant population for blepharitis, and for Demodex blepharitis more specifically. We also believe the data illustrates a significant opportunity to increase the diagnosis rate of Demodex blepharitis by educating ECPs on the high correlation of the presence of collarette to Demodex blepharitis in order for ECPs to incorporate the examination of the condition into standard practice.</w:t>
      </w:r>
    </w:p>
    <w:p>
      <w:pPr>
        <w:spacing w:after="0" w:line="158" w:lineRule="exact"/>
        <w:rPr>
          <w:sz w:val="20"/>
          <w:szCs w:val="20"/>
          <w:color w:val="auto"/>
        </w:rPr>
      </w:pPr>
    </w:p>
    <w:p>
      <w:pPr>
        <w:ind w:left="120" w:right="300" w:firstLine="881"/>
        <w:spacing w:after="0" w:line="266" w:lineRule="auto"/>
        <w:rPr>
          <w:sz w:val="20"/>
          <w:szCs w:val="20"/>
          <w:color w:val="auto"/>
        </w:rPr>
      </w:pPr>
      <w:r>
        <w:rPr>
          <w:rFonts w:ascii="Times New Roman" w:cs="Times New Roman" w:eastAsia="Times New Roman" w:hAnsi="Times New Roman"/>
          <w:sz w:val="18"/>
          <w:szCs w:val="18"/>
          <w:color w:val="auto"/>
        </w:rPr>
        <w:t>Over the past several years, an increasing number of clinical studies on Demodex have been published in the context of ocular surface disease, with more than half of these studies published in the last four years. We believe this shows an increased understanding of the importance of Demodex in the scientific ophthalmology community and represents an important step in educating ECPs about Demodex blepharitis.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Treatment Options and Their Limitations</w:t>
      </w:r>
    </w:p>
    <w:p>
      <w:pPr>
        <w:spacing w:after="0" w:line="229"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Despite the high prevalence of patients with Demodex blepharitis and growing awareness of the condition amongst ECPs, there are no FDA- approved therapeutics for the treatment of blepharitis or for Demodex blepharitis. Demodex blepharitis is currently treated with a variety of over the counter remedies such as tea tree oil, lid wipes and artificial tears, as well as off-label prescription products for dry eye.</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These approaches have significant limitations, including:</w:t>
      </w:r>
    </w:p>
    <w:p>
      <w:pPr>
        <w:spacing w:after="0" w:line="252" w:lineRule="exact"/>
        <w:rPr>
          <w:sz w:val="20"/>
          <w:szCs w:val="20"/>
          <w:color w:val="auto"/>
        </w:rPr>
      </w:pPr>
    </w:p>
    <w:p>
      <w:pPr>
        <w:ind w:left="1420" w:hanging="319"/>
        <w:spacing w:after="0"/>
        <w:tabs>
          <w:tab w:leader="none" w:pos="14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efficacy of over-the-counter and off-label treatments as well as device-based treatments administered in clinic by ECPs;</w:t>
      </w:r>
    </w:p>
    <w:p>
      <w:pPr>
        <w:spacing w:after="0" w:line="157"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w:t>
      </w:r>
    </w:p>
    <w:p>
      <w:pPr>
        <w:sectPr>
          <w:pgSz w:w="11900" w:h="16838" w:orient="portrait"/>
          <w:cols w:equalWidth="0" w:num="1">
            <w:col w:w="11060"/>
          </w:cols>
          <w:pgMar w:left="320" w:top="455" w:right="51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definitive knowledge of diagnostic criteria to guide treatment decisions;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prohibitive side effects (significant burning and stinging) from treatments that target Demodex mites (e.g. tea tree oil);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treatments do not eradicate the Demodex mites, leading to a chronic and progressive condition.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Approach: Treating Demodex Mites, a Root Cause of Disease</w:t>
      </w:r>
    </w:p>
    <w:p>
      <w:pPr>
        <w:spacing w:after="0" w:line="229" w:lineRule="exact"/>
        <w:rPr>
          <w:sz w:val="20"/>
          <w:szCs w:val="20"/>
          <w:color w:val="auto"/>
        </w:rPr>
      </w:pPr>
    </w:p>
    <w:p>
      <w:pPr>
        <w:ind w:left="120" w:right="160" w:firstLine="881"/>
        <w:spacing w:after="0" w:line="256" w:lineRule="auto"/>
        <w:rPr>
          <w:sz w:val="20"/>
          <w:szCs w:val="20"/>
          <w:color w:val="auto"/>
        </w:rPr>
      </w:pPr>
      <w:r>
        <w:rPr>
          <w:rFonts w:ascii="Times New Roman" w:cs="Times New Roman" w:eastAsia="Times New Roman" w:hAnsi="Times New Roman"/>
          <w:sz w:val="18"/>
          <w:szCs w:val="18"/>
          <w:color w:val="auto"/>
        </w:rPr>
        <w:t>To address these limitations and high unmet need for effectively treating Demodex blepharitis, we are developing TP-03, formulated as an eye drop, which we believe, if approved, has the potential to become the standard of care for Demodex blepharitis. TP-03 is a first-in-class therapeutic based on the novel drug, lotilaner, which is designed to paralyze and eradicate mites and other parasites through the inhibition of parasite-specific GABA-Cl channels. To date, TP-03 has successfully met the applicable primary and secondary endpoints in each of the four completed Phase 2 trials. TP-03 was generally well tolerated throughout these trials. As a result, we believe that TP-03 has the potential to be the first ever approved therapeutic for Demodex blepharitis.</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summarizes the key advantages of TP-03:</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 15: Summary of TP-03 Key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6917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604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 Strategy for Demodex Blepharitis Launch</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If approved, we plan to commercialize TP-03 in the United States with a focused, specialty sales force, direct-to-consumer, or DTC, campaign, and ECP education campaigns with KOLs and professional associations. In our work with KOLs and various associations to increase Demodex blepharitis awareness and education, we plan to highlight prevalence, impact, and simplicity of diagnosis of Demodex blepharitis. Our goal is to educate ECPs about the prevalence of Demodex blepharitis and the safety and efficacy of our products. In addition to educating ECPs, we believe that patient awareness and identification is important and plan to increase awareness through education and marketing efforts directed toward patients.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TP-03 Eye Drops – Mechanism of Action</w:t>
      </w:r>
    </w:p>
    <w:p>
      <w:pPr>
        <w:spacing w:after="0" w:line="256" w:lineRule="exact"/>
        <w:rPr>
          <w:sz w:val="20"/>
          <w:szCs w:val="20"/>
          <w:color w:val="auto"/>
        </w:rPr>
      </w:pPr>
    </w:p>
    <w:p>
      <w:pPr>
        <w:ind w:left="120" w:right="1180" w:firstLine="648"/>
        <w:spacing w:after="0" w:line="255" w:lineRule="auto"/>
        <w:rPr>
          <w:sz w:val="20"/>
          <w:szCs w:val="20"/>
          <w:color w:val="auto"/>
        </w:rPr>
      </w:pPr>
      <w:r>
        <w:rPr>
          <w:rFonts w:ascii="Times New Roman" w:cs="Times New Roman" w:eastAsia="Times New Roman" w:hAnsi="Times New Roman"/>
          <w:sz w:val="18"/>
          <w:szCs w:val="18"/>
          <w:color w:val="auto"/>
        </w:rPr>
        <w:t>The active ingredient in TP-03 eye drops is lotilaner, a member of a new class of anti-parasitic molecules called isoxazolines. It is a potent non-competitive antagonist of insect and arachnid GABA-Cl channels. Lotilaner is designed to eradicate Demodex mites by selectively inhibiting GABA-Cl channels, causing mite paralysis and eventual death. It has a low affinity to mammalian GABA-Cl and other ion channels (e.g. hERG) and thus has no impact on the human nervous system. Lotilaner is a lipophilic molecule, which may promote its uptake in the oily sebum of the hair follicle, where the mites reside. In clinical trials, TP-03 is topically applied to the eye twice daily to ensure delivery of the drug to the eyelid margin. Following mite eradication, collarettes eventually clear from the eyelid since they are composed of mite-related waste.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-965200</wp:posOffset>
            </wp:positionV>
            <wp:extent cx="368300" cy="1054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8300" cy="1054100"/>
                    </a:xfrm>
                    <a:prstGeom prst="rect">
                      <a:avLst/>
                    </a:prstGeom>
                    <a:noFill/>
                  </pic:spPr>
                </pic:pic>
              </a:graphicData>
            </a:graphic>
          </wp:anchor>
        </w:drawing>
      </w:r>
    </w:p>
    <w:p>
      <w:pPr>
        <w:spacing w:after="0" w:line="3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figures show the intended paralysis of mites in the hair follicle by TP-03 administration:</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 16: Progression of TP-03 Application, Mite Paralysis and Eradication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24174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9493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Development Program</w:t>
      </w:r>
    </w:p>
    <w:p>
      <w:pPr>
        <w:spacing w:after="0" w:line="227"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 xml:space="preserve">We have completed four Phase 2 clinical trials to date, along with one additional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study. The table below summarizes completed and planned clinical investigations evaluating TP-03 for Demodex blepharitis. We plan to evaluate TP-03 in two Phase 3 pivotal registration trials, referred to as Saturn-1 and Saturn-2. Saturn-1 is a Phase 3, randomized, controlled, double-blind trial to evaluate the safety and efficacy of TP-03 in approximately 350 Demodex blepharitis patients in multiple centers in the United States. Saturn-1 is expected to begin enrollment in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We expect these trial results to support the potential submission of an NDA for TP-03 for the treatment of Demodex blepharitis.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our completed and planned investigations evaluating TP-03 for Demodex blepharitis:</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 17: Completed and Planned Investigations Evaluating TP-03 for Demodex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77790" cy="31457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7779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right="560" w:firstLine="881"/>
        <w:spacing w:after="0" w:line="282" w:lineRule="auto"/>
        <w:rPr>
          <w:sz w:val="20"/>
          <w:szCs w:val="20"/>
          <w:color w:val="auto"/>
        </w:rPr>
      </w:pPr>
      <w:r>
        <w:rPr>
          <w:rFonts w:ascii="Times New Roman" w:cs="Times New Roman" w:eastAsia="Times New Roman" w:hAnsi="Times New Roman"/>
          <w:sz w:val="18"/>
          <w:szCs w:val="18"/>
          <w:color w:val="auto"/>
        </w:rPr>
        <w:t>TP-03 is a presentation of lotilaner, the API, formulated into a topical eye drop formulation. Only one dose strength of TP-03, 0.25% lotilaner solution was used across all clinical trials and studies.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Mercury Study</w:t>
      </w:r>
    </w:p>
    <w:p>
      <w:pPr>
        <w:spacing w:after="0" w:line="227"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 xml:space="preserve">The Mercury preclinical study was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study of the efficacy of TP-03 in causing the paralysis and death of Demodex mites performed at a single center in the United States in 2019 through 2020. Mites were collected following lash plucking at a single center in the United States. Mites were placed in small wells and submersed in a drop of either TP-03 (pilot formulation) or a vehicle control (formulation with no active ingredient). The </w:t>
      </w:r>
      <w:r>
        <w:rPr>
          <w:rFonts w:ascii="Times New Roman" w:cs="Times New Roman" w:eastAsia="Times New Roman" w:hAnsi="Times New Roman"/>
          <w:sz w:val="18"/>
          <w:szCs w:val="18"/>
          <w:i w:val="1"/>
          <w:iCs w:val="1"/>
          <w:color w:val="auto"/>
        </w:rPr>
        <w:t xml:space="preserve">ex vivo </w:t>
      </w:r>
      <w:r>
        <w:rPr>
          <w:rFonts w:ascii="Times New Roman" w:cs="Times New Roman" w:eastAsia="Times New Roman" w:hAnsi="Times New Roman"/>
          <w:sz w:val="18"/>
          <w:szCs w:val="18"/>
          <w:color w:val="auto"/>
        </w:rPr>
        <w:t>efficacy results of the Mercury study show that 100% of mites subjected to the pilot formulation of TP-03 were dead within 24 hours and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70% of mites subjected to the formulation with no active ingredient were still viable after four days of observation.</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The following figure presents the efficacy results on Demodex mite survival probability over time, with the shaded regions representing the 95% confidence interval for each of the two groups: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 xml:space="preserve">Figure 18: Mercury Study </w:t>
      </w:r>
      <w:r>
        <w:rPr>
          <w:rFonts w:ascii="Times New Roman" w:cs="Times New Roman" w:eastAsia="Times New Roman" w:hAnsi="Times New Roman"/>
          <w:sz w:val="18"/>
          <w:szCs w:val="18"/>
          <w:b w:val="1"/>
          <w:bCs w:val="1"/>
          <w:i w:val="1"/>
          <w:iCs w:val="1"/>
          <w:color w:val="auto"/>
        </w:rPr>
        <w:t>Ex Vivo</w:t>
      </w:r>
      <w:r>
        <w:rPr>
          <w:rFonts w:ascii="Times New Roman" w:cs="Times New Roman" w:eastAsia="Times New Roman" w:hAnsi="Times New Roman"/>
          <w:sz w:val="18"/>
          <w:szCs w:val="18"/>
          <w:b w:val="1"/>
          <w:bCs w:val="1"/>
          <w:color w:val="auto"/>
        </w:rPr>
        <w:t xml:space="preserve"> Efficacy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173990</wp:posOffset>
            </wp:positionV>
            <wp:extent cx="3051810" cy="2451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05181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Mars Phase 2a Single-Arm Clinical Trial</w:t>
      </w:r>
    </w:p>
    <w:p>
      <w:pPr>
        <w:spacing w:after="0" w:line="22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Mars was a Phase 2a single-arm clinical trial which evaluated the safety and efficacy of TP-03 for the treatment of Demodex blepharitis completed in 2019 in Mexico City, Mexico at a well-established site for ocular therapy trials. Subjects were treated with TP-03 (pilot formulation) BID for 28 days and followed to 90 days (62 days post-treatment). A total of 18 subjects were enrolled in the trial, with 15 patients receiving treatment. All 15 subjects who received treatment completed the trial through day 28. Twelve of the 15 subjects continued through 90 days (62 days post-treatment) and three subjects did not continue the trial after day 28.</w:t>
      </w:r>
    </w:p>
    <w:p>
      <w:pPr>
        <w:spacing w:after="0" w:line="183"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Exploratory endpoints included collarette grading score and mite density, as assessed by microscopic evaluation of plucked lashes. As this was an exploratory Phase 2a trial, no primary or secondary endpoints were pre-specified. We utilized the data from the exploratory endpoints to determine collarette cure and mite eradication rates. We defined collarette cure as collarette count of 10 or fewer, consistent with prior studies in the field. We defined mite eradication as zero mites per lash.</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40"/>
          </w:cols>
          <w:pgMar w:left="320" w:top="455" w:right="5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following figure illustrates representative photos of two Mars subjects at baseline and day 28 who exhibited a collarette cure:</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Figure 19: Two Mars Trial Subjects at Baseline and Day 28 Who Exhibited a Collarette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173990</wp:posOffset>
            </wp:positionV>
            <wp:extent cx="3360420" cy="27432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042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120" w:firstLine="881"/>
        <w:spacing w:after="0" w:line="289" w:lineRule="auto"/>
        <w:rPr>
          <w:sz w:val="20"/>
          <w:szCs w:val="20"/>
          <w:color w:val="auto"/>
        </w:rPr>
      </w:pPr>
      <w:r>
        <w:rPr>
          <w:rFonts w:ascii="Times New Roman" w:cs="Times New Roman" w:eastAsia="Times New Roman" w:hAnsi="Times New Roman"/>
          <w:sz w:val="17"/>
          <w:szCs w:val="17"/>
          <w:color w:val="auto"/>
        </w:rPr>
        <w:t>The proportion of subjects who exhibited a collarette cure was statistically significant compared to baseline by day 14 with 54% of subjects (7 of 13 subjects, p &lt; 0.05) exhibiting a cure, at day 28 with 86% of subjects (12 of 14 subjects, p &lt; 0.05) exhibiting a cure, and post-treatment at day 60 with 83% of subjects (10 of 12 subjects, p &lt; 0.05) exhibiting a cure and at day 90 with 83% of subjects (10 of 12 subjects, p &lt; 0.05) exhibiting a cure.</w:t>
      </w:r>
    </w:p>
    <w:p>
      <w:pPr>
        <w:spacing w:after="0" w:line="158"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The proportion of subjects who exhibited mite eradication was statistically significant compared to baseline at day 14 with 31% of subjects (4 of 13 subjects, p &lt; 0.05) exhibiting eradication, at day 28 with 57% of subjects (8 of 14 subjects, p &lt; 0.05) exhibiting eradication, and post-treatment at day 60 with 50% of subjects (6 of 12 subjects, p &lt; 0.05) exhibiting eradication and day 90 with 83% of subjects (10 of 12 subjects, p &lt; 0.05) exhibiting eradication.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80"/>
          </w:cols>
          <w:pgMar w:left="320" w:top="455" w:right="49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the data for each visit day:</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Figures 20 and 21: Mars Phase 2a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1513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208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There were no adverse events reported and TP-03 was well tolerated. No subjects discontinued the trial due to adverse events.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Jupiter Phase 2b Trial</w:t>
      </w:r>
    </w:p>
    <w:p>
      <w:pPr>
        <w:spacing w:after="0" w:line="229" w:lineRule="exact"/>
        <w:rPr>
          <w:sz w:val="20"/>
          <w:szCs w:val="20"/>
          <w:color w:val="auto"/>
        </w:rPr>
      </w:pPr>
    </w:p>
    <w:p>
      <w:pPr>
        <w:ind w:left="120" w:right="220" w:firstLine="881"/>
        <w:spacing w:after="0" w:line="255" w:lineRule="auto"/>
        <w:rPr>
          <w:sz w:val="20"/>
          <w:szCs w:val="20"/>
          <w:color w:val="auto"/>
        </w:rPr>
      </w:pPr>
      <w:r>
        <w:rPr>
          <w:rFonts w:ascii="Times New Roman" w:cs="Times New Roman" w:eastAsia="Times New Roman" w:hAnsi="Times New Roman"/>
          <w:sz w:val="18"/>
          <w:szCs w:val="18"/>
          <w:color w:val="auto"/>
        </w:rPr>
        <w:t>Jupiter was a Phase 2b randomized, controlled, double-blind trial which evaluated the safety and efficacy of TP-03 for the treatment of Demodex blepharitis completed in 2019 in Mexico City, Mexico at a well-established site for ocular therapy trials. Subjects were treated with either TP-03 or with a vehicle control BID for 28 days. Subjects were followed to 90 days (62 days post-treatment) to evaluate post-treatment duration of effect. The primary endpoint was mite density for the treatment group as compared to the mite density for the vehicle control group at day 28. We utilized the collarette grading and mite density data to determine collarette cure and mite eradication rates. The definitions of collarette cure and mite eradication in the Jupiter trial were consistent with those used in the Mars trial. A total of 60 subjects were enrolled in the trial, with 51 subjects receiving treatment through day 28 and 49 subjects completing the trial through day 90.</w:t>
      </w:r>
    </w:p>
    <w:p>
      <w:pPr>
        <w:spacing w:after="0" w:line="18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proportion of subjects who exhibited a collarette cure was statistically significant for the pilot formulation TP-03 compared to vehicle control at day 14 (78% vs 44% subjects, p = 0.020), day 28 (88% vs. 22%, p &lt; 0.001) and post-treatment at day 60 (95% vs 26%, p &lt; 0.001) and day 90 (96% vs. 15%, p &lt; 0.001).</w:t>
      </w:r>
    </w:p>
    <w:p>
      <w:pPr>
        <w:spacing w:after="0" w:line="176"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The proportion of subjects who exhibited mite eradication was statistically significant for the pilot formulation of TP-03 compared to vehicle control at day 14 (35% vs 4% subjects, p = 0.009), day 28 (67% vs. 26%, p = 0.005) and post-treatment at day 60 (85% vs 7%, p &lt; 0.001) and day 90 (68% vs. 19%, p = 0.001).</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60"/>
          </w:cols>
          <w:pgMar w:left="320" w:top="455" w:right="51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figures show the collarette cure and mite eradication rates for each visit day:</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Figures 22 and 23: Jupiter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091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8604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right="500" w:firstLine="881"/>
        <w:spacing w:after="0" w:line="282" w:lineRule="auto"/>
        <w:rPr>
          <w:sz w:val="20"/>
          <w:szCs w:val="20"/>
          <w:color w:val="auto"/>
        </w:rPr>
      </w:pPr>
      <w:r>
        <w:rPr>
          <w:rFonts w:ascii="Times New Roman" w:cs="Times New Roman" w:eastAsia="Times New Roman" w:hAnsi="Times New Roman"/>
          <w:sz w:val="18"/>
          <w:szCs w:val="18"/>
          <w:color w:val="auto"/>
        </w:rPr>
        <w:t>There were no serious adverse events reported and TP-03 was well tolerated. Any adverse events were not related to treatment and no subjects discontinued the trial due to adverse events.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Trials With Updated Protocol and Formulation Designed to Support Pivotal Trials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Io Phase 2a Trial</w:t>
      </w:r>
    </w:p>
    <w:p>
      <w:pPr>
        <w:spacing w:after="0" w:line="22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Io was a Phase 2a single-arm trial which evaluated the safety and efficacy of TP-03 for the treatment of Demodex blepharitis completed in 2020 in Mexico City, Mexico at a well-established site for ocular therapy trials. The design of the Io trial took into account feedback from the FDA, and accordingly we subsequently defined collarette cure rate to a more stringent definition of less than or equal to two collarettes on the eyelid. The definition of mite eradication, defined as zero mites per lash, remained consistent with that of the Mars and Jupiter trials. In the Io trial we also utilized for the first time in clinical trials the formulation of TP-03 which is expected to support our NDA submission for Demodex blepharitis. The Io trial design, as well as the formulation of TP-03 utilized, are consistent with the design and formulation to be utilized in our Saturn-1 Phase 3 trial. The primary efficacy endpoint was the proportion of patients experiencing a cure based on collarette grade, or collarette cure, at day 42. The secondary endpoint was the mite eradication rate at day 42. A total of 18 subjects were enrolled in the trial, all of whom were crossed over from the vehicle control group of the Jupiter trial.</w:t>
      </w:r>
    </w:p>
    <w:p>
      <w:pPr>
        <w:spacing w:after="0" w:line="188" w:lineRule="exact"/>
        <w:rPr>
          <w:sz w:val="20"/>
          <w:szCs w:val="20"/>
          <w:color w:val="auto"/>
        </w:rPr>
      </w:pPr>
    </w:p>
    <w:p>
      <w:pPr>
        <w:ind w:left="120" w:firstLine="881"/>
        <w:spacing w:after="0" w:line="312" w:lineRule="auto"/>
        <w:rPr>
          <w:sz w:val="20"/>
          <w:szCs w:val="20"/>
          <w:color w:val="auto"/>
        </w:rPr>
      </w:pPr>
      <w:r>
        <w:rPr>
          <w:rFonts w:ascii="Times New Roman" w:cs="Times New Roman" w:eastAsia="Times New Roman" w:hAnsi="Times New Roman"/>
          <w:sz w:val="17"/>
          <w:szCs w:val="17"/>
          <w:color w:val="auto"/>
        </w:rPr>
        <w:t>The proportion of subjects who exhibited a collarette cure was statistically significant compared to baseline by day 14 with 29% of subjects (5 of 17 subjects, p &lt; 0.05), at day 28 with 71% of subjects (12 of 17 subjects, p &lt; 0.05) and at day 42 with 72% of subjects (13 of 18 subjects, p &lt; 0.05).</w:t>
      </w:r>
    </w:p>
    <w:p>
      <w:pPr>
        <w:spacing w:after="0" w:line="140" w:lineRule="exact"/>
        <w:rPr>
          <w:sz w:val="20"/>
          <w:szCs w:val="20"/>
          <w:color w:val="auto"/>
        </w:rPr>
      </w:pPr>
    </w:p>
    <w:p>
      <w:pPr>
        <w:ind w:left="120" w:firstLine="881"/>
        <w:spacing w:after="0" w:line="312" w:lineRule="auto"/>
        <w:rPr>
          <w:sz w:val="20"/>
          <w:szCs w:val="20"/>
          <w:color w:val="auto"/>
        </w:rPr>
      </w:pPr>
      <w:r>
        <w:rPr>
          <w:rFonts w:ascii="Times New Roman" w:cs="Times New Roman" w:eastAsia="Times New Roman" w:hAnsi="Times New Roman"/>
          <w:sz w:val="17"/>
          <w:szCs w:val="17"/>
          <w:color w:val="auto"/>
        </w:rPr>
        <w:t>The proportion of subjects who exhibited mite eradication was statistically significant compared to baseline by day 14 with 47% of subjects (8 of 17 subjects, p &lt; 0.05), at day 28 with 59% of subjects (10 of 17 subjects, p &lt; 0.05) and at day 42 with 78% of subjects (14 of 18 subjects, p &lt; 0.05).</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figures present the collarette cure and mite eradication rates for each visit day:</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Figures 24 and 25: Io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173990</wp:posOffset>
            </wp:positionV>
            <wp:extent cx="5134610" cy="1817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3461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All 18 subjects completed the trial through day 42 of dosing. There were no serious adverse events reported and TP-03 was well tolerated. No subjects discontinued the trial due to adverse events. The most common adverse event included mild transient burning after administration for less than 10 seconds.</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provides a summary of treatment emergent adverse events for the trial:</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 26: Summary of Treatment Emergent Adverse Events</w:t>
      </w:r>
    </w:p>
    <w:p>
      <w:pPr>
        <w:spacing w:after="0" w:line="237"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Adverse Event</w:t>
            </w:r>
          </w:p>
        </w:tc>
        <w:tc>
          <w:tcPr>
            <w:tcW w:w="2460" w:type="dxa"/>
            <w:vAlign w:val="bottom"/>
            <w:vMerge w:val="restart"/>
          </w:tcPr>
          <w:p>
            <w:pPr>
              <w:spacing w:after="0"/>
              <w:rPr>
                <w:sz w:val="13"/>
                <w:szCs w:val="13"/>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N=18</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82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n (%)</w:t>
            </w:r>
          </w:p>
        </w:tc>
        <w:tc>
          <w:tcPr>
            <w:tcW w:w="0" w:type="dxa"/>
            <w:vAlign w:val="bottom"/>
          </w:tcPr>
          <w:p>
            <w:pPr>
              <w:spacing w:after="0"/>
              <w:rPr>
                <w:sz w:val="1"/>
                <w:szCs w:val="1"/>
                <w:color w:val="auto"/>
              </w:rPr>
            </w:pPr>
          </w:p>
        </w:tc>
      </w:tr>
      <w:tr>
        <w:trPr>
          <w:trHeight w:val="203"/>
        </w:trPr>
        <w:tc>
          <w:tcPr>
            <w:tcW w:w="3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Transient burning</w:t>
            </w:r>
          </w:p>
        </w:tc>
        <w:tc>
          <w:tcPr>
            <w:tcW w:w="740" w:type="dxa"/>
            <w:vAlign w:val="bottom"/>
            <w:tcBorders>
              <w:top w:val="single" w:sz="8" w:color="auto"/>
            </w:tcBorders>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w w:val="95"/>
              </w:rPr>
              <w:t>4 (22%)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Transient blurriness</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 (6%)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Europa Phase 2b Trial</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Europa was a Phase 2b randomized, controlled, double-blind trial, which evaluated the safety and efficacy of TP-03 for the treatment of Demodex blepharitis completed in 2020 in Mexico City, Mexico at a well-established site for ocular therapy trials. Like the Io trial, the Europa trial was designed with the same protocols and formulation as will be utilized in our Saturn-1 Phase 3 trial. Subjects were treated with either TP-03 or with a vehicle control BID for 42 days. A total of 54 subjects were enrolled in the trial with 34 subjects completing the trial through day 42.</w:t>
      </w:r>
    </w:p>
    <w:p>
      <w:pPr>
        <w:spacing w:after="0" w:line="180"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primary efficacy endpoint was the proportion of patients experiencing a cure based on collarette grade of two or fewer collarettes on the eyelid, or collarette cure, as compared to the vehicle control, at day 42. Secondary efficacy endpoints included (1) mite eradication compared to vehicle control (defined as zero mites per lash) at day 42, and (2) a composite cure rate of collarette cure and zero lid erythema compared to vehicle control. Subjects were also asked to rate the comfort of the trial eye drop at day 42.</w:t>
      </w:r>
    </w:p>
    <w:p>
      <w:pPr>
        <w:spacing w:after="0" w:line="180" w:lineRule="exact"/>
        <w:rPr>
          <w:sz w:val="20"/>
          <w:szCs w:val="20"/>
          <w:color w:val="auto"/>
        </w:rPr>
      </w:pPr>
    </w:p>
    <w:p>
      <w:pPr>
        <w:jc w:val="both"/>
        <w:ind w:left="120" w:firstLine="881"/>
        <w:spacing w:after="0" w:line="282" w:lineRule="auto"/>
        <w:rPr>
          <w:sz w:val="20"/>
          <w:szCs w:val="20"/>
          <w:color w:val="auto"/>
        </w:rPr>
      </w:pPr>
      <w:r>
        <w:rPr>
          <w:rFonts w:ascii="Times New Roman" w:cs="Times New Roman" w:eastAsia="Times New Roman" w:hAnsi="Times New Roman"/>
          <w:sz w:val="18"/>
          <w:szCs w:val="18"/>
          <w:color w:val="auto"/>
        </w:rPr>
        <w:t>The proportion of subjects who exhibited a collarette cure was statistically significant for TP-03 compared to vehicle control at day 28 (72% vs 11% subjects, p &lt; 0.001) and day 42 (80% vs. 16%, p &lt; 0.001).</w:t>
      </w:r>
    </w:p>
    <w:p>
      <w:pPr>
        <w:spacing w:after="0" w:line="162" w:lineRule="exact"/>
        <w:rPr>
          <w:sz w:val="20"/>
          <w:szCs w:val="20"/>
          <w:color w:val="auto"/>
        </w:rPr>
      </w:pPr>
    </w:p>
    <w:p>
      <w:pPr>
        <w:ind w:left="120" w:right="280" w:firstLine="881"/>
        <w:spacing w:after="0" w:line="282" w:lineRule="auto"/>
        <w:rPr>
          <w:sz w:val="20"/>
          <w:szCs w:val="20"/>
          <w:color w:val="auto"/>
        </w:rPr>
      </w:pPr>
      <w:r>
        <w:rPr>
          <w:rFonts w:ascii="Times New Roman" w:cs="Times New Roman" w:eastAsia="Times New Roman" w:hAnsi="Times New Roman"/>
          <w:sz w:val="18"/>
          <w:szCs w:val="18"/>
          <w:color w:val="auto"/>
        </w:rPr>
        <w:t>The proportion of subjects who exhibited a mite eradication was statistically significant for TP-03 compared to vehicle control at day 28 (56% vs 11% subjects, p = 0.003) and day 42 (71% vs. 21%, p = 0.015).</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figures show the collarette cure and mite eradication rates for each visit day:</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Figures 27 and 28: Europa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173990</wp:posOffset>
            </wp:positionV>
            <wp:extent cx="4680585" cy="18942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68058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The proportion of subjects who exhibited composite cure rate of collarette cure combined with zero lid erythema was statistically significant for TP-03 compared to vehicle control at day 28 (67% vs 11% subjects, p &lt; 0.001) and day 42 (73% vs. 11%, p &lt; 0.001).</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data for each visit day:</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 29: Composite Cure Rate was Statistically Significant for TP-03 Compared to Vehicle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173990</wp:posOffset>
            </wp:positionV>
            <wp:extent cx="2828925" cy="21259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2892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right="160" w:firstLine="881"/>
        <w:spacing w:after="0" w:line="256" w:lineRule="auto"/>
        <w:rPr>
          <w:sz w:val="20"/>
          <w:szCs w:val="20"/>
          <w:color w:val="auto"/>
        </w:rPr>
      </w:pPr>
      <w:r>
        <w:rPr>
          <w:rFonts w:ascii="Times New Roman" w:cs="Times New Roman" w:eastAsia="Times New Roman" w:hAnsi="Times New Roman"/>
          <w:sz w:val="18"/>
          <w:szCs w:val="18"/>
          <w:color w:val="auto"/>
        </w:rPr>
        <w:t>The figure below shows how subjects rated drop comfort at each visit in each of the active and vehicle control groups. The bars shows the percentage of patients who rated the drop as either “very comfortable,” “slightly comfortable” or “neither comfortable or uncomfortable” in both the active and vehicle control groups for each visit day. There was only one subject, in the vehicle group, that rated the drop as “very uncomfortable” and only at days 14 and 28. All other subjects that did not rate the drop as “very comfortable”, “slightly comfortable” or “neither comfortable or uncomfortable” rated the drop as “slightly uncomfortable.” At day 7, the drop was rated as “slightly uncomfortable” by 6/22 (27.3%) in the active group, 2/20 (10.0%) in the vehicle control group and 8/42 (19.0%) overall.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the drop comfort ratings at each visit day:</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Figure 30: Comfort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173990</wp:posOffset>
            </wp:positionV>
            <wp:extent cx="2828925" cy="18427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2892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 subjects discontinued the trial due to an adverse event and TP-03 was well tolerated. All adverse events were mild in severity.</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provides a summary of treatment related or possibly related adverse events for the trial:</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Figure 31: No Subjects Discontinued Europa Trial Due to Adverse Event</w:t>
      </w:r>
    </w:p>
    <w:p>
      <w:pPr>
        <w:spacing w:after="0" w:line="237"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Vehicle</w:t>
            </w: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Adverse Event</w:t>
            </w:r>
          </w:p>
        </w:tc>
        <w:tc>
          <w:tcPr>
            <w:tcW w:w="2740" w:type="dxa"/>
            <w:vAlign w:val="bottom"/>
            <w:vMerge w:val="restart"/>
          </w:tcPr>
          <w:p>
            <w:pPr>
              <w:spacing w:after="0"/>
              <w:rPr>
                <w:sz w:val="12"/>
                <w:szCs w:val="12"/>
                <w:color w:val="auto"/>
              </w:rPr>
            </w:pPr>
          </w:p>
        </w:tc>
        <w:tc>
          <w:tcPr>
            <w:tcW w:w="17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N=23</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N=20</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74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n (%)</w:t>
            </w: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 (%)</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Transient burning</w:t>
            </w: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3 (13%)</w:t>
            </w:r>
          </w:p>
        </w:tc>
        <w:tc>
          <w:tcPr>
            <w:tcW w:w="9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1 (4%)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Transient eye redness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(4%)</w:t>
            </w:r>
          </w:p>
        </w:tc>
        <w:tc>
          <w:tcPr>
            <w:tcW w:w="9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Transient blurriness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(4%)</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TP-03 Safety Profile From Phase 2 Clinical Trials</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Our Phase 2 trial data indicates that TP-03 was well tolerated with no significant adverse events leading to treatment discontinuation across the four trials. A total of 82 subjects have received one or more doses of TP-03 and have had at least one follow-up visit; while 52 subjects received the vehicle control. Only nine subjects treated with TP-03 had treatment-related adverse events, versus one subject treated with the vehicle control. The most common treatment-related adverse events, or TRAEs, reported were burning after administration, which was reported in seven subjects (8.5%) receiving TP-03 versus one subject (1.9%) receiving the vehicle control. Other TRAEs reported for subjects treated with TP-03 were blurred vision in two subjects (2.4%), dysgeusia in one subject (1.2%), and instillation site erythema in one subject (1.2%); with no corresponding TRAEs reported in subjects treated with vehicle.</w:t>
      </w:r>
    </w:p>
    <w:p>
      <w:pPr>
        <w:spacing w:after="0" w:line="189" w:lineRule="exact"/>
        <w:rPr>
          <w:sz w:val="20"/>
          <w:szCs w:val="20"/>
          <w:color w:val="auto"/>
        </w:rPr>
      </w:pPr>
    </w:p>
    <w:p>
      <w:pPr>
        <w:jc w:val="both"/>
        <w:ind w:left="120" w:right="120" w:firstLine="881"/>
        <w:spacing w:after="0" w:line="312" w:lineRule="auto"/>
        <w:rPr>
          <w:sz w:val="20"/>
          <w:szCs w:val="20"/>
          <w:color w:val="auto"/>
        </w:rPr>
      </w:pPr>
      <w:r>
        <w:rPr>
          <w:rFonts w:ascii="Times New Roman" w:cs="Times New Roman" w:eastAsia="Times New Roman" w:hAnsi="Times New Roman"/>
          <w:sz w:val="17"/>
          <w:szCs w:val="17"/>
          <w:color w:val="auto"/>
        </w:rPr>
        <w:t>Adverse events deemed unrelated to treatment occurred in five subjects treated with TP-03, with diarrhea reported in two subjects (2.4%), hypertension reported in one subject (1.2%), cataract operation reported in one subject (1.2%), and pharyngotonsillitis reported in one subject (1.2%).</w:t>
      </w:r>
    </w:p>
    <w:p>
      <w:pPr>
        <w:spacing w:after="0" w:line="140"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For subjects treated with the vehicle control, the six subjects reported adverse events unrelated to treatment, which consisted of diarrhea in three subjects (5.7%) and viral upper respiratory tract infection in three subjects (5.7%).</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40"/>
          </w:cols>
          <w:pgMar w:left="320" w:top="455" w:right="5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Furthermore, there was little or no change in mean corrected distance visual acuity across all four trials, and only one subject treated with TP-03 showed a worsening of 0.22 logMAR from baseline to day 28 in the left eye. This subject did not return for their follow-up visit on day 42. Intraocular pressure was recorded in the Mars, Jupiter and Europa trials, and there were only minor reported changes observed in both the active and the vehicle control. The most common clinically significant slit lamp examination finding was an increase from baseline in corneal staining. The increases in staining were typically transient, occurring at only a single visit, and, in the controlled trials, occurred more often in subjects treated with the vehicle control versus subjects treated with TP-03. The only other slit lamp examination finding was conjunctival hyperemia in one subject receiving TP-03 at day seven and one subject receiving the vehicle control at day 14.</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Disease Recurrence Following End of Treatment Course</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Subjects from the Mars and active arm of the Jupiter trials were followed for one year after enrollment. Combined interim data for recurrence of clinical grade Demodex blepharitis, defined as a collarette score of two or more, and mite density of one or more per lash. The data show a persistent treatment effect of TP-03 for six months or greater for collarette score, with meaningful recurrence of collarettes occurring after six months with the recurrence increasing considerably one year after treatment. Mites recurred more quickly than collarettes, consistent with collarettes being composed of mite byproducts. Subsequent to initial treatment, we believe that TP-03 may be utilized by patients and ECPs for intermittent re-treatment based on the disease recurrence observed.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Planned Pivotal Trials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Saturn-1 and Saturn-2 Trials</w:t>
      </w:r>
    </w:p>
    <w:p>
      <w:pPr>
        <w:spacing w:after="0" w:line="229"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Saturn-1 is a randomized, controlled, double-blind trial that we plan to initiate in 2020 to evaluate the safety and efficacy of TP-03 for the treatment of Demodex blepharitis in multiple centers in the United States. Target enrollment for the trial is approximately 350 subjects, enrolled 1:1 between a BID dose of TP-03 and a vehicle control. Saturn-1 is designed for subjects to receive treatment for 42 days and be subsequently followed for safety under a separate protocol for one year. The primary efficacy endpoint is proportion of subjects with cure based on a collarette grade of zero (£ 2) at day 43. The two secondary endpoints are (1) proportion of subjects with Demodex eradication (0 mites/lash) at day 43 and (2) proportion of subjects with a composite of collarette and erythema cure at day 43 (collarette grade of zero combined with erythema score of zero). We expect enrollment of Saturn-1 to begin in 2020 and top-line data is anticipated in 2021, subject to the impact of the ongoing COVID-19 pandemic.</w:t>
      </w:r>
    </w:p>
    <w:p>
      <w:pPr>
        <w:spacing w:after="0" w:line="189" w:lineRule="exact"/>
        <w:rPr>
          <w:sz w:val="20"/>
          <w:szCs w:val="20"/>
          <w:color w:val="auto"/>
        </w:rPr>
      </w:pPr>
    </w:p>
    <w:p>
      <w:pPr>
        <w:ind w:left="120" w:right="160" w:firstLine="881"/>
        <w:spacing w:after="0" w:line="255" w:lineRule="auto"/>
        <w:rPr>
          <w:sz w:val="20"/>
          <w:szCs w:val="20"/>
          <w:color w:val="auto"/>
        </w:rPr>
      </w:pPr>
      <w:r>
        <w:rPr>
          <w:rFonts w:ascii="Times New Roman" w:cs="Times New Roman" w:eastAsia="Times New Roman" w:hAnsi="Times New Roman"/>
          <w:sz w:val="18"/>
          <w:szCs w:val="18"/>
          <w:color w:val="auto"/>
        </w:rPr>
        <w:t>Saturn-2 is designed to be a confirmatory Phase 3 trial that we plan to initiate promptly after completing enrollment in Saturn-1. It is a randomized, controlled, double-blind trial to evaluate the safety and efficacy of TP-03 for the treatment of Demodex blepharitis in multiple centers in the Unites States. Target enrollment for the trial is approximately 350 subjects, enrolled 1:1 between a BID dose TP-03 arm and a vehicle control. Saturn-2 is designed for subjects to be followed for 43 days and receive treatment for 42 days. The primary efficacy endpoint is proportion of subjects with cure based on a collarette grade of zero at day 43. The two secondary endpoints are (1) proportion of subjects with Demodex eradication (0 mites/lash) at day 43 and (2) proportion of subjects with a composite of collarette and erythema cure at day 43 (collarette grade of zero combined with erythema score of zero). Enrollment of Saturn-2 is expected to begin in 2021, subject to the impact of the ongoing COVID-19 pandemic.</w:t>
      </w:r>
    </w:p>
    <w:p>
      <w:pPr>
        <w:spacing w:after="0" w:line="18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The protocol, including the subject inclusion and exclusion criteria and endpoints, and formulation are designed to be consistent with those of our Io and Europa Phase 2 trials. We expect that the data form the Saturn-1 and Saturn-2 trials will support our NDA filing for TP-03 in Demodex blepharitis.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Development of TP-03 for Meibomian Gland Disease</w:t>
      </w:r>
    </w:p>
    <w:p>
      <w:pPr>
        <w:spacing w:after="0" w:line="229" w:lineRule="exact"/>
        <w:rPr>
          <w:sz w:val="20"/>
          <w:szCs w:val="20"/>
          <w:color w:val="auto"/>
        </w:rPr>
      </w:pPr>
    </w:p>
    <w:p>
      <w:pPr>
        <w:ind w:left="120" w:right="20" w:firstLine="881"/>
        <w:spacing w:after="0" w:line="257" w:lineRule="auto"/>
        <w:rPr>
          <w:sz w:val="20"/>
          <w:szCs w:val="20"/>
          <w:color w:val="auto"/>
        </w:rPr>
      </w:pPr>
      <w:r>
        <w:rPr>
          <w:rFonts w:ascii="Times New Roman" w:cs="Times New Roman" w:eastAsia="Times New Roman" w:hAnsi="Times New Roman"/>
          <w:sz w:val="18"/>
          <w:szCs w:val="18"/>
          <w:color w:val="auto"/>
        </w:rPr>
        <w:t>Beyond Demodex blepharitis, we intend to explore the clinical potential for TP-03 in MGD, a chronic abnormality of the meibomian glands. MGD is commonly characterized in part by a widespread clogging of the meibomian glands that can result in tear film deficiency, and is one of the leading causes of dry eye disease. In the United States, MGD prevalence has been found to be approximately two-thirds of that of the estimated</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34 million dry eye patient population. One species of Demodex mite,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is known to infest the meibomian gland, and clinical signs of MGD have been shown to be correlated with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infestation. While dry eye is a multi-factorial disease, TP-03 is designed to relieve some of the key elements associated with MGD by virtue of causing the death of the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mites.</w:t>
      </w:r>
    </w:p>
    <w:p>
      <w:pPr>
        <w:spacing w:after="0" w:line="186"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There are no FDA-approved therapeutics for MGD. MGD is currently treated with a variety of over-the-counter remedies such as tea tree oil, lid wipes and artificial tears, as well as off-label prescription products for dry eye. MGD is also treated with in-office device procedures for gland expression (de-clogging) by an ECP. Despite these existing treatments, there is still a significant and unmet need for an effective prescription therapeutic in MGD.</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figures show a representation of Demodex mites infesting the meibomian gland:</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 32: Demodex Mites Infesting the Meibomian 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4771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8604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Additional Product Candidates - TP-04 Topical Formulation for the Treatment of Rosacea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Rosacea</w:t>
      </w:r>
    </w:p>
    <w:p>
      <w:pPr>
        <w:spacing w:after="0" w:line="22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United States are affected by rosacea and a study we conducted estimates rosacea prevalence can represent up to 5.4% of the global population. There are two phenotypes for rosacea: patients who present with papulopustular rosacea, or PPR, and patients who do not (non-PPR), with approximately 56% of patients presenting with the PPR phenotype and 44% presenting with the non-PPR phenotype, of treated patients whom are on topicals according to primary research we conducted of dermatologists. In addition, rosacea can be further divided into four subtypes.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 xml:space="preserve">The cause of rosacea remains unclear but there is increasing evidence that Demodex mites play a role in the disease. Studies have found a correlation between Demodex infestation and rosacea, with a higher density of Demodex mites found in the skin of rosacea patients than in controls. A proposed theory suggests that the </w:t>
      </w:r>
      <w:r>
        <w:rPr>
          <w:rFonts w:ascii="Times New Roman" w:cs="Times New Roman" w:eastAsia="Times New Roman" w:hAnsi="Times New Roman"/>
          <w:sz w:val="18"/>
          <w:szCs w:val="18"/>
          <w:i w:val="1"/>
          <w:iCs w:val="1"/>
          <w:color w:val="auto"/>
        </w:rPr>
        <w:t>bacillus oleronius</w:t>
      </w:r>
      <w:r>
        <w:rPr>
          <w:rFonts w:ascii="Times New Roman" w:cs="Times New Roman" w:eastAsia="Times New Roman" w:hAnsi="Times New Roman"/>
          <w:sz w:val="18"/>
          <w:szCs w:val="18"/>
          <w:color w:val="auto"/>
        </w:rPr>
        <w:t xml:space="preserve"> bacteria has a pathogenic role, contributing to skin inflammation and the signs and symptoms of rosacea; these bacteria are also known to be sensitive to the antibiotics typically prescribed to treat rosacea. Meanwhile, Demodex mites have been shown to carry </w:t>
      </w:r>
      <w:r>
        <w:rPr>
          <w:rFonts w:ascii="Times New Roman" w:cs="Times New Roman" w:eastAsia="Times New Roman" w:hAnsi="Times New Roman"/>
          <w:sz w:val="18"/>
          <w:szCs w:val="18"/>
          <w:i w:val="1"/>
          <w:iCs w:val="1"/>
          <w:color w:val="auto"/>
        </w:rPr>
        <w:t>bacillus oleronius</w:t>
      </w:r>
      <w:r>
        <w:rPr>
          <w:rFonts w:ascii="Times New Roman" w:cs="Times New Roman" w:eastAsia="Times New Roman" w:hAnsi="Times New Roman"/>
          <w:sz w:val="18"/>
          <w:szCs w:val="18"/>
          <w:color w:val="auto"/>
        </w:rPr>
        <w:t xml:space="preserve"> in their digestive tracts, suggesting that Demodex may contribute to rosacea by being a transporter for the bacteria that causes the disease. Furthering that point, there is evidence to suggest that </w:t>
      </w:r>
      <w:r>
        <w:rPr>
          <w:rFonts w:ascii="Times New Roman" w:cs="Times New Roman" w:eastAsia="Times New Roman" w:hAnsi="Times New Roman"/>
          <w:sz w:val="18"/>
          <w:szCs w:val="18"/>
          <w:i w:val="1"/>
          <w:iCs w:val="1"/>
          <w:color w:val="auto"/>
        </w:rPr>
        <w:t>bacillus oleronius</w:t>
      </w:r>
      <w:r>
        <w:rPr>
          <w:rFonts w:ascii="Times New Roman" w:cs="Times New Roman" w:eastAsia="Times New Roman" w:hAnsi="Times New Roman"/>
          <w:sz w:val="18"/>
          <w:szCs w:val="18"/>
          <w:color w:val="auto"/>
        </w:rPr>
        <w:t xml:space="preserve"> forms a symbiotic relationship with Demodex, and that both species must be present in order to cause the signs and symptoms of rosacea. Other bacteria such as </w:t>
      </w:r>
      <w:r>
        <w:rPr>
          <w:rFonts w:ascii="Times New Roman" w:cs="Times New Roman" w:eastAsia="Times New Roman" w:hAnsi="Times New Roman"/>
          <w:sz w:val="18"/>
          <w:szCs w:val="18"/>
          <w:i w:val="1"/>
          <w:iCs w:val="1"/>
          <w:color w:val="auto"/>
        </w:rPr>
        <w:t>staphylococcus epidermidis</w:t>
      </w:r>
      <w:r>
        <w:rPr>
          <w:rFonts w:ascii="Times New Roman" w:cs="Times New Roman" w:eastAsia="Times New Roman" w:hAnsi="Times New Roman"/>
          <w:sz w:val="18"/>
          <w:szCs w:val="18"/>
          <w:color w:val="auto"/>
        </w:rPr>
        <w:t xml:space="preserve"> bacterium, also carried by Demodex mites, may play a role in the disease as well. In fact, Soolantra, the current standard of care for rosacea, has an anti-parasitic and Demodex targeting mechanism, suggesting that the clearance of Demodex plays a role in resolving the signs of symptoms of rosacea.</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Options and Their Limitations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Rosacea is currently treated through topical anti-parasitic creams like ivermectin and azelaic acid, other topicals including PDE4 and JAK inhibitors, antibiotics like metronidazole, as well as other mechanisms such as alpha agonists. The current standard of care, Soolantra, is a branded anti-parasitic drug composed of 1% ivermectin cream, which targets Demodex mites but is only modestly effective, takes 8 to 12 weeks to show efficacy and is expensive at around approximately $500 WAC for a 30-day supply.</w:t>
      </w:r>
    </w:p>
    <w:p>
      <w:pPr>
        <w:spacing w:after="0" w:line="180" w:lineRule="exact"/>
        <w:rPr>
          <w:sz w:val="20"/>
          <w:szCs w:val="20"/>
          <w:color w:val="auto"/>
        </w:rPr>
      </w:pPr>
    </w:p>
    <w:p>
      <w:pPr>
        <w:ind w:left="120" w:right="220" w:firstLine="881"/>
        <w:spacing w:after="0" w:line="266" w:lineRule="auto"/>
        <w:rPr>
          <w:sz w:val="20"/>
          <w:szCs w:val="20"/>
          <w:color w:val="auto"/>
        </w:rPr>
      </w:pPr>
      <w:r>
        <w:rPr>
          <w:rFonts w:ascii="Times New Roman" w:cs="Times New Roman" w:eastAsia="Times New Roman" w:hAnsi="Times New Roman"/>
          <w:sz w:val="18"/>
          <w:szCs w:val="18"/>
          <w:color w:val="auto"/>
        </w:rPr>
        <w:t>Other treatments in development include Sol-Gel’s Epsolay, a topical cream containing 5% encapsulated benzoyl peroxide, and Foamix’s FMX103, a topical foam containing 1.5% minocycline, for the treatment of Subtype II rosacea, characterized by small, dome-shaped erythematous papules that resemble acne but are associated with burning and stinging sensations.</w:t>
      </w:r>
    </w:p>
    <w:p>
      <w:pPr>
        <w:spacing w:after="0" w:line="176" w:lineRule="exact"/>
        <w:rPr>
          <w:sz w:val="20"/>
          <w:szCs w:val="20"/>
          <w:color w:val="auto"/>
        </w:rPr>
      </w:pPr>
    </w:p>
    <w:p>
      <w:pPr>
        <w:ind w:left="120" w:right="100" w:firstLine="881"/>
        <w:spacing w:after="0" w:line="282" w:lineRule="auto"/>
        <w:rPr>
          <w:sz w:val="20"/>
          <w:szCs w:val="20"/>
          <w:color w:val="auto"/>
        </w:rPr>
      </w:pPr>
      <w:r>
        <w:rPr>
          <w:rFonts w:ascii="Times New Roman" w:cs="Times New Roman" w:eastAsia="Times New Roman" w:hAnsi="Times New Roman"/>
          <w:sz w:val="18"/>
          <w:szCs w:val="18"/>
          <w:color w:val="auto"/>
        </w:rPr>
        <w:t>While current treatments address the symptoms of the disease by reducing redness and decreasing papules and pustules, for the majority of patients, complete clearance of these features is not currently achievable and there still exists an unmet medical need.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Approach, TP-04 Topical Formulation for Rosacea</w:t>
      </w:r>
    </w:p>
    <w:p>
      <w:pPr>
        <w:spacing w:after="0" w:line="22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To address this unmet need in the rosacea market, lotilaner is being developed as a topical dermatology product, TP-04, initially for the treatment of PPR. It is designed to be active after topical administration in skin with no systemic activity. Lotilaner’s mechanism of targeting and killing Demodex mites has been proven through our preclinical study and clinical trials evaluating TP-03 in Demodex blepharitis, which is why we believe it may be effective in another Demodex driven condition. We believe we can improve upon existing treatments in the market, like Soolantra, with an API that is more effective (longer half-life, more lipophilic, greater therapeutic window).</w:t>
      </w:r>
    </w:p>
    <w:p>
      <w:pPr>
        <w:spacing w:after="0" w:line="181" w:lineRule="exact"/>
        <w:rPr>
          <w:sz w:val="20"/>
          <w:szCs w:val="20"/>
          <w:color w:val="auto"/>
        </w:rPr>
      </w:pPr>
    </w:p>
    <w:p>
      <w:pPr>
        <w:ind w:left="120" w:right="20" w:firstLine="881"/>
        <w:spacing w:after="0" w:line="267" w:lineRule="auto"/>
        <w:rPr>
          <w:sz w:val="20"/>
          <w:szCs w:val="20"/>
          <w:color w:val="auto"/>
        </w:rPr>
      </w:pPr>
      <w:r>
        <w:rPr>
          <w:rFonts w:ascii="Times New Roman" w:cs="Times New Roman" w:eastAsia="Times New Roman" w:hAnsi="Times New Roman"/>
          <w:sz w:val="18"/>
          <w:szCs w:val="18"/>
          <w:color w:val="auto"/>
        </w:rPr>
        <w:t xml:space="preserve">We are conducting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and pharmacodynamics testing to identify a lead formulation of TP-04 we believe can compare favorably to Soolantra. We plan to evaluate whether TP-04 is safe and effective at treating the symptoms of PPR in a Phase 2a trial, which is expected to begin enrollment in 2021.</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Chemistry, Manufacturing and Controls</w:t>
      </w:r>
    </w:p>
    <w:p>
      <w:pPr>
        <w:spacing w:after="0" w:line="229"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and currently have no plans to establish facilities for manufacturing, storing, distributing or testing our product candidates. We rely and expect to continue to rely for the foreseeable future on CMOs to manufacture and supply our preclinical and clinical materials to be used during the development of our product candidates. We have assembled a team of employees and consultants to oversee our technical quality and CMOs.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55" w:right="47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product candidate TP-03 is a presentation of lotilaner, the API, formulated into a topical eye drop formulation. Only one dose strength of TP-03 is currently being developed, 0.25% lotilaner solution. Since TP-03 is an anti-infective, only one strength, the maximum formulatable (0.25%), is required to be evaluated clinically.</w:t>
      </w:r>
    </w:p>
    <w:p>
      <w:pPr>
        <w:spacing w:after="0" w:line="176"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believe that our in-house supply of TP-03 is sufficient to complete Saturn-1, and that our in-house supply of cGMP lotilaner is sufficient to complete Saturn-2. We believe that the existing capacity of our current API supplier will be sufficient to support commercial scale-up, validation and commercial launch activities if TP-03 is approved. Our current supplier currently manufactures cGMP lotilaner at multiple geographically distinct facilities.</w:t>
      </w:r>
    </w:p>
    <w:p>
      <w:pPr>
        <w:spacing w:after="0" w:line="180" w:lineRule="exact"/>
        <w:rPr>
          <w:sz w:val="20"/>
          <w:szCs w:val="20"/>
          <w:color w:val="auto"/>
        </w:rPr>
      </w:pPr>
    </w:p>
    <w:p>
      <w:pPr>
        <w:jc w:val="both"/>
        <w:ind w:left="120" w:firstLine="881"/>
        <w:spacing w:after="0" w:line="261" w:lineRule="auto"/>
        <w:rPr>
          <w:sz w:val="20"/>
          <w:szCs w:val="20"/>
          <w:color w:val="auto"/>
        </w:rPr>
      </w:pPr>
      <w:r>
        <w:rPr>
          <w:rFonts w:ascii="Times New Roman" w:cs="Times New Roman" w:eastAsia="Times New Roman" w:hAnsi="Times New Roman"/>
          <w:sz w:val="18"/>
          <w:szCs w:val="18"/>
          <w:color w:val="auto"/>
        </w:rPr>
        <w:t>Although we have relied on a single supplier for both non-clinical and clinical supply for lotilaner under cGMP protocols and a single CMO to manufacture TP-03 and to perform analytical testing services, it is our intent to identify and qualify additional manufacturers to provide lotilaner and drug product manufacturing and analytical testing services, if possible, prior to submission of our NDA for TP-03. The drug product manufacturing is a compounding and aseptic filling operation that we believe could be transferred to additional CMOs as necessary.</w:t>
      </w:r>
    </w:p>
    <w:p>
      <w:pPr>
        <w:spacing w:after="0" w:line="180"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Our third-party service providers, our third-party supply chain providers, their facilities and the TP-03 used in our clinical trials or for commercial sale are required to be in compliance with the requirements of cGMP. The cGMP regulations govern manufacturing processes and procedures, including requirements relating to organization of personnel, buildings and facilities, equipment, control of components and packaging containers and closures, production and process controls, packaging and labeling controls, holding and distribution, laboratory controls, records and reports, and returned or salvaged products. Product candidates used in late-stage clinical trials must be manufactured in accordance with cGMP requirements and manufacturing specifications and processes must satisfy FDA or other authorities’ requirements before any product is approved and before we can manufacture commercial products. Our third-party manufacturers are also subject to periodic inspections of facilities by the FDA and other authorities, including procedures and operations used in the testing and manufacture of TP-03 to assess compliance with applicable regulations. Our failure, or the failure of our third-party providers and supply chain providers, to comply with such statutory and regulatory requirements could subject us to possible legal or regulatory action, including clinical holds, fines, injunctions, civil penalties, delays, suspension or withdrawal of approvals, license revocation, suspension of production, warning letters, the seizure or recall of products, operating restrictions and criminal prosecutions. Any of these actions could have a material impact on clinical supplies of TP-03 or our other product candidates. Contract manufacturers at times encounter difficulties involving production yields, quality control and quality assurance, as well as shortages of qualified personnel.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120" w:right="140" w:firstLine="881"/>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existing approaches and new therapies that may become available in the future. We believe that the key competitive factors affecting the success of any of our product candidates will include efficacy, combinability, safety profile, convenience, cost, level of promotional activity devoted to them and intellectual property protection.</w:t>
      </w:r>
    </w:p>
    <w:p>
      <w:pPr>
        <w:spacing w:after="0" w:line="187"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While there are no currently available on-label prescription pharmaceutical treatments available for the treatment of blepharitis or Demodex blepharitis specifically, a number of other treatments are currently available for the treatment of blepharitis in the United States. Current treatments for blepharitis in the United States include over the counter and off-label remedies such as tea tree oil, lid wipes and artificial tears. We are aware of other companies developing prescription therapies for blepharitis, including Azura Ophthalmics, Aperta Biosciences,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LLC, Eyevance Pharmaceuticals, Formosa Pharmaceuticals, Inc., Hovione Scientia, Nicox SA, Novaliq GmbH, Premark Pharma and Quorum Innovations. To our knowledge, Aperta Biosciences, LLC is the only company currently focused on Demodex blepharitis and Nicox SA and Premark Pharma are the only companies with blepharitis programs that have completed Phase 2 trials.</w:t>
      </w:r>
    </w:p>
    <w:p>
      <w:pPr>
        <w:spacing w:after="0" w:line="176"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In light of our stage of development, we have not yet established a commercial organization or distribution capabilities. If TP-03 receives marketing approval, we plan to commercialize TP-03 in the United States by developing our own sales organization targeting a subset of the approximately 25,000 prescribing ECPs in the United States. Throughout our commercialization efforts, we intend to educate ECPs on Demodex blepharitis and how to diagnose it with a simple slit lamp examination. Given the importance of increasing awareness and educating patients with blepharitis, we also anticipate deploying focused DTC marketing campaigns for TP-03. We expect to conduct most of the buildout of this organization following NDA submission and approval of TP-03, if obtained. Outside the United States, we intend to establish commercialization strategies for TP-03 as we approach possible commercial approval in each market, which may include collaborations with other companies.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In the normal course of business, we intend to pursue, when possible, composition, method of use, dosing and formulation patent protection, as well as manufacturing and drug development processes and technology.</w:t>
      </w:r>
    </w:p>
    <w:p>
      <w:pPr>
        <w:spacing w:after="0" w:line="189"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The term of individual patents varies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restore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w:t>
      </w:r>
    </w:p>
    <w:p>
      <w:pPr>
        <w:spacing w:after="0" w:line="187"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Our patent portfolio includes a combination of issued patents and pending patent applications licensed from third parties, as well as those assigned solely to us based on our ongoing development activities. The patents and applications in our portfolio can be categorized as related to TP-03, TP-04, and/or future pipeline product candidates and alternative technologies. Some of our issued patents and patent applications are exclusively licensed to us in therapeutic fields of use from Elanco. The patents and patent applications owned by</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80"/>
          </w:cols>
          <w:pgMar w:left="320" w:top="455" w:right="49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58" w:lineRule="auto"/>
        <w:rPr>
          <w:sz w:val="20"/>
          <w:szCs w:val="20"/>
          <w:color w:val="auto"/>
        </w:rPr>
      </w:pPr>
      <w:r>
        <w:rPr>
          <w:rFonts w:ascii="Times New Roman" w:cs="Times New Roman" w:eastAsia="Times New Roman" w:hAnsi="Times New Roman"/>
          <w:sz w:val="18"/>
          <w:szCs w:val="18"/>
          <w:color w:val="auto"/>
        </w:rPr>
        <w:t>or licensed to us worldwide include approximately 36 issued patents and approximately 23 pending patent applications. Certain of such patents and pending patent applications are related to lotilaner, and include treatment and composition of matter claims. We in-license patents and patent applications from Elanco issued or pending in, for example, the United States, Australia, Brazil, Canada, Chile, China, several European territories, India, Japan, Mexico, New Zealand, the Russian Federation, and Taiwan. The estimated natural expiration date of the issued in-licensed patents is approximately 2029 with a potential extension until 2032.</w:t>
      </w:r>
    </w:p>
    <w:p>
      <w:pPr>
        <w:spacing w:after="0" w:line="183"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 xml:space="preserve">Approximately 16 of our owned pending patent applications relate to our TP-03 product, and include treatment and composition of matter claims (e.g., isoxazoline parasiticides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other conditions). These pending patent applications include applications in the United States, Australia, Brazil, Canada, China, Europe, Israel, India, Japan, South Korea, Mexico, New Zealand, the Russian Federation, South Africa, and the Patent Cooperation Treaty (PCT). If patents issue on our pending applications, the estimated natural expiration dates are between approximately 2038 and 2040.</w:t>
      </w:r>
    </w:p>
    <w:p>
      <w:pPr>
        <w:spacing w:after="0" w:line="183"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While estimated expiration dates and descriptions of patents and patent applications are listed above, the actual protection afforded by a patent varies on a product-by-product basis, from country-to-country, and depends upon many factors, including the type of patent, the scope of its coverage, patent term adjustments, the availability of regulatory-related extensions, disclaimers, the availability of legal remedies in a particular country, and the validity and enforceability of the patent.</w:t>
      </w:r>
    </w:p>
    <w:p>
      <w:pPr>
        <w:spacing w:after="0" w:line="180"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spacing w:after="0" w:line="183" w:lineRule="exact"/>
        <w:rPr>
          <w:sz w:val="20"/>
          <w:szCs w:val="20"/>
          <w:color w:val="auto"/>
        </w:rPr>
      </w:pPr>
    </w:p>
    <w:p>
      <w:pPr>
        <w:ind w:left="120" w:right="360" w:firstLine="881"/>
        <w:spacing w:after="0" w:line="266" w:lineRule="auto"/>
        <w:rPr>
          <w:sz w:val="20"/>
          <w:szCs w:val="20"/>
          <w:color w:val="auto"/>
        </w:rPr>
      </w:pPr>
      <w:r>
        <w:rPr>
          <w:rFonts w:ascii="Times New Roman" w:cs="Times New Roman" w:eastAsia="Times New Roman" w:hAnsi="Times New Roman"/>
          <w:sz w:val="18"/>
          <w:szCs w:val="18"/>
          <w:color w:val="auto"/>
        </w:rPr>
        <w:t>We also protect our brand through trademark rights. We are the registered owner of two U.S. pending trademark applications for the trademarks TARSUS and TARSUS PHARMACEUTICALS. In order to supplement the protection of our brand, we also own at least one registered internet domain name.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Elanco License Agreement</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In January 2019, we entered into the Elanco Agreement granting us an exclusive, worldwide, sublicensable license to certain intellectual property for the development, marketing, and commercialization of lotilaner for the treatment, palliation, prevention or cure of any eye or skin disease or condition in humans.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Elanco Agreement. We utilize the intellectual property licensed under the Elanco Agreement in our TP-03 and TP-04 product candidates. We are permitted to have certain third parties manufacture lotilaner for us and, upon Elanco consent, additional third parties.</w:t>
      </w:r>
    </w:p>
    <w:p>
      <w:pPr>
        <w:spacing w:after="0" w:line="187"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We made an upfront payment of $1.0 million to Elanco at contract execution, which we recorded within “research and development” expense within our statements of operations for the year ended December 31, 2019. We will make further payments to Elanco upon our achievement of various clinical milestones up to an aggregate maximum of $6.0 million and various sales milestones up to an aggregate maximum of $79.0 million.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treat or cure any eye or skin disease or condition in humans. We owe Elanco tiered royalties during the royalty term in the mid-to-high single digits on our future net sales and those of our sublicensees.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Either party may terminate the Elanco Agreement upon a material breach by the other party, solely in the country pertaining to such breach, that is not cured within 60 days after receiving written notice thereof. If we fail to comply with our development obligations under the Elanco Agreement, and fail to remedy such failure or cure such breach within 60 days, Elanco will have the right to terminate the Elanco Agreement. If we fail to meet any milestones by the achievement deadlines set forth in the Elanco Agreement for any reason other than those outside of our reasonable control, and such milestones remain unmet for 120 days after Elanco notifies us thereof, Elanco may terminate the Elanco Agreement. If we fail to meet certain dermatological milestones by the achievement deadlines set forth in the Elanco Agreement for any reasons other than those outside of our reasonable control, and such milestones remain unmet for 120 days after Elanco notifies us thereof, Elanco may limit our field of use under the Elanco Agreement to the treatment, palliation, prevention or cure of eye diseases or conditions in humans only. If Elanco terminates the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w:t>
      </w:r>
    </w:p>
    <w:p>
      <w:pPr>
        <w:spacing w:after="0" w:line="192"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Under the terms of the Elanco Agreement, we grant to Elanco a worldwide, sublicensable, royalty-free, perpetual license to our patents related to lotilaner and the licensed products and to our know-how to research, develop, make and commercialize lotilaner and the licensed products for any use outside of our licensed field of use. We also grant Elanco a royalty-free, perpetual license to any intellectual property we conceive from our use of lotilaner, which license is exclusive in the field of animal health and non-exclusive for all other applications outside of our licensed field of use.</w:t>
      </w:r>
    </w:p>
    <w:p>
      <w:pPr>
        <w:spacing w:after="0" w:line="180" w:lineRule="exact"/>
        <w:rPr>
          <w:sz w:val="20"/>
          <w:szCs w:val="20"/>
          <w:color w:val="auto"/>
        </w:rPr>
      </w:pPr>
    </w:p>
    <w:p>
      <w:pPr>
        <w:ind w:left="120" w:right="320" w:firstLine="881"/>
        <w:spacing w:after="0" w:line="282" w:lineRule="auto"/>
        <w:rPr>
          <w:sz w:val="20"/>
          <w:szCs w:val="20"/>
          <w:color w:val="auto"/>
        </w:rPr>
      </w:pPr>
      <w:r>
        <w:rPr>
          <w:rFonts w:ascii="Times New Roman" w:cs="Times New Roman" w:eastAsia="Times New Roman" w:hAnsi="Times New Roman"/>
          <w:sz w:val="18"/>
          <w:szCs w:val="18"/>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for each regulatory authority, submitted for review and approved by the regulatory authority. We will be required to navigate the various preclinical, clinical and commercial approval requirements of the governing regulatory agencies of the countries in which we wish to conduct studies or trials or seek approval of our product candidates. The processes for obtaining regulatory approvals in the United States and other countries, as appropriate, along with subsequent compliance with appropriate federal, state, local and foreign statutes and regulations, require the expenditure of substantial time and resources.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Regulation</w:t>
      </w:r>
    </w:p>
    <w:p>
      <w:pPr>
        <w:spacing w:after="0" w:line="22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In the United States, we are subject to extensive regulation by the FDA, which regulates drugs under the Federal Food, Drug, and Cosmetic Act, or the FDCA, and its implementing regulations. FDA approval is required before any new unapproved drug or dosage form, including a new use of a previously approved drug, can be marketed in the United States.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or foreign requirements at any time during the product development process, approval process or post-marketing may subject an applicant to a variety of administrative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80"/>
          </w:cols>
          <w:pgMar w:left="320" w:top="455" w:right="49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or judicial sanctions, such as the FDA’ refusal to approve pending NDAs,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our business, market acceptance of our products, and our reputation.</w:t>
      </w:r>
    </w:p>
    <w:p>
      <w:pPr>
        <w:spacing w:after="0" w:line="180" w:lineRule="exact"/>
        <w:rPr>
          <w:sz w:val="20"/>
          <w:szCs w:val="20"/>
          <w:color w:val="auto"/>
        </w:rPr>
      </w:pPr>
    </w:p>
    <w:p>
      <w:pPr>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Our product candidates are considered small molecule drugs and must be approved by the FDA through the NDA process before they may be legally marketed in the United States. The process generally involves the following:</w:t>
      </w:r>
    </w:p>
    <w:p>
      <w:pPr>
        <w:spacing w:after="0" w:line="189" w:lineRule="exact"/>
        <w:rPr>
          <w:sz w:val="20"/>
          <w:szCs w:val="20"/>
          <w:color w:val="auto"/>
        </w:rPr>
      </w:pPr>
    </w:p>
    <w:p>
      <w:pPr>
        <w:ind w:left="1420" w:right="60" w:hanging="319"/>
        <w:spacing w:after="0" w:line="282" w:lineRule="auto"/>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188" w:lineRule="exact"/>
        <w:rPr>
          <w:rFonts w:ascii="Times New Roman" w:cs="Times New Roman" w:eastAsia="Times New Roman" w:hAnsi="Times New Roman"/>
          <w:sz w:val="18"/>
          <w:szCs w:val="18"/>
          <w:color w:val="auto"/>
        </w:rPr>
      </w:pPr>
    </w:p>
    <w:p>
      <w:pPr>
        <w:ind w:left="1420" w:right="20" w:hanging="319"/>
        <w:spacing w:after="0" w:line="282" w:lineRule="auto"/>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 and must be updated annually or when significant changes are made;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IRB or independent ethics committee at each clinical trial site before each trial may be initiated;</w:t>
      </w:r>
    </w:p>
    <w:p>
      <w:pPr>
        <w:spacing w:after="0" w:line="252" w:lineRule="exact"/>
        <w:rPr>
          <w:rFonts w:ascii="Times New Roman" w:cs="Times New Roman" w:eastAsia="Times New Roman" w:hAnsi="Times New Roman"/>
          <w:sz w:val="18"/>
          <w:szCs w:val="18"/>
          <w:color w:val="auto"/>
        </w:rPr>
      </w:pPr>
    </w:p>
    <w:p>
      <w:pPr>
        <w:jc w:val="both"/>
        <w:ind w:left="1420" w:right="60" w:hanging="319"/>
        <w:spacing w:after="0" w:line="266" w:lineRule="auto"/>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GCP, requirements and other clinical trial-related regulations to establish substantial evidence of the safety and efficacy of the investigational product for each proposed indication;</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accept the submission for review;</w:t>
      </w:r>
    </w:p>
    <w:p>
      <w:pPr>
        <w:spacing w:after="0" w:line="252" w:lineRule="exact"/>
        <w:rPr>
          <w:rFonts w:ascii="Times New Roman" w:cs="Times New Roman" w:eastAsia="Times New Roman" w:hAnsi="Times New Roman"/>
          <w:sz w:val="18"/>
          <w:szCs w:val="18"/>
          <w:color w:val="auto"/>
        </w:rPr>
      </w:pPr>
    </w:p>
    <w:p>
      <w:pPr>
        <w:ind w:left="1420" w:right="80" w:hanging="319"/>
        <w:spacing w:after="0" w:line="282" w:lineRule="auto"/>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where the drug will be produced to assess compliance with cGMP requirements, and of selected clinical investigational sites to assess compliance with GCD;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and/or clinical trial sites that generated the data in support of the NDA filing;</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consideration of the views of any FDA advisory committee, prior to any commercial marketing or sale of the drug in the United States; and</w:t>
      </w:r>
    </w:p>
    <w:p>
      <w:pPr>
        <w:spacing w:after="0" w:line="188" w:lineRule="exact"/>
        <w:rPr>
          <w:rFonts w:ascii="Times New Roman" w:cs="Times New Roman" w:eastAsia="Times New Roman" w:hAnsi="Times New Roman"/>
          <w:sz w:val="18"/>
          <w:szCs w:val="18"/>
          <w:color w:val="auto"/>
        </w:rPr>
      </w:pPr>
    </w:p>
    <w:p>
      <w:pPr>
        <w:ind w:left="1420" w:right="640" w:hanging="319"/>
        <w:spacing w:after="0" w:line="282" w:lineRule="auto"/>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REMS and the potential requirement to conduct post-approval studies.</w:t>
      </w:r>
    </w:p>
    <w:p>
      <w:pPr>
        <w:spacing w:after="0" w:line="162"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The data required to support an NDA are generated in two distinct developmental stages: preclinical and clinical. The preclinical and clinical testing and approval process can take many years and the actual time required to obtain approval, if any, may vary substantially based upon the type, complexity and novelty of the product or condition being treated.</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IND submission</w:t>
      </w:r>
    </w:p>
    <w:p>
      <w:pPr>
        <w:spacing w:after="0" w:line="229" w:lineRule="exact"/>
        <w:rPr>
          <w:sz w:val="20"/>
          <w:szCs w:val="20"/>
          <w:color w:val="auto"/>
        </w:rPr>
      </w:pPr>
    </w:p>
    <w:p>
      <w:pPr>
        <w:ind w:left="120" w:right="480" w:firstLine="881"/>
        <w:spacing w:after="0" w:line="282" w:lineRule="auto"/>
        <w:rPr>
          <w:sz w:val="20"/>
          <w:szCs w:val="20"/>
          <w:color w:val="auto"/>
        </w:rPr>
      </w:pPr>
      <w:r>
        <w:rPr>
          <w:rFonts w:ascii="Times New Roman" w:cs="Times New Roman" w:eastAsia="Times New Roman" w:hAnsi="Times New Roman"/>
          <w:sz w:val="18"/>
          <w:szCs w:val="18"/>
          <w:color w:val="auto"/>
        </w:rPr>
        <w:t>Before testing any drug product candidate in humans, the product candidate must undergo rigorous preclinical testing. The preclinical developmental stage generally involves laboratory evaluations of drug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chemistry, formulation and stability, as well as in vitro and animal studies to assess the potential for adverse events and in some cases to establish a rationale for therapeutic use. The conduct of preclinical studies is subject to federal regulations and requirements, including GLP regulations for certain safety/toxicology studies. An IND is a request for authorization from the FDA to administer an investigational product to humans, and must become effective before human clinical trials may begin.</w:t>
      </w:r>
    </w:p>
    <w:p>
      <w:pPr>
        <w:spacing w:after="0" w:line="180"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and clinical trials may proceed under such IND at such time,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 separate submission to an existing IND must also be made for each successive clinical trial conducted during product development along with any subsequent changes to the investigational plan.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ind w:left="120" w:right="80" w:firstLine="881"/>
        <w:spacing w:after="0" w:line="270" w:lineRule="auto"/>
        <w:rPr>
          <w:sz w:val="20"/>
          <w:szCs w:val="20"/>
          <w:color w:val="auto"/>
        </w:rPr>
      </w:pPr>
      <w:r>
        <w:rPr>
          <w:rFonts w:ascii="Times New Roman" w:cs="Times New Roman" w:eastAsia="Times New Roman" w:hAnsi="Times New Roman"/>
          <w:sz w:val="17"/>
          <w:szCs w:val="17"/>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including the website maintained by the U.S. National Institutes of Health, ClinicalTrials.gov.</w:t>
      </w:r>
    </w:p>
    <w:p>
      <w:pPr>
        <w:spacing w:after="0" w:line="177"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still submit data from the clinical trial to the FDA in support of an NDA. The FDA may agree to accept a well-designed and well-conducted foreign clinical trial not conducted under an IND if the trial was conducted in accordance with GCP requirements and the FDA is able to validate the data through an onsite inspection, if deemed necessary, and the practice of medicine in the foreign country is consistent with the United States.</w:t>
      </w:r>
    </w:p>
    <w:p>
      <w:pPr>
        <w:spacing w:after="0" w:line="183"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Clinical trials in the United States generally are conducted in three sequential phases, known as Phase 1, Phase 2 and Phase 3. Although the phases are usually conducted sequentially, they may overlap or be combined.</w:t>
      </w:r>
    </w:p>
    <w:p>
      <w:pPr>
        <w:spacing w:after="0" w:line="189" w:lineRule="exact"/>
        <w:rPr>
          <w:sz w:val="20"/>
          <w:szCs w:val="20"/>
          <w:color w:val="auto"/>
        </w:rPr>
      </w:pPr>
    </w:p>
    <w:p>
      <w:pPr>
        <w:ind w:left="1420" w:hanging="319"/>
        <w:spacing w:after="0" w:line="261" w:lineRule="auto"/>
        <w:tabs>
          <w:tab w:leader="none" w:pos="14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 in humans, the side effects associated with increasing doses, and if possible, to gain early evidence on effectiveness.</w:t>
      </w:r>
    </w:p>
    <w:p>
      <w:pPr>
        <w:spacing w:after="0" w:line="206" w:lineRule="exact"/>
        <w:rPr>
          <w:rFonts w:ascii="Times New Roman" w:cs="Times New Roman" w:eastAsia="Times New Roman" w:hAnsi="Times New Roman"/>
          <w:sz w:val="18"/>
          <w:szCs w:val="18"/>
          <w:color w:val="auto"/>
        </w:rPr>
      </w:pPr>
    </w:p>
    <w:p>
      <w:pPr>
        <w:ind w:left="1420" w:right="380" w:hanging="319"/>
        <w:spacing w:after="0" w:line="282" w:lineRule="auto"/>
        <w:tabs>
          <w:tab w:leader="none" w:pos="14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generally involve studies in disease-affected patients to determine the dose and dosing schedule required to produce the desired benefits. At the same time, safety and further</w:t>
      </w:r>
    </w:p>
    <w:p>
      <w:pPr>
        <w:spacing w:after="0" w:line="94"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139 -</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680"/>
        <w:spacing w:after="0" w:line="282" w:lineRule="auto"/>
        <w:rPr>
          <w:sz w:val="20"/>
          <w:szCs w:val="20"/>
          <w:color w:val="auto"/>
        </w:rPr>
      </w:pPr>
      <w:r>
        <w:rPr>
          <w:rFonts w:ascii="Times New Roman" w:cs="Times New Roman" w:eastAsia="Times New Roman" w:hAnsi="Times New Roman"/>
          <w:sz w:val="18"/>
          <w:szCs w:val="18"/>
          <w:color w:val="auto"/>
        </w:rPr>
        <w:t>pharmacokinetic and pharmacodynamic information is collected, possible adverse effects and safety risks are identified and a preliminary evaluation of efficacy is conducted.</w:t>
      </w:r>
    </w:p>
    <w:p>
      <w:pPr>
        <w:spacing w:after="0" w:line="189" w:lineRule="exact"/>
        <w:rPr>
          <w:sz w:val="20"/>
          <w:szCs w:val="20"/>
          <w:color w:val="auto"/>
        </w:rPr>
      </w:pPr>
    </w:p>
    <w:p>
      <w:pPr>
        <w:ind w:left="1420" w:right="120" w:hanging="319"/>
        <w:spacing w:after="0" w:line="261" w:lineRule="auto"/>
        <w:tabs>
          <w:tab w:leader="none" w:pos="14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safety and effectiveness of the product for its intended use and to establish the overall benefit/risk relationship of the product to provide an adequate basis for product approval. These trials may include comparisons with placebo and/or other comparator treatments. The duration of treatment is often extended to mimic the actual use of a product during marketing.</w:t>
      </w:r>
    </w:p>
    <w:p>
      <w:pPr>
        <w:spacing w:after="0" w:line="180"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76"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w:t>
      </w:r>
    </w:p>
    <w:p>
      <w:pPr>
        <w:spacing w:after="0" w:line="180" w:lineRule="exact"/>
        <w:rPr>
          <w:sz w:val="20"/>
          <w:szCs w:val="20"/>
          <w:color w:val="auto"/>
        </w:rPr>
      </w:pPr>
    </w:p>
    <w:p>
      <w:pPr>
        <w:jc w:val="both"/>
        <w:ind w:left="120" w:firstLine="881"/>
        <w:spacing w:after="0" w:line="261" w:lineRule="auto"/>
        <w:rPr>
          <w:sz w:val="20"/>
          <w:szCs w:val="20"/>
          <w:color w:val="auto"/>
        </w:rPr>
      </w:pPr>
      <w:r>
        <w:rPr>
          <w:rFonts w:ascii="Times New Roman" w:cs="Times New Roman" w:eastAsia="Times New Roman" w:hAnsi="Times New Roman"/>
          <w:sz w:val="18"/>
          <w:szCs w:val="18"/>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NDA Review and Marketing Approval</w:t>
      </w:r>
    </w:p>
    <w:p>
      <w:pPr>
        <w:spacing w:after="0" w:line="22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Following completion of clinical trials, data are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and other information in a request for approval to market the drug for one or more specified indications. 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must be obtained before a drug may be marketed in the United States.</w:t>
      </w:r>
    </w:p>
    <w:p>
      <w:pPr>
        <w:spacing w:after="0" w:line="192"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NDA must be accompanied by an application user fee. FDA adjusts the PDUFA user fees on an annual basis. PDUFA also imposes an annual program fee for each marketed human drug. Fee waivers or reductions are available in certain circumstances, including a waiver of the application fee for the first application filed by a qualifying small business. Additionally, no user fees are assessed on NDAs for products designated as orphan drugs, unless the product NDA also includes a non-orphan indication.</w:t>
      </w:r>
    </w:p>
    <w:p>
      <w:pPr>
        <w:spacing w:after="0" w:line="183"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8"/>
          <w:szCs w:val="18"/>
          <w:color w:val="auto"/>
        </w:rPr>
        <w:t>The FDA reviews all submitted NDAs before it accepts them for filing to determine if they are sufficiently complete to permit a substantive review, and the FDA may request additional information rather than accepting the NDA for filing. The FDA must make a decision on accepting an NDA for filing within 60 days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receipt. Once the submission is accepted for filing, the FDA begins an in-depth review of the NDA. Under PDUFA, the FDA has agreed to certain performance goals in the review of NDAs through a two-tiered classification system, standard review and priority review. According to PDUFA performance goals, the FDA endeavors to review applications subject to standard review within ten months, whereas the FDA’s goal is to review priority review applications within six months, depending on whether the drug is a new molecular entity. The FDA does not always meet its PDUFA goal dates for standard and priority NDAs, and the review process is often extended by FDA requests for additional information or clarification.</w:t>
      </w:r>
    </w:p>
    <w:p>
      <w:pPr>
        <w:spacing w:after="0" w:line="183"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87"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3"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w:t>
      </w:r>
    </w:p>
    <w:p>
      <w:pPr>
        <w:spacing w:after="0" w:line="180" w:lineRule="exact"/>
        <w:rPr>
          <w:sz w:val="20"/>
          <w:szCs w:val="20"/>
          <w:color w:val="auto"/>
        </w:rPr>
      </w:pPr>
    </w:p>
    <w:p>
      <w:pPr>
        <w:ind w:left="120" w:right="140" w:firstLine="881"/>
        <w:spacing w:after="0" w:line="255" w:lineRule="auto"/>
        <w:rPr>
          <w:sz w:val="20"/>
          <w:szCs w:val="20"/>
          <w:color w:val="auto"/>
        </w:rPr>
      </w:pPr>
      <w:r>
        <w:rPr>
          <w:rFonts w:ascii="Times New Roman" w:cs="Times New Roman" w:eastAsia="Times New Roman" w:hAnsi="Times New Roman"/>
          <w:sz w:val="18"/>
          <w:szCs w:val="18"/>
          <w:color w:val="auto"/>
        </w:rPr>
        <w:t>The FDA generally accepts data from foreign clinical trials in support of an NDA if the trials were conducted under an IND. If a foreign clinical trial is not conducted under an IND, the FDA nevertheless may accept the data in support of an NDA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18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also closely analyzes the clinical trial data, which could result in extensive discussions between the FDA and the applicant during the review process.</w:t>
      </w:r>
    </w:p>
    <w:p>
      <w:pPr>
        <w:spacing w:after="0" w:line="183"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After the FDA evaluates an NDA, it will issue an approval letter or a Complete Response Letter. An approval letter authorizes commercial marketing of the drug with specific prescribing information for specific indications and potentially subject to other requirements. A Complete Response Letter indicates that the review</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cycle of the application is complete and the application will not be approved in its present form. A Complete Response Letter usually describes all of the specific deficiencies in the NDA identified by the FDA. The Complete Response Letter may require additional clinical data, including the potential requirement to conduct additional pivotal Phase 3 clinical trial(s) and/or other significant and time-consuming requirements related to clinical trials, or to conduct additional preclinical studies or manufacturing changes.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Following approval of a new product, the product is subject to continuing regulation by the FDA, including, among other things, requirements relating to facility registration and drug listing monitoring and record 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The FDA strictly regulates marketing, labeling, advertising and promotion of drugs, including after they are placed on the market. Drugs may be promoted only for the approved indications and in accordance with the provisions of the approved label.</w:t>
      </w:r>
    </w:p>
    <w:p>
      <w:pPr>
        <w:spacing w:after="0" w:line="1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Although physicians may prescribe legally available drugs for off-label uses, manufacturers may not market or promote such uses.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Prescription drug promotional materials must be submitted to the FDA in conjunction with their first use or first publication.</w:t>
      </w:r>
    </w:p>
    <w:p>
      <w:pPr>
        <w:spacing w:after="0" w:line="207" w:lineRule="exact"/>
        <w:rPr>
          <w:sz w:val="20"/>
          <w:szCs w:val="20"/>
          <w:color w:val="auto"/>
        </w:rPr>
      </w:pPr>
    </w:p>
    <w:p>
      <w:pPr>
        <w:ind w:left="120" w:right="140" w:firstLine="881"/>
        <w:spacing w:after="0" w:line="281" w:lineRule="auto"/>
        <w:rPr>
          <w:sz w:val="20"/>
          <w:szCs w:val="20"/>
          <w:color w:val="auto"/>
        </w:rPr>
      </w:pPr>
      <w:r>
        <w:rPr>
          <w:rFonts w:ascii="Times New Roman" w:cs="Times New Roman" w:eastAsia="Times New Roman" w:hAnsi="Times New Roman"/>
          <w:sz w:val="17"/>
          <w:szCs w:val="17"/>
          <w:color w:val="auto"/>
        </w:rPr>
        <w:t>The FDA may also place other conditions on approvals including the requirement for REMS, to assure the safe use of the product. If the FDA concludes that a REMS is needed, the NDA sponsor must submit a proposed REMS. The FDA will not approve the FDA without an approved REMS, if required.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64"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its manufacturer or the NDA holder, including recalls.</w:t>
      </w:r>
    </w:p>
    <w:p>
      <w:pPr>
        <w:spacing w:after="0" w:line="188"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The FDA may withdraw approval of a product if compliance with regulatory requirements and standards is not maintained or if problems occur after the product reaches the market. Corrective action could delay drug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89" w:lineRule="exact"/>
        <w:rPr>
          <w:sz w:val="20"/>
          <w:szCs w:val="20"/>
          <w:color w:val="auto"/>
        </w:rPr>
      </w:pPr>
    </w:p>
    <w:p>
      <w:pPr>
        <w:ind w:left="1420" w:right="220" w:hanging="319"/>
        <w:spacing w:after="0" w:line="282" w:lineRule="auto"/>
        <w:tabs>
          <w:tab w:leader="none" w:pos="14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suspension of the approval, complete withdrawal of the product from the market, or product recalls;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approvals;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Manufacturing, sales, promotion and other activities following product approval are subject to regulation by numerous regulatory authorities in the United States in addition to the FDA, including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187"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203" w:lineRule="exact"/>
        <w:rPr>
          <w:sz w:val="20"/>
          <w:szCs w:val="20"/>
          <w:color w:val="auto"/>
        </w:rPr>
      </w:pPr>
    </w:p>
    <w:p>
      <w:pPr>
        <w:ind w:left="1420" w:right="60" w:hanging="319"/>
        <w:spacing w:after="0" w:line="256" w:lineRule="auto"/>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makes it illegal for any person, including a prescription drug manufacturer (or a party acting on its behalf), to knowingly and willfully solicit, receive, offer or pay any remuneration, directly or indirectly, in cash or in kind, to induce or reward either the referral of an individual for, or the purchase, lease, order or recommendation of an item or service for which payment may be made, in whole or in part, under a federal healthcare program, such as Medicare or Medicaid. Moreover, the government may assert that a claim including items or services resulting from a violation of the federal Anti-Kickback Statute constitutes a false or fraudulent claim for purposes of the civil False Claims Act;</w:t>
      </w:r>
    </w:p>
    <w:p>
      <w:pPr>
        <w:spacing w:after="0" w:line="214" w:lineRule="exact"/>
        <w:rPr>
          <w:rFonts w:ascii="Times New Roman" w:cs="Times New Roman" w:eastAsia="Times New Roman" w:hAnsi="Times New Roman"/>
          <w:sz w:val="18"/>
          <w:szCs w:val="18"/>
          <w:color w:val="auto"/>
        </w:rPr>
      </w:pPr>
    </w:p>
    <w:p>
      <w:pPr>
        <w:ind w:left="1420" w:right="40" w:hanging="319"/>
        <w:spacing w:after="0" w:line="258" w:lineRule="auto"/>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civil penalties, sometimes pursued through civil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210" w:lineRule="exact"/>
        <w:rPr>
          <w:rFonts w:ascii="Times New Roman" w:cs="Times New Roman" w:eastAsia="Times New Roman" w:hAnsi="Times New Roman"/>
          <w:sz w:val="18"/>
          <w:szCs w:val="18"/>
          <w:color w:val="auto"/>
        </w:rPr>
      </w:pPr>
    </w:p>
    <w:p>
      <w:pPr>
        <w:ind w:left="1420" w:right="400" w:hanging="319"/>
        <w:spacing w:after="0" w:line="261" w:lineRule="auto"/>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HIPAA, which imposes criminal liability for, among other things, knowingly and willfully executing or attempting to execute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p>
      <w:pPr>
        <w:spacing w:after="0" w:line="112"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143 -</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66" w:lineRule="auto"/>
        <w:tabs>
          <w:tab w:leader="none" w:pos="1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imposes obligations, including mandatory contractual terms, with respect to safeguarding the privacy, security and transmission of individually identifiable health information;</w:t>
      </w:r>
    </w:p>
    <w:p>
      <w:pPr>
        <w:spacing w:after="0" w:line="202" w:lineRule="exact"/>
        <w:rPr>
          <w:rFonts w:ascii="Times New Roman" w:cs="Times New Roman" w:eastAsia="Times New Roman" w:hAnsi="Times New Roman"/>
          <w:sz w:val="18"/>
          <w:szCs w:val="18"/>
          <w:color w:val="auto"/>
        </w:rPr>
      </w:pPr>
    </w:p>
    <w:p>
      <w:pPr>
        <w:ind w:left="1420" w:right="100" w:hanging="319"/>
        <w:spacing w:after="0" w:line="282" w:lineRule="auto"/>
        <w:tabs>
          <w:tab w:leader="none" w:pos="1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88" w:lineRule="exact"/>
        <w:rPr>
          <w:rFonts w:ascii="Times New Roman" w:cs="Times New Roman" w:eastAsia="Times New Roman" w:hAnsi="Times New Roman"/>
          <w:sz w:val="18"/>
          <w:szCs w:val="18"/>
          <w:color w:val="auto"/>
        </w:rPr>
      </w:pPr>
    </w:p>
    <w:p>
      <w:pPr>
        <w:ind w:left="1420" w:right="220" w:hanging="319"/>
        <w:spacing w:after="0" w:line="282" w:lineRule="auto"/>
        <w:tabs>
          <w:tab w:leader="none" w:pos="1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 including off-label or pre-approval promotion;</w:t>
      </w:r>
    </w:p>
    <w:p>
      <w:pPr>
        <w:spacing w:after="0" w:line="188" w:lineRule="exact"/>
        <w:rPr>
          <w:rFonts w:ascii="Times New Roman" w:cs="Times New Roman" w:eastAsia="Times New Roman" w:hAnsi="Times New Roman"/>
          <w:sz w:val="18"/>
          <w:szCs w:val="18"/>
          <w:color w:val="auto"/>
        </w:rPr>
      </w:pPr>
    </w:p>
    <w:p>
      <w:pPr>
        <w:ind w:left="1420" w:right="20" w:hanging="319"/>
        <w:spacing w:after="0" w:line="258" w:lineRule="auto"/>
        <w:tabs>
          <w:tab w:leader="none" w:pos="1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applicable manufacturers of covered drugs, devices, biologics and medical supplies for which payment is available under Medicare, Medicaid or the Children’s Health Insurance Program, with specific exceptions, to annually report to CMS information regarding direct or indirect payments and other transfers of value to physicians and teaching hospitals (and certain other practitioners beginning in 2022), as well as information regarding ownership and investment interests held by physicians and their immediate family members; and</w:t>
      </w:r>
    </w:p>
    <w:p>
      <w:pPr>
        <w:spacing w:after="0" w:line="210" w:lineRule="exact"/>
        <w:rPr>
          <w:rFonts w:ascii="Times New Roman" w:cs="Times New Roman" w:eastAsia="Times New Roman" w:hAnsi="Times New Roman"/>
          <w:sz w:val="18"/>
          <w:szCs w:val="18"/>
          <w:color w:val="auto"/>
        </w:rPr>
      </w:pPr>
    </w:p>
    <w:p>
      <w:pPr>
        <w:ind w:left="1420" w:right="160" w:hanging="319"/>
        <w:spacing w:after="0" w:line="254" w:lineRule="auto"/>
        <w:tabs>
          <w:tab w:leader="none" w:pos="1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 governmental third-party payors, including private insurers, state laws that require pharmaceutical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pharmaceutical manufacturers to report information on the pricing of certain drug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Additionally, California recently enacted legislation that has been dubbed the first “GDPR-like” law in the United States. CCPA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The CCPA could impact our business activities depending on how it is interpreted and exemplifies the vulnerability of our business to not only cyber threats but also the evolving regulatory environment related to personal data and protected health information.</w:t>
      </w:r>
    </w:p>
    <w:p>
      <w:pPr>
        <w:spacing w:after="0" w:line="187" w:lineRule="exact"/>
        <w:rPr>
          <w:sz w:val="20"/>
          <w:szCs w:val="20"/>
          <w:color w:val="auto"/>
        </w:rPr>
      </w:pPr>
    </w:p>
    <w:p>
      <w:pPr>
        <w:ind w:left="120" w:right="320" w:firstLine="881"/>
        <w:spacing w:after="0" w:line="312" w:lineRule="auto"/>
        <w:rPr>
          <w:sz w:val="20"/>
          <w:szCs w:val="20"/>
          <w:color w:val="auto"/>
        </w:rPr>
      </w:pPr>
      <w:r>
        <w:rPr>
          <w:rFonts w:ascii="Times New Roman" w:cs="Times New Roman" w:eastAsia="Times New Roman" w:hAnsi="Times New Roman"/>
          <w:sz w:val="17"/>
          <w:szCs w:val="17"/>
          <w:color w:val="auto"/>
        </w:rPr>
        <w:t>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40" w:lineRule="exact"/>
        <w:rPr>
          <w:sz w:val="20"/>
          <w:szCs w:val="20"/>
          <w:color w:val="auto"/>
        </w:rPr>
      </w:pPr>
    </w:p>
    <w:p>
      <w:pPr>
        <w:ind w:left="120" w:right="460" w:firstLine="881"/>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62" w:lineRule="exact"/>
        <w:rPr>
          <w:sz w:val="20"/>
          <w:szCs w:val="20"/>
          <w:color w:val="auto"/>
        </w:rPr>
      </w:pPr>
    </w:p>
    <w:p>
      <w:pPr>
        <w:ind w:left="120" w:right="620" w:firstLine="881"/>
        <w:spacing w:after="0" w:line="261" w:lineRule="auto"/>
        <w:rPr>
          <w:sz w:val="20"/>
          <w:szCs w:val="20"/>
          <w:color w:val="auto"/>
        </w:rPr>
      </w:pPr>
      <w:r>
        <w:rPr>
          <w:rFonts w:ascii="Times New Roman" w:cs="Times New Roman" w:eastAsia="Times New Roman" w:hAnsi="Times New Roman"/>
          <w:sz w:val="18"/>
          <w:szCs w:val="18"/>
          <w:color w:val="auto"/>
        </w:rPr>
        <w:t>We may also be subject to state laws that require pharmaceutical companies to comply with the pharmaceutical industry’s voluntary compliance guidelines and the relevant compliance guidance promulgated by the federal government, as well as state laws that require drug manufacturers to report information related to payments and other transfers of value to physicians and other healthcare providers, marketing expenditures or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drug pricing. In addition, we may be subject to state and local laws that require the registration of pharmaceutical sales representatives.</w:t>
      </w:r>
    </w:p>
    <w:p>
      <w:pPr>
        <w:spacing w:after="0" w:line="225"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individual imprisonment, exclusion from participation in government funded healthcare programs, such as Medicare and Medicaid, compliance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Equivalent, and similarly detailed, obligations will apply to the conduct of clinical trials in third countries including the EU.</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Patent-Term Restoration and Marketing Exclusivity</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spacing w:after="0" w:line="192"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505(b)(1) NDA. However, an applicant submitting a full NDA would be required to conduct or obtain a right of reference to all of the preclinical studies and adequate and well-controlled clinical trials necessary to demonstrate safety and effectiveness.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w:t>
      </w:r>
    </w:p>
    <w:p>
      <w:pPr>
        <w:spacing w:after="0" w:line="229"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Similar to the United States, the various phases of preclinical and clinical research in the European Union are subject to significant regulatory controls. Although the European Union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Under the current regime all suspected unexpected serious adverse reactions to the investigated drug that occur during the clinical trial have to be reported to the NCA and ECs of the Member State where they occurred.</w:t>
      </w:r>
    </w:p>
    <w:p>
      <w:pPr>
        <w:spacing w:after="0" w:line="189" w:lineRule="exact"/>
        <w:rPr>
          <w:sz w:val="20"/>
          <w:szCs w:val="20"/>
          <w:color w:val="auto"/>
        </w:rPr>
      </w:pPr>
    </w:p>
    <w:p>
      <w:pPr>
        <w:ind w:left="120" w:right="240" w:firstLine="881"/>
        <w:spacing w:after="0" w:line="261" w:lineRule="auto"/>
        <w:rPr>
          <w:sz w:val="20"/>
          <w:szCs w:val="20"/>
          <w:color w:val="auto"/>
        </w:rPr>
      </w:pPr>
      <w:r>
        <w:rPr>
          <w:rFonts w:ascii="Times New Roman" w:cs="Times New Roman" w:eastAsia="Times New Roman" w:hAnsi="Times New Roman"/>
          <w:sz w:val="18"/>
          <w:szCs w:val="18"/>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Review and Approval</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 or marketing of the product in those countries or jurisdictions.</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227" w:lineRule="exact"/>
        <w:rPr>
          <w:sz w:val="20"/>
          <w:szCs w:val="20"/>
          <w:color w:val="auto"/>
        </w:rPr>
      </w:pPr>
    </w:p>
    <w:p>
      <w:pPr>
        <w:ind w:left="120" w:right="180" w:firstLine="881"/>
        <w:spacing w:after="0" w:line="255" w:lineRule="auto"/>
        <w:rPr>
          <w:sz w:val="20"/>
          <w:szCs w:val="20"/>
          <w:color w:val="auto"/>
        </w:rPr>
      </w:pPr>
      <w:r>
        <w:rPr>
          <w:rFonts w:ascii="Times New Roman" w:cs="Times New Roman" w:eastAsia="Times New Roman" w:hAnsi="Times New Roman"/>
          <w:sz w:val="18"/>
          <w:szCs w:val="18"/>
          <w:color w:val="auto"/>
        </w:rPr>
        <w:t>Pursuant to the currently applicable Clinical Trials Directive 2001/20/EC and the Directive 2005/28/EC on GCP, in order to undertake a clinical trial in a European Union member state, an applicant must obtain approval from the competent national authority of the European Union member state in which the clinical trial is to be conducted, or in multiple member states if the clinical trial is to be conducted in a number of member states. The EEA is comprised of the 27 Member States of the European Union and the three members of the EFTA pillar of the EEA, Iceland, Liechtenstein and Norway. Furthermore, the applicant may only start a clinical trial at a specific site after the competent ethics committee has issued a favorable opinion. The clinical trial application must be accompanied by an IMP dossier with supporting information prescribed by Directive 2001/20/EC and Directive 2005/28/EC and corresponding national laws of the member states and further detailed in applicable guidance documents.</w:t>
      </w:r>
    </w:p>
    <w:p>
      <w:pPr>
        <w:spacing w:after="0" w:line="18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In April 2014, the European Union adopted a new Clinical Trials Regulation (EU) No 536/2014, but it is not yet applicable in the European Union. The new legislation, which will be directly applicable in all European Union member states, aims to streamline the approval of clinical trials in the European Union by applying consistent rules and harmonizing the approvals process throughout the European Union. For instance, the new Clinical Trials Regulation provides for a streamlined application procedure via a single-entry point facilitating a harmonized assessment across multiple member states. The timing of implementation of the new Clinical Trials Regulation will be dependent on the development and launch of a fully functional clinical trials portal and database, which would be confirmed by an independent audit. The new legislation will come into effect six months after the European Commission publishes a confirmation of full functionality of the clinical trials information system. The website indicated that the audit was expected to commence in December 2020.</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Parties conducting certain clinical trials in the European Union must, as in the United States, post clinical trial information at the EudraCT website: https://eudract.ema.europa.eu.</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227"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In the EEA, medicinal products can only be commercialized after obtaining a Marketing Authorization, or MA. There are a number of types of marketing authorizations.</w:t>
      </w:r>
    </w:p>
    <w:p>
      <w:pPr>
        <w:spacing w:after="0" w:line="189" w:lineRule="exact"/>
        <w:rPr>
          <w:sz w:val="20"/>
          <w:szCs w:val="20"/>
          <w:color w:val="auto"/>
        </w:rPr>
      </w:pPr>
    </w:p>
    <w:p>
      <w:pPr>
        <w:ind w:left="1420" w:hanging="319"/>
        <w:spacing w:after="0" w:line="254" w:lineRule="auto"/>
        <w:tabs>
          <w:tab w:leader="none" w:pos="14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Community MA is adopted by the European Commission in the form of a decision through the Centralized Procedure. The decision, which is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on approval by the EMA for products containing a new active substance not yet authorized in the EEA, or for products that constitute a significant therapeutic, scientific or technical innovation or which are in the interest of public health in the European Union.</w:t>
      </w:r>
    </w:p>
    <w:p>
      <w:pPr>
        <w:spacing w:after="0" w:line="188" w:lineRule="exact"/>
        <w:rPr>
          <w:rFonts w:ascii="Times New Roman" w:cs="Times New Roman" w:eastAsia="Times New Roman" w:hAnsi="Times New Roman"/>
          <w:sz w:val="18"/>
          <w:szCs w:val="18"/>
          <w:color w:val="auto"/>
        </w:rPr>
      </w:pPr>
    </w:p>
    <w:p>
      <w:pPr>
        <w:ind w:left="144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Centralized Procedure, the CHMP established at the EMA is responsible for conducting an initial scientific assessment of a product. The maximum timeframe for the evaluation of an MA under the Centralized Procedure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215" w:lineRule="exact"/>
        <w:rPr>
          <w:rFonts w:ascii="Times New Roman" w:cs="Times New Roman" w:eastAsia="Times New Roman" w:hAnsi="Times New Roman"/>
          <w:sz w:val="18"/>
          <w:szCs w:val="18"/>
          <w:color w:val="auto"/>
        </w:rPr>
      </w:pPr>
    </w:p>
    <w:p>
      <w:pPr>
        <w:ind w:left="1420" w:hanging="319"/>
        <w:spacing w:after="0" w:line="253" w:lineRule="auto"/>
        <w:tabs>
          <w:tab w:leader="none" w:pos="14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 based on the Mutual Recognition Procedure or the Decentralised Procedure are available for products not falling within the mandatory scope of the Centralized Procedure. Where a product is first authorized by a Reference Member State this may be recognized by other Concerned Member States through the Mutual Recognition Procedure. Alternatively, a product can be approved simultaneously in various EU Member States through the Decentralized Procedure. Under the Decentralized Procedure an identical dossier is submitted to the competent authorities of each of the EU Member States in which the MA is sought, one of which is selected by the applicant as the Reference Member State. The competent authority of the Reference Member State prepares a draft assessment report, a draft Summary of Product Characteristics, or SmPC, and a draft of the labeling and package leaflet, which are sent to the other Member States (referred to as the Concerned Member States) for their approval. If the Concerned Member States raise no objections, based on a potential serious risk to public health, to the assessment, SPC, labeling or packaging proposed by the Reference Member State, the product is subsequently granted a national MA in all the Member States (i.e., in the Reference Member State and the Concerned Member States).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our products will be covered by third-party payors, such as government health programs, commercial insurance, and managed healthcare organizations. There is significant uncertainty related to third-party payor coverage and reimbursement of newly approved products. In the United States, for example, principal decisions about reimbursement for new products 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typically made by CMS or by Medicare’s contractors and drug plans. These entities decides whether and to what extent a new product will be covered and reimbursed under Medicare, and private third-party payors often follow their decisions regarding coverage and reimbursement to a substantial degree. However, no uniform policy of coverage and reimbursement for drug products exists. Accordingly, decisions regarding the extent of coverage and amount of reimbursement to be provided for any of our products will be made on a payor-by-payor basis.</w:t>
      </w:r>
    </w:p>
    <w:p>
      <w:pPr>
        <w:spacing w:after="0" w:line="180"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92"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183"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83" w:lineRule="exact"/>
        <w:rPr>
          <w:sz w:val="20"/>
          <w:szCs w:val="20"/>
          <w:color w:val="auto"/>
        </w:rPr>
      </w:pPr>
    </w:p>
    <w:p>
      <w:pPr>
        <w:ind w:left="120" w:right="140" w:firstLine="881"/>
        <w:spacing w:after="0" w:line="255" w:lineRule="auto"/>
        <w:rPr>
          <w:sz w:val="20"/>
          <w:szCs w:val="20"/>
          <w:color w:val="auto"/>
        </w:rPr>
      </w:pPr>
      <w:r>
        <w:rPr>
          <w:rFonts w:ascii="Times New Roman" w:cs="Times New Roman" w:eastAsia="Times New Roman" w:hAnsi="Times New Roman"/>
          <w:sz w:val="18"/>
          <w:szCs w:val="18"/>
          <w:color w:val="auto"/>
        </w:rPr>
        <w:t>In addition, in order to be eligible to have its products paid for with federal funds under the Medicaid and Medicare Part B programs and purchased by certain federal agencies and grantees, a manufacturer also must participate in the VA FSS pricing program. Under this program, the manufacturer is obligated to make its innovator and single source products available for procurement on an FSS contract and charge a price to four federal agencies, U.S. Department of Veterans Affairs, U.S. DoD, Public Health Service and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189" w:lineRule="exact"/>
        <w:rPr>
          <w:sz w:val="20"/>
          <w:szCs w:val="20"/>
          <w:color w:val="auto"/>
        </w:rPr>
      </w:pPr>
    </w:p>
    <w:p>
      <w:pPr>
        <w:jc w:val="both"/>
        <w:ind w:left="120" w:right="120" w:firstLine="881"/>
        <w:spacing w:after="0" w:line="281" w:lineRule="auto"/>
        <w:rPr>
          <w:sz w:val="20"/>
          <w:szCs w:val="20"/>
          <w:color w:val="auto"/>
        </w:rPr>
      </w:pPr>
      <w:r>
        <w:rPr>
          <w:rFonts w:ascii="Times New Roman" w:cs="Times New Roman" w:eastAsia="Times New Roman" w:hAnsi="Times New Roman"/>
          <w:sz w:val="17"/>
          <w:szCs w:val="17"/>
          <w:color w:val="auto"/>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164"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There can be no assurance that any country that has price controls or reimbursement limitations for pharmaceutical products will allow favorable reimbursement and pricing.</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in March 2010, the Affordable Care Act was passed, which substantially changed the way healthcare is financed by both the government and private insurers, and significantly impacts the U.S. pharmaceutical industry. The Affordable Care Act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Affordable Care Act made several changes to the Medicaid Drug Rebate Program, including increasing pharmaceutical manufacturers’ rebate liability by raising the minimum basic Medicaid rebate. The Affordable Care Act also expanded the universe of Medicaid utilization subject to drug rebates by requiring pharmaceutical manufacturers to pay rebates on Medicaid managed care utilization and by enlarging the population potentially eligible for Medicaid drug benefits. Effective April 1, 2022, Medicaid rebate liability will be expanded to include the territories of the United States as well.</w:t>
      </w:r>
    </w:p>
    <w:p>
      <w:pPr>
        <w:spacing w:after="0" w:line="192"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There have been judicial challenges to certain aspects of the Affordable Care Act, as well as efforts by Congress to repeal or replace, and by the Trump administration to alter the implementation of, certain aspects of the Affordable Care Act. For example, on December 22, 2017, President Trump signed into law new federal tax legislation commonly referred to as the Tax Cuts and Jobs Act (the Tax Act) which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federal district court in Texas ruled the individual mandate in the absence of the tax penalty is unconstitutional and, because it is a critical and inseverable feature of the Affordable Care Act, the remaining provisions of the Affordable Care Act are invalid as well. On December 18, 2019, the U.S. Court of Appeals for the Fifth Circuit affirmed the District Court’s ruling, but remanded the case back to the District Court as to the question of severability. On March 2, 2020, the United States Supreme Court granted certiorari to review this case, which is expected to be decided in mid-2021. Additionally, the Further Consolidated Appropriations Act of 2020, Pub. L. No. 116-94, permanently eliminated, effective January 1, 2020, the Affordable Care Act-mandated “Cadillac” tax on high-cost employer-sponsored health coverage and the medical device excise tax on non-exempt medical devices and, effective January 1, 2021, also eliminates the annual fee imposed on certain health insurance providers based on market share. Further, the Bipartisan Budget Act of 2018, among other things, amended the Affordable Care Act, effective January 1, 2019, to increase from 50 percent to 70 percent the point-of-sale discount that is owed by pharmaceutical manufacturers who participate in Medicare Part D and to close the coverage gap in most Medicare drug plans, commonly referred to as the “donut hole.”</w:t>
      </w:r>
    </w:p>
    <w:p>
      <w:pPr>
        <w:spacing w:after="0" w:line="196"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These changes included aggregate reductions to Medicare payments to providers of 2% per fiscal year, effective April 1, 2013, which, due to subsequent legislative amendments, will stay in effect through 2030 unless additional Congressional action is taken, with the exception of a temporary suspension of the 2% cut in Medicare payments from May 1, 2020 through December 31, 2020, pursuant to the CARES Act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00"/>
          </w:cols>
          <w:pgMar w:left="320" w:top="455" w:right="47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signed into law in March 2020 and designed to provide financial support and resources to individuals and businesses affected by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Other new laws may result in additional reductions in Medicare and other healthcare funding, which could have a material adverse effect on customers for our drugs, if approved, and accordingly, our financial operations.</w:t>
      </w:r>
    </w:p>
    <w:p>
      <w:pPr>
        <w:spacing w:after="0" w:line="183" w:lineRule="exact"/>
        <w:rPr>
          <w:sz w:val="20"/>
          <w:szCs w:val="20"/>
          <w:color w:val="auto"/>
        </w:rPr>
      </w:pPr>
    </w:p>
    <w:p>
      <w:pPr>
        <w:ind w:left="120" w:right="20" w:firstLine="881"/>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July 24, 2020, President Trump signed several executive orders directed toward lowering drug prices. On October 9, 2019, HHS, OIG and CMS issued two proposed rules that set forth modifications to the Federal Anti-Kickback Statute, Civil Monetary Penalties Law and Physician Self-Referral Law (or the Stark Law) regulations to promote value-based and coordinated care arrangements.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Moreover, the Medicare Prescription Drug, Improvement, and Modernization Act of 2003, or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payors often follow Medicare coverage policy and payment limitations in setting their own payment rates.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left="120" w:right="540" w:firstLine="881"/>
        <w:spacing w:after="0" w:line="282" w:lineRule="auto"/>
        <w:rPr>
          <w:sz w:val="20"/>
          <w:szCs w:val="20"/>
          <w:color w:val="auto"/>
        </w:rPr>
      </w:pPr>
      <w:r>
        <w:rPr>
          <w:rFonts w:ascii="Times New Roman" w:cs="Times New Roman" w:eastAsia="Times New Roman" w:hAnsi="Times New Roman"/>
          <w:sz w:val="18"/>
          <w:szCs w:val="18"/>
          <w:color w:val="auto"/>
        </w:rPr>
        <w:t>As of June 30, 2020, we had 12 employees, all of whom were full-time employees, and seven of whom were engaged in research and development activities. None of our employees are represented by a labor union or covered under a collective bargaining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left="120" w:right="260" w:firstLine="881"/>
        <w:spacing w:after="0" w:line="266" w:lineRule="auto"/>
        <w:rPr>
          <w:sz w:val="20"/>
          <w:szCs w:val="20"/>
          <w:color w:val="auto"/>
        </w:rPr>
      </w:pPr>
      <w:r>
        <w:rPr>
          <w:rFonts w:ascii="Times New Roman" w:cs="Times New Roman" w:eastAsia="Times New Roman" w:hAnsi="Times New Roman"/>
          <w:sz w:val="18"/>
          <w:szCs w:val="18"/>
          <w:color w:val="auto"/>
        </w:rPr>
        <w:t>We currently lease 10,879 square feet of office and laboratory space in Irvine, California under a lease that expires in February 2024. We believe that this space is sufficient to meet our needs for the foreseeable future and that any additional space we may require will be available on commercially reasonable terms.</w:t>
      </w:r>
    </w:p>
    <w:p>
      <w:pPr>
        <w:spacing w:after="0" w:line="176" w:lineRule="exact"/>
        <w:rPr>
          <w:sz w:val="20"/>
          <w:szCs w:val="20"/>
          <w:color w:val="auto"/>
        </w:rPr>
      </w:pPr>
    </w:p>
    <w:p>
      <w:pPr>
        <w:ind w:left="120" w:right="280" w:firstLine="881"/>
        <w:spacing w:after="0" w:line="282" w:lineRule="auto"/>
        <w:rPr>
          <w:sz w:val="20"/>
          <w:szCs w:val="20"/>
          <w:color w:val="auto"/>
        </w:rPr>
      </w:pPr>
      <w:r>
        <w:rPr>
          <w:rFonts w:ascii="Times New Roman" w:cs="Times New Roman" w:eastAsia="Times New Roman" w:hAnsi="Times New Roman"/>
          <w:sz w:val="18"/>
          <w:szCs w:val="18"/>
          <w:color w:val="auto"/>
        </w:rPr>
        <w:t>We also lease 3,290 square feet of office and laboratory space in Irvine, California under an existing lease that expires in April 2022. We plan to sublease this space.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and directors as of June 30, 2020:</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5"/>
                <w:szCs w:val="15"/>
                <w:color w:val="auto"/>
              </w:rPr>
            </w:pP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1"/>
        </w:trPr>
        <w:tc>
          <w:tcPr>
            <w:tcW w:w="3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Bobak Azamian, M.D., Ph.D.</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 M. Greenstein</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Seshadri Neervannan, Ph.D.</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Holdbrook</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Vice President, Clinical Affairs</w:t>
            </w:r>
          </w:p>
        </w:tc>
      </w:tr>
      <w:tr>
        <w:trPr>
          <w:trHeight w:val="30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Ackermann, Ph.D.</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Chairperson of the Board</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Bhaskar Chaudhuri, Ph.D.</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Goldberg, M.D.</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Tester</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J. Link, Ph.D.</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left="120" w:right="180" w:firstLine="88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Bobak Azamian, M.D., Ph.D.</w:t>
      </w:r>
      <w:r>
        <w:rPr>
          <w:rFonts w:ascii="Times New Roman" w:cs="Times New Roman" w:eastAsia="Times New Roman" w:hAnsi="Times New Roman"/>
          <w:sz w:val="18"/>
          <w:szCs w:val="18"/>
          <w:color w:val="auto"/>
        </w:rPr>
        <w:t>, is our co-founder and has served as our President since our inception, as our Chief Executive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2018 and as a member of our board of directors since December 2016. From June 2012 to September 2018, Dr. Azamian co-founded and served as Chief Executive Officer, President, and Chief Medical Officer of Metavention, Inc., a company focused on treatment of diabetes and other metabolic diseases. Since September 2016, Dr. Azamian has also served as co-founder, co-Chairman and Chief Executive Officer of Vibrato Medical, Inc., a medical device company developing wearable treatments for peripheral arterial disease. Dr. Azamian previously served as an Entrepreneur in Residence at Versant Ventures from 2011 to 2013, and as a consultant and Senior Associate at Third Rock Ventures from 2007 to 2011, both venture capital firms focused on investing in early stage healthcare companies, and earlier served as a consultant at Amgen. He also completed residency in internal medicine and served as an attending hospitalist at Brigham and Women’s Hospital from 2006 to 2011. Dr. Azamian received a B.A. in Biophysics from Rice University, a Doctor of Philosophy (Chemistry) from University of Oxford and a Doctor of Medicine from Harvard Medical School. We believe that Dr. Azamian is qualified to serve on our board of directors because of the perspective and experience he provides as our President and Chief Executive Officer as well as his broad experience within the life sciences industry.</w:t>
      </w:r>
    </w:p>
    <w:p>
      <w:pPr>
        <w:spacing w:after="0" w:line="182"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Leo M. Greenstein </w:t>
      </w:r>
      <w:r>
        <w:rPr>
          <w:rFonts w:ascii="Times New Roman" w:cs="Times New Roman" w:eastAsia="Times New Roman" w:hAnsi="Times New Roman"/>
          <w:sz w:val="18"/>
          <w:szCs w:val="18"/>
          <w:color w:val="auto"/>
        </w:rPr>
        <w:t>has served as our Chief Financial Officer since April 2020. Mr. Greenstein previously served as Senior Vice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and Corporate Controller at Spectrum Pharmaceuticals, Inc. (Nasdaq: SPPI), a publicly-traded oncology pharmaceutical company from September 2013 until April 2020. Prior to Spectrum Pharmaceuticals, Mr. Greenstein served as Vice President of Finance and Corporate Controller at Endologix, Inc. (Nasdaq: ELGX), a publicly-traded medical device company, from May 2011 to September 2013, and Senior Director of Finance and SEC Reporting at Clarient, Inc., a then publicly-traded advanced oncology diagnostics services company, from June 2007 to April 2011, inclusive of his finance role with its then-majority shareholder. Mr. Greenstein spent eight years in Big-4 Public Accounting, beginning with Arthur Andersen LLP in September 1999 and ending with PriceWaterhouseCoopers LLP in June 2007. Mr. Greenstein received a B.A. in Accounting from Arcadia University and Juris Doctorate from the Temple University Beasley School of Law. He is an active attorney and member of the State Bar of California and is an active Certified Public Accountant in California.</w:t>
      </w:r>
    </w:p>
    <w:p>
      <w:pPr>
        <w:spacing w:after="0" w:line="188" w:lineRule="exact"/>
        <w:rPr>
          <w:sz w:val="20"/>
          <w:szCs w:val="20"/>
          <w:color w:val="auto"/>
        </w:rPr>
      </w:pPr>
    </w:p>
    <w:p>
      <w:pPr>
        <w:ind w:left="120" w:right="120" w:firstLine="88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Seshadri Neervannan, Ph.D. </w:t>
      </w:r>
      <w:r>
        <w:rPr>
          <w:rFonts w:ascii="Times New Roman" w:cs="Times New Roman" w:eastAsia="Times New Roman" w:hAnsi="Times New Roman"/>
          <w:sz w:val="18"/>
          <w:szCs w:val="18"/>
          <w:color w:val="auto"/>
        </w:rPr>
        <w:t>has served as our Chief Operating Officer since July 2020. Dr. Neervannan previously served as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Global Pharmaceutical Development, from March</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2015 to July 2020 at Allergan Plc, and Vice President, Pharmaceutical Development, from January 2007 to February 2015 at Allergan Inc., a global pharmaceutical company. Prior to Allergan he was Director of Pharmaceutics R&amp;D, at Amgen Inc., a biotechnology company, from February 1999 to January 2007. From November 1994 to February 1999, Dr. Neervannan was Sr. Research Investigator at Bristol-Myers Squibb Pharmaceutical Research Institute. Dr. Neervannan received a B.S. in Pharmacy (with Honors) from Birla Institute of Technology &amp; Science, Pilani, India, and a Ph.D. (with Honors) in Pharmaceutical Chemistry from the University of Kansas, Lawrence, KS.</w:t>
      </w:r>
    </w:p>
    <w:p>
      <w:pPr>
        <w:spacing w:after="0" w:line="179" w:lineRule="exact"/>
        <w:rPr>
          <w:sz w:val="20"/>
          <w:szCs w:val="20"/>
          <w:color w:val="auto"/>
        </w:rPr>
      </w:pPr>
    </w:p>
    <w:p>
      <w:pPr>
        <w:ind w:left="120" w:firstLine="88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Holdbrook </w:t>
      </w:r>
      <w:r>
        <w:rPr>
          <w:rFonts w:ascii="Times New Roman" w:cs="Times New Roman" w:eastAsia="Times New Roman" w:hAnsi="Times New Roman"/>
          <w:sz w:val="18"/>
          <w:szCs w:val="18"/>
          <w:color w:val="auto"/>
        </w:rPr>
        <w:t>has served as our Vice President of Clinical Affairs since November 2018. Prior to this Mr. Holdbrook was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consultant from October 2017 to November 2018 and served as Senior/Executive Director for Oculeve/Allergan from May 2014 to October 2017. Mr. Holdbrook received a B.A. from the University of California at San Diego.</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5"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Ackermann, Ph.D. </w:t>
      </w:r>
      <w:r>
        <w:rPr>
          <w:rFonts w:ascii="Times New Roman" w:cs="Times New Roman" w:eastAsia="Times New Roman" w:hAnsi="Times New Roman"/>
          <w:sz w:val="18"/>
          <w:szCs w:val="18"/>
          <w:color w:val="auto"/>
        </w:rPr>
        <w:t>has served as a member of our board of directors and as chairperson of our board of directors since July 2017.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Ackermann has been the Chief Executive Officer of Presidio Medical, Inc. since September 2017 and chairman of the board of Oyster Point Pharma, Inc. (Nasdaq:OYST) since October 2017. Prior to that, he was Vice President, Neurostimulation for Allergan from August 2015 to June 2017 after serving as Chief Executive Officer of Oculeve, which was acquired by Allergan, from June 2012 to August 2015. Dr. Ackermann received a B.E. in biomedical engineering from Vanderbilt University and a M.S. and Ph.D. in biomedical engineering from Case Western Reserve University. We believe Dr. Ackermann is qualified to serve on our board of directors because of his substantial business and academic experience in the medical device and pharmaceutical development industries.</w:t>
      </w:r>
    </w:p>
    <w:p>
      <w:pPr>
        <w:spacing w:after="0" w:line="183"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Bhaskar Chaudhuri, Ph.D. </w:t>
      </w:r>
      <w:r>
        <w:rPr>
          <w:rFonts w:ascii="Times New Roman" w:cs="Times New Roman" w:eastAsia="Times New Roman" w:hAnsi="Times New Roman"/>
          <w:sz w:val="18"/>
          <w:szCs w:val="18"/>
          <w:color w:val="auto"/>
        </w:rPr>
        <w:t>has served as a member of our board of directors since December 2019. Dr. Chaudhuri has more than 20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pharmaceutical management, research and development. Since June 2011, he has been the Operating Partner at Frazier Healthcare Ventures. Prior to that time, Dr. Chaudhuri served as President of Valeant Pharmaceuticals International, Inc. from January 2009 to September 2010. Prior to joining Valeant, Dr. Chaudhuri served for seven years as President and Chief Executive Officer of Dow Pharmaceutical Sciences, Inc. and as a member of its board of directors from 2003 to 2008, at which time Dow was acquired by Valeant. Prior to that, Dr. Chaudhuri served as Executive Vice President of Scientific Affairs at Bertek Pharmaceuticals, Inc., a subsidiary of Mylan N.V., from 1998 to 2000. Prior to his positions at Bertek,</w:t>
      </w:r>
    </w:p>
    <w:p>
      <w:pPr>
        <w:spacing w:after="0" w:line="4" w:lineRule="exact"/>
        <w:rPr>
          <w:sz w:val="20"/>
          <w:szCs w:val="20"/>
          <w:color w:val="auto"/>
        </w:rPr>
      </w:pPr>
    </w:p>
    <w:p>
      <w:pPr>
        <w:ind w:left="120" w:right="20"/>
        <w:spacing w:after="0" w:line="265" w:lineRule="auto"/>
        <w:rPr>
          <w:sz w:val="20"/>
          <w:szCs w:val="20"/>
          <w:color w:val="auto"/>
        </w:rPr>
      </w:pPr>
      <w:r>
        <w:rPr>
          <w:rFonts w:ascii="Times New Roman" w:cs="Times New Roman" w:eastAsia="Times New Roman" w:hAnsi="Times New Roman"/>
          <w:sz w:val="17"/>
          <w:szCs w:val="17"/>
          <w:color w:val="auto"/>
        </w:rPr>
        <w:t>Dr. Chaudhuri served as the General Manager of the Dermatology Division of Mylan. Dr. Chaudhuri joined Mylan through the acquisition of Penederm, Inc., where he worked from 1992 to 1998 in a number of senior positions before becoming the Vice President of Research and Development.</w:t>
      </w: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Dr. Chaudhuri currently serves on the boards of directors of Arcutis Biotherapeutics, Inc., (Nasdaq: ARQT) since June 2016, Teligent Pharmaceuticals, Inc. (Nasdaq: TLGT) since November 2010 and Vyome Biosciences, Ltd. since June 2015. He also serves on the Advisory Board of the Berman Institute of John Hopkins University. Dr. Chaudhuri holds a Bachelor of Science degree in Pharmacy and an M.S. in Industrial Pharmacy from Jadavpur University and a Ph.D. in Pharmaceutics form the University of Louisiana. We believe Dr. Chaudhuri’s qualifications to serve on the Board of Directors include his many years of experience in the pharmaceutical industry, including his prior positions in senior executive roles at major pharmaceutical companies.</w:t>
      </w:r>
    </w:p>
    <w:p>
      <w:pPr>
        <w:spacing w:after="0" w:line="186" w:lineRule="exact"/>
        <w:rPr>
          <w:sz w:val="20"/>
          <w:szCs w:val="20"/>
          <w:color w:val="auto"/>
        </w:rPr>
      </w:pPr>
    </w:p>
    <w:p>
      <w:pPr>
        <w:ind w:left="120" w:right="460" w:firstLine="881"/>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Goldberg, M.D. </w:t>
      </w:r>
      <w:r>
        <w:rPr>
          <w:rFonts w:ascii="Times New Roman" w:cs="Times New Roman" w:eastAsia="Times New Roman" w:hAnsi="Times New Roman"/>
          <w:sz w:val="18"/>
          <w:szCs w:val="18"/>
          <w:color w:val="auto"/>
        </w:rPr>
        <w:t>has served as a member of our board of directors since August 2020. Since February 2016, Dr. Goldberg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 principal of Vivo Capital, a global healthcare investment firm that focuses exclusively on the life sciences industry. Prior to this,</w:t>
      </w:r>
    </w:p>
    <w:p>
      <w:pPr>
        <w:spacing w:after="0" w:line="1" w:lineRule="exact"/>
        <w:rPr>
          <w:sz w:val="20"/>
          <w:szCs w:val="20"/>
          <w:color w:val="auto"/>
        </w:rPr>
      </w:pPr>
    </w:p>
    <w:p>
      <w:pPr>
        <w:ind w:left="120" w:right="80"/>
        <w:spacing w:after="0" w:line="273" w:lineRule="auto"/>
        <w:rPr>
          <w:sz w:val="20"/>
          <w:szCs w:val="20"/>
          <w:color w:val="auto"/>
        </w:rPr>
      </w:pPr>
      <w:r>
        <w:rPr>
          <w:rFonts w:ascii="Times New Roman" w:cs="Times New Roman" w:eastAsia="Times New Roman" w:hAnsi="Times New Roman"/>
          <w:sz w:val="17"/>
          <w:szCs w:val="17"/>
          <w:color w:val="auto"/>
        </w:rPr>
        <w:t>Dr. Goldberg was a consultant at McKinsey &amp; Company from September 2014 to February 2016, where he served pharmaceutical, medical device, and biotechnology companies across a range of strategy, M&amp;A, sales, marketing, and product development topics. Dr. Goldberg is a U.S. board-certified physician in both Critical Care Medicine and Emergency Medicine. He recently served as an Instructor in Medicine at the Mayo Clinic College of Medicine in Rochester, MN, from January 2013 to June 2013, where he also completed a fellowship in Critical Care Medicine and served as an</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Attending Physician in the Department of Emergency Medicine. Prior to this, he completed Emergency Medicine residency training at Los Angeles County + University of Southern California Medical Center (LAC+USC). His research has spanned a variety of topics, from traumatic brain injury and cardiac arrest to biomarker analysis and healthcare quality. He has over 25 scientific publications in leading peer-reviewed journals, including JAMA, Resuscitation, and the Cleveland Clinic Journal of Medicine. Dr. Goldberg received his M.D. from The George Washington University School of Medicine in Washington, DC, and a post-doctoral diploma in translational science from the Mayo Graduate School. He has held prior academic and clinical appointments at Oregon Health &amp; Science University and the University of Arizona and currently at the Washington Township Medical Foundation. We believe Dr. Goldberg’s qualifications to serve on the Board of Directors include his many years of experience in strategy and product development in the pharmaceutical industry, and his experience investing in pharmaceutical companies.</w:t>
      </w:r>
    </w:p>
    <w:p>
      <w:pPr>
        <w:spacing w:after="0" w:line="188"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J. Link, Ph.D. </w:t>
      </w:r>
      <w:r>
        <w:rPr>
          <w:rFonts w:ascii="Times New Roman" w:cs="Times New Roman" w:eastAsia="Times New Roman" w:hAnsi="Times New Roman"/>
          <w:sz w:val="18"/>
          <w:szCs w:val="18"/>
          <w:color w:val="auto"/>
        </w:rPr>
        <w:t>has served as a member of our board of directors since January 2017. Dr. Link is a managing director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co-founder of both Flying L Partners, a venture capital firm formed in 2016 to focus on investing primarily in the ophthalmic space, and Versant Venture Management LLC, a life science venture capital firm investing in early stage healthcare companies. Prior to co-founding Versant in 1999, Dr. Link was a general partner at Brentwood Venture Capital. From 1987 to 1997, Dr. Link was founder, chairman, and Chief Executive Officer of Chiron Vision Corporation (acquired by Bausch &amp; Lomb). He also founded and served as President of American Medical Optics (acquired by Allergan). Dr. Link served as a director of Advanced Medical Optics (acquired by Abbott) from 2002 to 2009 and Inogen from 2003 to February 2014. Before entering the healthcare industry, Dr. Link was an assistant professor in the Department of Surgery at the Indiana University School of Medicine. He has been a member of the board of directors of Edwards Lifesciences Corporation (NYSE:EW) since May 2009, Second Sight Medical Products (Nasdaq:EYES) from 2003 to May 31, 2020, Glaukos Corporation (NYSE:GKOS) since 2001, and Oyster Point Pharma (Nasdaq: OYST) since July 2015. Dr. Link holds a B.S., an M.S., and a Ph.D. in mechanical engineering from Purdue University. We believe Dr. Link is qualified to serve on our board of directors because of his extensive experience in successfully commercializing products in the medical device industry, as well as his prior experience on the boards of U.S. public companies.</w:t>
      </w:r>
    </w:p>
    <w:p>
      <w:pPr>
        <w:spacing w:after="0" w:line="190" w:lineRule="exact"/>
        <w:rPr>
          <w:sz w:val="20"/>
          <w:szCs w:val="20"/>
          <w:color w:val="auto"/>
        </w:rPr>
      </w:pPr>
    </w:p>
    <w:p>
      <w:pPr>
        <w:ind w:left="120" w:right="20" w:firstLine="88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Jason Tester </w:t>
      </w:r>
      <w:r>
        <w:rPr>
          <w:rFonts w:ascii="Times New Roman" w:cs="Times New Roman" w:eastAsia="Times New Roman" w:hAnsi="Times New Roman"/>
          <w:sz w:val="18"/>
          <w:szCs w:val="18"/>
          <w:color w:val="auto"/>
        </w:rPr>
        <w:t>has served as a member of our board of directors since March 2018. Since September 2017 Mr. Tester has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the Horowitz Group. From September 2008 to August 2017 Mr. Tester was Chief Financial Officer of AcuFocus, an ophthalmic medical device company. From July 2007 to May 2008, Mr. Tester was Vice President of Jefferies &amp; Company, a healthcare investment bank. Mr. Tester holds an MBA in finance from the Emory University Goizueta Business School, a Master of Accountancy with a specialization in taxation and a Bachelor of Business Administration from the University of Georgia. We believe that Mr. Tester is qualified to serve on our board of directors because of his financial and accounting expertise and his experience in the life science industry.</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authorized to have six members and currently consists of six members, who were elected pursuant to the amended and restated voting agreement that we entered into with certain holders of our common stock and certain holders of our preferred stock and the related provisions of our amended and restated certificate of incorporation.</w:t>
      </w:r>
    </w:p>
    <w:p>
      <w:pPr>
        <w:spacing w:after="0" w:line="176"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The provisions of this voting agreement will terminate upon the completion of this offering, after which there will be no further contractual obligations regarding the election of our directors. Our directors hold office until their successors have been elected and qualified or appointed, or the earlier of their death, resignation or removal.</w:t>
      </w:r>
    </w:p>
    <w:p>
      <w:pPr>
        <w:spacing w:after="0" w:line="176"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In accordance with the terms of our amended and restated certificate of incorporation and amended and restated bylaws that will be in effect upon the completion of this offering, our board of directors will be divided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20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Class I directors will be</w:t>
            </w: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w:t>
            </w:r>
          </w:p>
        </w:tc>
        <w:tc>
          <w:tcPr>
            <w:tcW w:w="5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and their terms will expire at the annual meeting of stockholders to be</w:t>
            </w:r>
          </w:p>
        </w:tc>
      </w:tr>
      <w:tr>
        <w:trPr>
          <w:trHeight w:val="234"/>
        </w:trPr>
        <w:tc>
          <w:tcPr>
            <w:tcW w:w="200" w:type="dxa"/>
            <w:vAlign w:val="bottom"/>
          </w:tcPr>
          <w:p>
            <w:pPr>
              <w:spacing w:after="0"/>
              <w:rPr>
                <w:sz w:val="20"/>
                <w:szCs w:val="20"/>
                <w:color w:val="auto"/>
              </w:rPr>
            </w:pP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held in 2021;</w:t>
            </w: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41"/>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Class II directors will be</w:t>
            </w: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w:t>
            </w:r>
          </w:p>
        </w:tc>
        <w:tc>
          <w:tcPr>
            <w:tcW w:w="5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their terms will expire at the annual meeting of stockholders to</w:t>
            </w:r>
          </w:p>
        </w:tc>
      </w:tr>
      <w:tr>
        <w:trPr>
          <w:trHeight w:val="234"/>
        </w:trPr>
        <w:tc>
          <w:tcPr>
            <w:tcW w:w="200" w:type="dxa"/>
            <w:vAlign w:val="bottom"/>
          </w:tcPr>
          <w:p>
            <w:pPr>
              <w:spacing w:after="0"/>
              <w:rPr>
                <w:sz w:val="20"/>
                <w:szCs w:val="20"/>
                <w:color w:val="auto"/>
              </w:rPr>
            </w:pP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 held in 2022; and</w:t>
            </w: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41"/>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Class III directors will be</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w:t>
            </w:r>
          </w:p>
        </w:tc>
        <w:tc>
          <w:tcPr>
            <w:tcW w:w="53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and their terms will expire at the annual meeting of stockholders to</w:t>
            </w:r>
          </w:p>
        </w:tc>
      </w:tr>
      <w:tr>
        <w:trPr>
          <w:trHeight w:val="234"/>
        </w:trPr>
        <w:tc>
          <w:tcPr>
            <w:tcW w:w="200" w:type="dxa"/>
            <w:vAlign w:val="bottom"/>
          </w:tcPr>
          <w:p>
            <w:pPr>
              <w:spacing w:after="0"/>
              <w:rPr>
                <w:sz w:val="20"/>
                <w:szCs w:val="20"/>
                <w:color w:val="auto"/>
              </w:rPr>
            </w:pP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 held in 2023.</w:t>
            </w: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80" w:type="dxa"/>
            <w:vAlign w:val="bottom"/>
          </w:tcPr>
          <w:p>
            <w:pPr>
              <w:spacing w:after="0"/>
              <w:rPr>
                <w:sz w:val="20"/>
                <w:szCs w:val="20"/>
                <w:color w:val="auto"/>
              </w:rPr>
            </w:pPr>
          </w:p>
        </w:tc>
      </w:tr>
    </w:tbl>
    <w:p>
      <w:pPr>
        <w:spacing w:after="0" w:line="198"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w:t>
      </w:r>
    </w:p>
    <w:p>
      <w:pPr>
        <w:spacing w:after="0" w:line="180"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that will be in effect upon the completion of this offering provide that only our board of directors can fill vacant directorships, including newly-created seats. Any additional directorships resulting from an increase in the authorized number of directors would be distributed pro rata among the three classes so that, as nearly as possible, each class would consist of one-third of the authorized number of directors.</w:t>
      </w:r>
    </w:p>
    <w:p>
      <w:pPr>
        <w:spacing w:after="0" w:line="180" w:lineRule="exact"/>
        <w:rPr>
          <w:sz w:val="20"/>
          <w:szCs w:val="20"/>
          <w:color w:val="auto"/>
        </w:rPr>
      </w:pPr>
    </w:p>
    <w:p>
      <w:pPr>
        <w:ind w:left="120" w:right="300" w:firstLine="881"/>
        <w:spacing w:after="0" w:line="266" w:lineRule="auto"/>
        <w:rPr>
          <w:sz w:val="20"/>
          <w:szCs w:val="20"/>
          <w:color w:val="auto"/>
        </w:rPr>
      </w:pPr>
      <w:r>
        <w:rPr>
          <w:rFonts w:ascii="Times New Roman" w:cs="Times New Roman" w:eastAsia="Times New Roman" w:hAnsi="Times New Roman"/>
          <w:sz w:val="18"/>
          <w:szCs w:val="18"/>
          <w:color w:val="auto"/>
        </w:rPr>
        <w:t>The classification of our board of directors may have the effect of delaying or preventing changes in our control or management. See the section titled “Description of Capital Stock — Anti-Takeover Provisions — Certificate of Incorporation and Bylaw Provisions” elsewhere in this prospectus.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Upon the completion of this offering, we anticipate that our common stock will be listed on Nasdaq. Under the rules of Nasdaq, independent directors must comprise a majority of a listed company’s board of directors within one year of the completion of this offering. In addition, the rules of Nasdaq require that, subject to specified exceptions, each member of a listed company’s audit, compensation and nominating and corporate governance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9"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0"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62" w:lineRule="exact"/>
        <w:rPr>
          <w:sz w:val="20"/>
          <w:szCs w:val="20"/>
          <w:color w:val="auto"/>
        </w:rPr>
      </w:pPr>
    </w:p>
    <w:p>
      <w:pPr>
        <w:ind w:left="120" w:right="140" w:firstLine="881"/>
        <w:spacing w:after="0" w:line="272" w:lineRule="auto"/>
        <w:rPr>
          <w:sz w:val="20"/>
          <w:szCs w:val="20"/>
          <w:color w:val="auto"/>
        </w:rPr>
      </w:pPr>
      <w:r>
        <w:rPr>
          <w:rFonts w:ascii="Times New Roman" w:cs="Times New Roman" w:eastAsia="Times New Roman" w:hAnsi="Times New Roman"/>
          <w:sz w:val="17"/>
          <w:szCs w:val="17"/>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w:t>
      </w:r>
    </w:p>
    <w:p>
      <w:pPr>
        <w:spacing w:after="0" w:line="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and affiliations, including family relationships, our board of directors has determined that , representing of our directors, do not have a relationship that would interfere with the exercise of independent judgment in carrying out the responsibilities of a director and that each of these directors is “independent” as that term is defined under the rules of Nasdaq, including in the case of all the members of our audit committee, the independence criteria set forth in Rule 10A-3 under the Exchange Act, and in the case of all the members of our compensation committee, the independence criteria set forth in Rule 10C-1 under the Exchange Act.</w:t>
      </w:r>
    </w:p>
    <w:p>
      <w:pPr>
        <w:spacing w:after="0" w:line="187" w:lineRule="exact"/>
        <w:rPr>
          <w:sz w:val="20"/>
          <w:szCs w:val="20"/>
          <w:color w:val="auto"/>
        </w:rPr>
      </w:pPr>
    </w:p>
    <w:p>
      <w:pPr>
        <w:ind w:left="120" w:right="200" w:firstLine="881"/>
        <w:spacing w:after="0" w:line="258"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his or her independence, including the beneficial ownership of our capital stock by each non-employee director, and the transactions involving them described in the section titled “Certain Relationships and Related Party Transactions” elsewhere in this prospectus. There are no family relationships among any of our directors or executive officers.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Our board of directors is currently chaired by Dr. Ackermann. As a general policy, our board of directors believes that separation of the positions of chairperson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Azamian serves as our President and Chief Executive Officer while Dr. Ackermann serves as the chairperson of our board of directors but is not an officer of the Company. We currently expect and intend the positions of chairperson of our board of directors and Chief Executive Officer to continue to be held by two individuals in the future.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Our board of directors will also administer its oversight through various standing committees, which will be constituted prior to the completion of this offering, that address risks inherent in their respective areas of oversight. For example, our audit committee will be responsible for overseeing the management of risks associated with our financial reporting, accounting and auditing matters; our compensation committee will oversee the management of risks associated with our compensation policies and programs; and our nominating and corporate governance committee will oversee the management of risks associated with director independence, conflicts of interest, composition and organization of our board of directors and director succession planning.</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Our board of directors will establish an audit committee, a compensation committee and a nominating and corporate governance committee prior to the completion of this offering. Our board of directors may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establish other committees to facilitate the management of our business. Our board of directors and its committees will set schedules for meeting throughout the year and can also hold special meetings and act by written consent from time to time, as appropriate. Our board of directors expects to delegate various responsibilities and authority to committees as generally described below. The committees will regularly report on their activities and actions to the full board of directors. Each member of each committee of our board of directors will qualify as an independent director in accordance with the listing standards of Nasdaq. Each committee of our board of directors will have a written charter approved by our board of directors. Upon the completion of this offering, copies of each charter will be posted on our website at www.tarsusrx.com under the Investor Relations section. The inclusion of our website address in this prospectus does not include or incorporate by reference the information on our website into this prospectus. Members will serve on these committees until their resignation or until otherwise determined by our board of directors.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1000"/>
        <w:spacing w:after="0"/>
        <w:tabs>
          <w:tab w:leader="none" w:pos="4680" w:val="left"/>
          <w:tab w:leader="none" w:pos="5540" w:val="left"/>
          <w:tab w:leader="none" w:pos="6560" w:val="left"/>
        </w:tabs>
        <w:rPr>
          <w:sz w:val="20"/>
          <w:szCs w:val="20"/>
          <w:color w:val="auto"/>
        </w:rPr>
      </w:pPr>
      <w:r>
        <w:rPr>
          <w:rFonts w:ascii="Times New Roman" w:cs="Times New Roman" w:eastAsia="Times New Roman" w:hAnsi="Times New Roman"/>
          <w:sz w:val="18"/>
          <w:szCs w:val="18"/>
          <w:color w:val="auto"/>
        </w:rPr>
        <w:t>The members of our audit committee are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 each of whom can read and understand fundamental financial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Each member of our audit committee is independent under the rules and regulations of the SEC and the listing standards of</w:t>
      </w:r>
    </w:p>
    <w:p>
      <w:pPr>
        <w:spacing w:after="0" w:line="9" w:lineRule="exact"/>
        <w:rPr>
          <w:sz w:val="20"/>
          <w:szCs w:val="20"/>
          <w:color w:val="auto"/>
        </w:rPr>
      </w:pPr>
    </w:p>
    <w:p>
      <w:pPr>
        <w:ind w:left="120"/>
        <w:spacing w:after="0"/>
        <w:tabs>
          <w:tab w:leader="none" w:pos="3780" w:val="left"/>
          <w:tab w:leader="none" w:pos="10780" w:val="left"/>
        </w:tabs>
        <w:rPr>
          <w:sz w:val="20"/>
          <w:szCs w:val="20"/>
          <w:color w:val="auto"/>
        </w:rPr>
      </w:pPr>
      <w:r>
        <w:rPr>
          <w:rFonts w:ascii="Times New Roman" w:cs="Times New Roman" w:eastAsia="Times New Roman" w:hAnsi="Times New Roman"/>
          <w:sz w:val="18"/>
          <w:szCs w:val="18"/>
          <w:color w:val="auto"/>
        </w:rPr>
        <w:t>applicable to audit committee members.</w:t>
      </w:r>
      <w:r>
        <w:rPr>
          <w:sz w:val="20"/>
          <w:szCs w:val="20"/>
          <w:color w:val="auto"/>
        </w:rPr>
        <w:tab/>
      </w:r>
      <w:r>
        <w:rPr>
          <w:rFonts w:ascii="Times New Roman" w:cs="Times New Roman" w:eastAsia="Times New Roman" w:hAnsi="Times New Roman"/>
          <w:sz w:val="18"/>
          <w:szCs w:val="18"/>
          <w:color w:val="auto"/>
        </w:rPr>
        <w:t>is the chair of the audit committee. Our board of directors has determined that each of</w:t>
      </w:r>
      <w:r>
        <w:rPr>
          <w:sz w:val="20"/>
          <w:szCs w:val="20"/>
          <w:color w:val="auto"/>
        </w:rPr>
        <w:tab/>
      </w: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qualify as an audit committee financial expert within the meaning of SEC regulations and meet the financial sophistication requirements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Nasdaq.</w:t>
      </w:r>
    </w:p>
    <w:p>
      <w:pPr>
        <w:spacing w:after="0" w:line="20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Our audit committee will assist our board of directors with its oversight of the integrity of our financial statements; our compliance with legal and regulatory requirements; the qualifications, independence and performance of the independent registered public accounting firm; the design and implementation of our risk assessment and risk management. Among other things, our audit committee is responsible for reviewing and discussing with our management the adequacy and effectiveness of our disclosure controls and procedures. The audit committee also will discuss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certain aspects of our financial affairs. Our audit committee is responsible for establishing and overseeing procedures for the receipt, retention and treatment of any complaints regarding accounting, internal accounting controls or auditing matters, as well as for the confidential and anonymous submissions by our employees of concerns regarding questionable accounting or auditing matters. In addition, our audit committee has direct responsibility for the appointment, compensation, retention and oversight of the work of our independent registered public accounting firm. Our audit committee has sole authority to approve the hiring and discharging of our independent registered public accounting firm, all audit engagement terms and fees and all permissible non-audit engagements with the independent auditor. Our audit committee will review and oversee all related person transactions in accordance with our policies and procedures.</w:t>
      </w:r>
    </w:p>
    <w:p>
      <w:pPr>
        <w:spacing w:after="0" w:line="187" w:lineRule="exact"/>
        <w:rPr>
          <w:sz w:val="20"/>
          <w:szCs w:val="20"/>
          <w:color w:val="auto"/>
        </w:rPr>
      </w:pPr>
    </w:p>
    <w:p>
      <w:pPr>
        <w:jc w:val="both"/>
        <w:ind w:left="120" w:right="140" w:firstLine="881"/>
        <w:spacing w:after="0" w:line="312" w:lineRule="auto"/>
        <w:rPr>
          <w:sz w:val="20"/>
          <w:szCs w:val="20"/>
          <w:color w:val="auto"/>
        </w:rPr>
      </w:pPr>
      <w:r>
        <w:rPr>
          <w:rFonts w:ascii="Times New Roman" w:cs="Times New Roman" w:eastAsia="Times New Roman" w:hAnsi="Times New Roman"/>
          <w:sz w:val="17"/>
          <w:szCs w:val="17"/>
          <w:color w:val="auto"/>
        </w:rPr>
        <w:t>Our audit committee operates under a written charter that satisfies the applicable rules of the SEC and the listing standards of Nasdaq. We believe that the composition of our audit committee will meet the requirements for independence under current Nasdaq and SEC rules and regulations.</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120" w:firstLine="881"/>
        <w:spacing w:after="0" w:line="257" w:lineRule="auto"/>
        <w:rPr>
          <w:sz w:val="20"/>
          <w:szCs w:val="20"/>
          <w:color w:val="auto"/>
        </w:rPr>
      </w:pPr>
      <w:r>
        <w:rPr>
          <w:rFonts w:ascii="Times New Roman" w:cs="Times New Roman" w:eastAsia="Times New Roman" w:hAnsi="Times New Roman"/>
          <w:sz w:val="18"/>
          <w:szCs w:val="18"/>
          <w:color w:val="auto"/>
        </w:rPr>
        <w:t>The members of our compensation committee are , and . is the chair of the compensation committee. Each member of our compensation committee is independent under the rules and regulations of the SEC and the listing standards of Nasdaq applicable to compensation committee members. Our compensation committee will assist our board of directors with its oversight of the forms and amount of compensation for our executive officers (including officers reporting under Section 16 of the Exchange Act ), the administration of our equity and non-equity incentive plans for employees and other service providers and certain other matters related to our compensation programs. Our compensation committee, among</w:t>
      </w:r>
    </w:p>
    <w:p>
      <w:pPr>
        <w:spacing w:after="0" w:line="3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other responsibilities, evaluates the performance of our chief executive officer and, in consultation with him, evaluates the performance of our other executive officers (including officers reporting under Section 16 of the Exchange Act ).</w:t>
      </w:r>
    </w:p>
    <w:p>
      <w:pPr>
        <w:spacing w:after="0" w:line="162" w:lineRule="exact"/>
        <w:rPr>
          <w:sz w:val="20"/>
          <w:szCs w:val="20"/>
          <w:color w:val="auto"/>
        </w:rPr>
      </w:pPr>
    </w:p>
    <w:p>
      <w:pPr>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rules of the SEC and the listing standards of Nasdaq. We believe that the composition of our compensation committee will meet the requirements for independence under current Nasdaq and SEC rules and regulations.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left="120" w:right="440" w:firstLine="881"/>
        <w:spacing w:after="0" w:line="261"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 and . Each member of our nominating and governance committee is independent under the rules and regulations of the SEC and the listing standards of Nasdaq, applicable to</w:t>
      </w:r>
    </w:p>
    <w:p>
      <w:pPr>
        <w:ind w:left="120"/>
        <w:spacing w:after="0" w:line="253" w:lineRule="auto"/>
        <w:rPr>
          <w:sz w:val="20"/>
          <w:szCs w:val="20"/>
          <w:color w:val="auto"/>
        </w:rPr>
      </w:pPr>
      <w:r>
        <w:rPr>
          <w:rFonts w:ascii="Times New Roman" w:cs="Times New Roman" w:eastAsia="Times New Roman" w:hAnsi="Times New Roman"/>
          <w:sz w:val="18"/>
          <w:szCs w:val="18"/>
          <w:color w:val="auto"/>
        </w:rPr>
        <w:t>nominating and governance committee members. is the chair of the nominating and corporate governance committee. Our nominating and corporate governance committee will assist our board of directors with its oversight of and identification of individuals qualified to become members of our board of directors, consistent with criteria approved by our board of directors, and selects, or recommends that our board of directors selects, director nominees; develops and recommends to our board of directors a set of corporate governance guidelines and oversees the evaluation of our board of directors.</w:t>
      </w:r>
    </w:p>
    <w:p>
      <w:pPr>
        <w:spacing w:after="0" w:line="187"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applicable rules of the SEC and the listing standards of Nasdaq. We believe that the composition of our nominating and corporate governance committee will meet the requirements for independence under current Nasdaq and SEC rules and regulations.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Our board of directors will adopt a Code of Conduct, or the Conduct Code) prior to the completion of this offering. The Conduct Code will apply to all of our employees, officers, directors, contractors, consultants, suppliers and agents. Upon the completion of this offering, the full text of the Conduct Code will be posted on our website at www.tarsusrx.com under the Investor Relations section. We intend to disclose future amendments to, or waivers of, the Conduct Code, as and to the extent required by SEC regulations, at the same location on our website identified above or in public filings. Information contained on our website is not incorporated by reference into this prospectus, and you should not consider information contained on our website to be part of this prospectus or in deciding whether to purchase shares of our common stock. We have included our website address in this prospectus solely as an inactive textual reference.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120" w:right="100" w:firstLine="881"/>
        <w:spacing w:after="0" w:line="281" w:lineRule="auto"/>
        <w:rPr>
          <w:sz w:val="20"/>
          <w:szCs w:val="20"/>
          <w:color w:val="auto"/>
        </w:rPr>
      </w:pPr>
      <w:r>
        <w:rPr>
          <w:rFonts w:ascii="Times New Roman" w:cs="Times New Roman" w:eastAsia="Times New Roman" w:hAnsi="Times New Roman"/>
          <w:sz w:val="17"/>
          <w:szCs w:val="17"/>
          <w:color w:val="auto"/>
        </w:rPr>
        <w:t>Prior to this offering, we have not implemented a formal policy with respect to compensation payable to our non-employee directors. Other than as set forth in the table and described more fully below, we did not pay any compensation, including equity awards, to any of our non-employee directors in 2019. We also reimburse our directors for expenses associated with attending meetings of our board of directors and its committees. Following the completion of this offering, we expect to implement an annual cash and equity compensation program for our non-employee directors.</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compensation that we paid to Michael Ackermann, our only non-employee director who received compensation during the year ended December 31, 2019.</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2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00" w:type="dxa"/>
            <w:vAlign w:val="bottom"/>
            <w:gridSpan w:val="2"/>
            <w:vMerge w:val="restart"/>
          </w:tcPr>
          <w:p>
            <w:pPr>
              <w:spacing w:after="0"/>
              <w:rPr>
                <w:sz w:val="12"/>
                <w:szCs w:val="12"/>
                <w:color w:val="auto"/>
              </w:rPr>
            </w:pPr>
          </w:p>
        </w:tc>
        <w:tc>
          <w:tcPr>
            <w:tcW w:w="220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6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tcBorders>
              <w:bottom w:val="single" w:sz="8" w:color="auto"/>
            </w:tcBorders>
            <w:vMerge w:val="continue"/>
          </w:tcPr>
          <w:p>
            <w:pPr>
              <w:spacing w:after="0"/>
              <w:rPr>
                <w:sz w:val="15"/>
                <w:szCs w:val="15"/>
                <w:color w:val="auto"/>
              </w:rPr>
            </w:pPr>
          </w:p>
        </w:tc>
        <w:tc>
          <w:tcPr>
            <w:tcW w:w="3300" w:type="dxa"/>
            <w:vAlign w:val="bottom"/>
            <w:gridSpan w:val="2"/>
            <w:vMerge w:val="continue"/>
          </w:tcPr>
          <w:p>
            <w:pPr>
              <w:spacing w:after="0"/>
              <w:rPr>
                <w:sz w:val="15"/>
                <w:szCs w:val="15"/>
                <w:color w:val="auto"/>
              </w:rPr>
            </w:pPr>
          </w:p>
        </w:tc>
        <w:tc>
          <w:tcPr>
            <w:tcW w:w="22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w:t>
            </w:r>
          </w:p>
        </w:tc>
        <w:tc>
          <w:tcPr>
            <w:tcW w:w="6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Ackermann</w:t>
            </w:r>
          </w:p>
        </w:tc>
        <w:tc>
          <w:tcPr>
            <w:tcW w:w="3600" w:type="dxa"/>
            <w:vAlign w:val="bottom"/>
            <w:gridSpan w:val="3"/>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rPr>
              <w:t>$ 100,000</w:t>
            </w: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0" w:firstLine="881"/>
        <w:spacing w:after="0" w:line="282" w:lineRule="auto"/>
        <w:rPr>
          <w:sz w:val="20"/>
          <w:szCs w:val="20"/>
          <w:color w:val="auto"/>
        </w:rPr>
      </w:pPr>
      <w:r>
        <w:rPr>
          <w:rFonts w:ascii="Times New Roman" w:cs="Times New Roman" w:eastAsia="Times New Roman" w:hAnsi="Times New Roman"/>
          <w:sz w:val="18"/>
          <w:szCs w:val="18"/>
          <w:color w:val="auto"/>
        </w:rPr>
        <w:t>Directors who are also our employees or officers receive no additional compensation for their service as directors. See the section titled “Executive Compensation” elsewhere in this prospectus for additional information about the compensation of our employee directors.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120" w:right="100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for the fiscal year ended December 31, 2019.</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80" w:type="dxa"/>
            <w:vAlign w:val="bottom"/>
            <w:vMerge w:val="restart"/>
          </w:tcPr>
          <w:p>
            <w:pPr>
              <w:spacing w:after="0"/>
              <w:rPr>
                <w:sz w:val="12"/>
                <w:szCs w:val="12"/>
                <w:color w:val="auto"/>
              </w:rPr>
            </w:pPr>
          </w:p>
        </w:tc>
        <w:tc>
          <w:tcPr>
            <w:tcW w:w="11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00" w:type="dxa"/>
            <w:vAlign w:val="bottom"/>
          </w:tcPr>
          <w:p>
            <w:pPr>
              <w:spacing w:after="0"/>
              <w:rPr>
                <w:sz w:val="15"/>
                <w:szCs w:val="15"/>
                <w:color w:val="auto"/>
              </w:rPr>
            </w:pPr>
          </w:p>
        </w:tc>
        <w:tc>
          <w:tcPr>
            <w:tcW w:w="8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Bobak Azamian, MD, PhD</w:t>
            </w:r>
          </w:p>
        </w:tc>
        <w:tc>
          <w:tcPr>
            <w:tcW w:w="11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2019</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116,137</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12,240</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312,240</w:t>
            </w:r>
          </w:p>
        </w:tc>
        <w:tc>
          <w:tcPr>
            <w:tcW w:w="0" w:type="dxa"/>
            <w:vAlign w:val="bottom"/>
          </w:tcPr>
          <w:p>
            <w:pPr>
              <w:spacing w:after="0"/>
              <w:rPr>
                <w:sz w:val="1"/>
                <w:szCs w:val="1"/>
                <w:color w:val="auto"/>
              </w:rPr>
            </w:pPr>
          </w:p>
        </w:tc>
      </w:tr>
      <w:tr>
        <w:trPr>
          <w:trHeight w:val="236"/>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Holdbrook</w:t>
            </w:r>
          </w:p>
        </w:tc>
        <w:tc>
          <w:tcPr>
            <w:tcW w:w="11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2019</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58,219</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12,240</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262,240</w:t>
            </w:r>
          </w:p>
        </w:tc>
        <w:tc>
          <w:tcPr>
            <w:tcW w:w="0" w:type="dxa"/>
            <w:vAlign w:val="bottom"/>
          </w:tcPr>
          <w:p>
            <w:pPr>
              <w:spacing w:after="0"/>
              <w:rPr>
                <w:sz w:val="1"/>
                <w:szCs w:val="1"/>
                <w:color w:val="auto"/>
              </w:rPr>
            </w:pPr>
          </w:p>
        </w:tc>
      </w:tr>
      <w:tr>
        <w:trPr>
          <w:trHeight w:val="236"/>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Vice President, Clinical Affairs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7715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6" w:lineRule="exact"/>
        <w:rPr>
          <w:sz w:val="20"/>
          <w:szCs w:val="20"/>
          <w:color w:val="auto"/>
        </w:rPr>
      </w:pPr>
    </w:p>
    <w:p>
      <w:pPr>
        <w:ind w:left="540" w:hanging="424"/>
        <w:spacing w:after="0"/>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Leo Greenstein and Sesha Neervannan were not executive officers prior to 2020 and, accordingly, compensation for prior years has not been included.</w:t>
      </w:r>
    </w:p>
    <w:p>
      <w:pPr>
        <w:spacing w:after="0" w:line="3"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performance award earned with respect to prior fiscal year but paid in fiscal year 2020.</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Explanation of Compensation Arrangements with our Named Executive Officers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Salaries and Annual Incentive Opportunities</w:t>
      </w:r>
    </w:p>
    <w:p>
      <w:pPr>
        <w:spacing w:after="0" w:line="227"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The base salaries of all of our named executive officers are reviewed from time to time and adjusted when our board of directors or compensation committee determines an adjustment is appropriate. For our 2019 fiscal year, the base salary was $300,000 for Dr. Azamian and $250,000 for Mr. Holdbrook.</w:t>
      </w:r>
    </w:p>
    <w:p>
      <w:pPr>
        <w:spacing w:after="0" w:line="176"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Each of our named executive officers is eligible to earn an incentive bonus for each of our fiscal years, with such bonus awarded based on individual performance goals, as well as corporate goals related to our product development and advancement of clinical studies established by our chief executive officer and approved by our board of directors. During our fiscal year ended December 31, 2019, our named executive officers were eligible to earn cash incentive bonuses based on a combination of corporate and individual goals. We require that participants continue to be employed through the payment date to receive a bonus. For our 2019 fiscal year, the target bonus rate (as a percentage of base salary) was 30% for Dr. Azamian and 20% for Mr. Holdbrook.</w:t>
      </w:r>
    </w:p>
    <w:p>
      <w:pPr>
        <w:spacing w:after="0" w:line="187"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Pursuant to his letter agreement with us, Dr. Azamian is eligible to receive certain acceleration benefits in the event of our change in control, as described in the footnotes to the “Outstanding Equity Awards at 2019 Fiscal Year-End” table.</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27" w:lineRule="exact"/>
        <w:rPr>
          <w:sz w:val="20"/>
          <w:szCs w:val="20"/>
          <w:color w:val="auto"/>
        </w:rPr>
      </w:pPr>
    </w:p>
    <w:p>
      <w:pPr>
        <w:ind w:left="120" w:right="140" w:firstLine="881"/>
        <w:spacing w:after="0" w:line="277" w:lineRule="auto"/>
        <w:rPr>
          <w:sz w:val="20"/>
          <w:szCs w:val="20"/>
          <w:color w:val="auto"/>
        </w:rPr>
      </w:pPr>
      <w:r>
        <w:rPr>
          <w:rFonts w:ascii="Times New Roman" w:cs="Times New Roman" w:eastAsia="Times New Roman" w:hAnsi="Times New Roman"/>
          <w:sz w:val="17"/>
          <w:szCs w:val="17"/>
          <w:color w:val="auto"/>
        </w:rPr>
        <w:t>We offer stock options to our employees, including our named executive officers, as the long-term incentive component of our compensation program. Our stock options allow our employees to purchase shares of our common stock at a price equal to the fair market value of our common stock on the date of grant. In the past, our board of directors or compensation committee has determined the fair market value of our common stock based on inputs including valuation reports prepared by third party valuation firms. Generally, our stock options granted to new hires have vested as to 25% of the total number of option shares on the first anniversary of the award and in equal monthly installments over the following 36 months.</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55" w:right="4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227"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health and welfare plans to the same extent as our full-time employees generally. We generally do not provide our named executive officers with perquisites or other personal benefits. We contract with Trinet, a professional employer organization that helps us administer pay and benefits, among other things.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Retirement Benefits.</w:t>
      </w:r>
    </w:p>
    <w:p>
      <w:pPr>
        <w:spacing w:after="0" w:line="227" w:lineRule="exact"/>
        <w:rPr>
          <w:sz w:val="20"/>
          <w:szCs w:val="20"/>
          <w:color w:val="auto"/>
        </w:rPr>
      </w:pPr>
    </w:p>
    <w:p>
      <w:pPr>
        <w:jc w:val="both"/>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We have established a 401(k) tax-deferred savings plan through Trinet, which permits participants, including our named executive officers, to make contributions by salary deduction pursuant to Section 401(k) of the Internal Revenue Code. We are responsible for administrative costs of the 401(k) plan.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2019 Fiscal Year-End</w:t>
      </w:r>
    </w:p>
    <w:p>
      <w:pPr>
        <w:spacing w:after="0" w:line="229" w:lineRule="exact"/>
        <w:rPr>
          <w:sz w:val="20"/>
          <w:szCs w:val="20"/>
          <w:color w:val="auto"/>
        </w:rPr>
      </w:pPr>
    </w:p>
    <w:p>
      <w:pPr>
        <w:ind w:left="120" w:right="26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unexercised option and all unvested stock held by each of our named executive officers as of December 31, 2019.</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vesting schedule applicable to each outstanding award is described in the footnotes to the table below.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4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vMerge w:val="restart"/>
          </w:tcPr>
          <w:p>
            <w:pPr>
              <w:ind w:left="28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vMerge w:val="restart"/>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61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5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 (#)</w:t>
            </w:r>
          </w:p>
        </w:tc>
        <w:tc>
          <w:tcPr>
            <w:tcW w:w="5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Bobak Azamian</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266,685(1)</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586,708(1)</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0.06</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Holdbrook</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432,291(2)</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190,209(2)</w:t>
            </w:r>
          </w:p>
        </w:tc>
        <w:tc>
          <w:tcPr>
            <w:tcW w:w="9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$0.0001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11/28/2027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40" w:hanging="424"/>
        <w:spacing w:after="0" w:line="26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vests in 48 substantially equal monthly installments beginning on September 15, 2018 provided Dr. Azamian remains in continuous service through each such vesting date. The option will also become fully vested on an accelerated basis if Dr. Azamian remains in continuous service through a change in control.</w:t>
      </w:r>
    </w:p>
    <w:p>
      <w:pPr>
        <w:spacing w:after="0" w:line="189" w:lineRule="exact"/>
        <w:rPr>
          <w:rFonts w:ascii="Times New Roman" w:cs="Times New Roman" w:eastAsia="Times New Roman" w:hAnsi="Times New Roman"/>
          <w:sz w:val="14"/>
          <w:szCs w:val="14"/>
          <w:color w:val="auto"/>
        </w:rPr>
      </w:pPr>
    </w:p>
    <w:p>
      <w:pPr>
        <w:ind w:left="540" w:right="200" w:hanging="424"/>
        <w:spacing w:after="0" w:line="261" w:lineRule="auto"/>
        <w:tabs>
          <w:tab w:leader="none" w:pos="5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vests in 36 substantially equal monthly installments beginning on November 1, 2017, provided Mr. Holdbrook remains in continuous service through each such vesting date. The option will also become fully vested on an accelerated basis if Mr. Holdbrook remains in continuous service through a change in control.</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Severance and Change in Control Benefits</w:t>
      </w:r>
    </w:p>
    <w:p>
      <w:pPr>
        <w:spacing w:after="0" w:line="22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The restricted shares and option to purchase shares of our Common Stock held by Dr. Azamian fully vest in the event we are subject to a change in control. Change in control means our consummation of a merger or consolidation with or into another entity or our dissolution, liquidation or winding up. The foregoing notwithstanding, our merger or consolidation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our stockholders immediately prior to the merger or consolidation in substantially the same proportions as their ownership of the voting power of our capital stock immediately prior to the merger or consolidation.</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Neither Dr. Azamian nor Mr. Holdbrook are eligible for any severance benefits.</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22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Our board of directors intends to adopt our 2020 Plan prior to the offering, and it will be submitted to our stockholders for approval. We expect that our 2020 Plan will become effective immediately on adoption although no awards will be made under it until the effective date of the registration statement of which this prospectus is a part. Our 2020 Plan is intended to replace our 2016 Plan. However, awards outstanding under our 2016 Plan will continue to be governed by their existing terms. Although not yet adopted, we expect that our 2020 Plan will have the features described below.</w:t>
      </w:r>
    </w:p>
    <w:p>
      <w:pPr>
        <w:spacing w:after="0" w:line="18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number of shares of our common stock available for issuance under our 2020 Plan will equal the sum of</w:t>
      </w:r>
    </w:p>
    <w:p>
      <w:pPr>
        <w:spacing w:after="0" w:line="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shares plus up to shares remaining available for issuance under our 2016 Plan, or issued pursuant to or subject to awards granted under, our 2016 Plan. The number of shares reserved for issuance under our 2020 Plan will be increased automatically on the first business day of each of our fiscal years, commencing in 2021 and ending in 2030, by a number equal to the smallest of:</w:t>
      </w:r>
    </w:p>
    <w:p>
      <w:pPr>
        <w:spacing w:after="0" w:line="213" w:lineRule="exact"/>
        <w:rPr>
          <w:sz w:val="20"/>
          <w:szCs w:val="20"/>
          <w:color w:val="auto"/>
        </w:rPr>
      </w:pPr>
    </w:p>
    <w:p>
      <w:pPr>
        <w:ind w:left="1960" w:hanging="859"/>
        <w:spacing w:after="0"/>
        <w:tabs>
          <w:tab w:leader="none" w:pos="1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w:t>
      </w:r>
    </w:p>
    <w:p>
      <w:pPr>
        <w:spacing w:after="0" w:line="252" w:lineRule="exact"/>
        <w:rPr>
          <w:rFonts w:ascii="Times New Roman" w:cs="Times New Roman" w:eastAsia="Times New Roman" w:hAnsi="Times New Roman"/>
          <w:sz w:val="18"/>
          <w:szCs w:val="18"/>
          <w:color w:val="auto"/>
        </w:rPr>
      </w:pPr>
    </w:p>
    <w:p>
      <w:pPr>
        <w:ind w:left="1600" w:hanging="499"/>
        <w:spacing w:after="0"/>
        <w:tabs>
          <w:tab w:leader="none" w:pos="16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the shares of common stock outstanding on the last business day of the prior fiscal year; or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determined by our board of directors.</w:t>
      </w:r>
    </w:p>
    <w:p>
      <w:pPr>
        <w:spacing w:after="0" w:line="225"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In general, to the extent that any awards under our 2020 Plan are forfeited, terminate, expire or lapse without the issuance of shares, or if we repurchase the shares subject to awards granted under our 2020 Plan, those shares will again become available for issuance under our 2020 Plan, as will shares applied to pay the exercise or purchase price of an award or to satisfy tax withholding obligations related to any award.</w:t>
      </w:r>
    </w:p>
    <w:p>
      <w:pPr>
        <w:spacing w:after="0" w:line="174" w:lineRule="exact"/>
        <w:rPr>
          <w:sz w:val="20"/>
          <w:szCs w:val="20"/>
          <w:color w:val="auto"/>
        </w:rPr>
      </w:pPr>
    </w:p>
    <w:p>
      <w:pPr>
        <w:ind w:left="120" w:right="4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compensation committee of our board of directors will administer our 2020 Plan. The compensation committee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complete discretion to make all decisions relating to our 2020 Plan and outstanding awards, including repricing outstanding options and modifying outstanding awards in other ways.</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Employees, non-employee directors, consultants and advisors will be eligible to participate in our 2020 Plan.</w:t>
      </w:r>
    </w:p>
    <w:p>
      <w:pPr>
        <w:sectPr>
          <w:pgSz w:w="11900" w:h="16838" w:orient="portrait"/>
          <w:cols w:equalWidth="0" w:num="1">
            <w:col w:w="11120"/>
          </w:cols>
          <w:pgMar w:left="320" w:top="455" w:right="459" w:bottom="1440" w:gutter="0" w:footer="0" w:header="0"/>
        </w:sectPr>
      </w:pPr>
    </w:p>
    <w:p>
      <w:pPr>
        <w:spacing w:after="0" w:line="227"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Under our 2020 Plan, the aggregate grant date fair value of awards granted to our non-employee directors may not exceed $ one fiscal year, except that the grant date fair value of awards granted to newly appointed non-employee directors may not exceed $ fiscal year in which such non-employee director is initially appointed to our board of directors.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firstLine="304"/>
        <w:spacing w:after="0" w:line="282" w:lineRule="auto"/>
        <w:rPr>
          <w:sz w:val="20"/>
          <w:szCs w:val="20"/>
          <w:color w:val="auto"/>
        </w:rPr>
      </w:pPr>
      <w:r>
        <w:rPr>
          <w:rFonts w:ascii="Times New Roman" w:cs="Times New Roman" w:eastAsia="Times New Roman" w:hAnsi="Times New Roman"/>
          <w:sz w:val="18"/>
          <w:szCs w:val="18"/>
          <w:color w:val="auto"/>
        </w:rPr>
        <w:t>in any in the</w:t>
      </w:r>
    </w:p>
    <w:p>
      <w:pPr>
        <w:spacing w:after="0" w:line="375" w:lineRule="exact"/>
        <w:rPr>
          <w:sz w:val="20"/>
          <w:szCs w:val="20"/>
          <w:color w:val="auto"/>
        </w:rPr>
      </w:pPr>
    </w:p>
    <w:p>
      <w:pPr>
        <w:sectPr>
          <w:pgSz w:w="11900" w:h="16838" w:orient="portrait"/>
          <w:cols w:equalWidth="0" w:num="2">
            <w:col w:w="9900" w:space="460"/>
            <w:col w:w="760"/>
          </w:cols>
          <w:pgMar w:left="320" w:top="455" w:right="45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i w:val="1"/>
          <w:iCs w:val="1"/>
          <w:color w:val="auto"/>
        </w:rPr>
        <w:t xml:space="preserve">Types of Awards. </w:t>
      </w:r>
      <w:r>
        <w:rPr>
          <w:rFonts w:ascii="Times New Roman" w:cs="Times New Roman" w:eastAsia="Times New Roman" w:hAnsi="Times New Roman"/>
          <w:sz w:val="17"/>
          <w:szCs w:val="17"/>
          <w:color w:val="auto"/>
        </w:rPr>
        <w:t>Our 2020 Plan will provide for the following types of awards:</w:t>
      </w:r>
    </w:p>
    <w:p>
      <w:pPr>
        <w:sectPr>
          <w:pgSz w:w="11900" w:h="16838" w:orient="portrait"/>
          <w:cols w:equalWidth="0" w:num="1">
            <w:col w:w="11120"/>
          </w:cols>
          <w:pgMar w:left="320" w:top="455" w:right="459" w:bottom="1440" w:gutter="0" w:footer="0" w:header="0"/>
          <w:type w:val="continuous"/>
        </w:sectPr>
      </w:pPr>
    </w:p>
    <w:p>
      <w:pPr>
        <w:spacing w:after="0" w:line="26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incentive and nonstatutory stock options;</w:t>
      </w:r>
    </w:p>
    <w:p>
      <w:pPr>
        <w:spacing w:after="0" w:line="200" w:lineRule="exact"/>
        <w:rPr>
          <w:sz w:val="20"/>
          <w:szCs w:val="20"/>
          <w:color w:val="auto"/>
        </w:rPr>
      </w:pPr>
    </w:p>
    <w:p>
      <w:pPr>
        <w:sectPr>
          <w:pgSz w:w="11900" w:h="16838" w:orient="portrait"/>
          <w:cols w:equalWidth="0" w:num="2">
            <w:col w:w="1160" w:space="260"/>
            <w:col w:w="9700"/>
          </w:cols>
          <w:pgMar w:left="320" w:top="455" w:right="459" w:bottom="1440" w:gutter="0" w:footer="0" w:header="0"/>
          <w:type w:val="continuous"/>
        </w:sectPr>
      </w:pPr>
    </w:p>
    <w:p>
      <w:pPr>
        <w:spacing w:after="0" w:line="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appreciation rights;</w:t>
      </w:r>
    </w:p>
    <w:p>
      <w:pPr>
        <w:spacing w:after="0" w:line="200" w:lineRule="exact"/>
        <w:rPr>
          <w:sz w:val="20"/>
          <w:szCs w:val="20"/>
          <w:color w:val="auto"/>
        </w:rPr>
      </w:pPr>
    </w:p>
    <w:p>
      <w:pPr>
        <w:sectPr>
          <w:pgSz w:w="11900" w:h="16838" w:orient="portrait"/>
          <w:cols w:equalWidth="0" w:num="2">
            <w:col w:w="1160" w:space="260"/>
            <w:col w:w="9700"/>
          </w:cols>
          <w:pgMar w:left="320" w:top="455" w:right="459" w:bottom="1440" w:gutter="0" w:footer="0" w:header="0"/>
          <w:type w:val="continuous"/>
        </w:sectPr>
      </w:pPr>
    </w:p>
    <w:p>
      <w:pPr>
        <w:spacing w:after="0" w:line="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shares; and</w:t>
      </w:r>
    </w:p>
    <w:p>
      <w:pPr>
        <w:spacing w:after="0" w:line="200" w:lineRule="exact"/>
        <w:rPr>
          <w:sz w:val="20"/>
          <w:szCs w:val="20"/>
          <w:color w:val="auto"/>
        </w:rPr>
      </w:pPr>
    </w:p>
    <w:p>
      <w:pPr>
        <w:sectPr>
          <w:pgSz w:w="11900" w:h="16838" w:orient="portrait"/>
          <w:cols w:equalWidth="0" w:num="2">
            <w:col w:w="1160" w:space="260"/>
            <w:col w:w="9700"/>
          </w:cols>
          <w:pgMar w:left="320" w:top="455" w:right="459" w:bottom="1440" w:gutter="0" w:footer="0" w:header="0"/>
          <w:type w:val="continuous"/>
        </w:sectPr>
      </w:pPr>
    </w:p>
    <w:p>
      <w:pPr>
        <w:spacing w:after="0" w:line="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158" w:lineRule="exact"/>
        <w:rPr>
          <w:sz w:val="20"/>
          <w:szCs w:val="20"/>
          <w:color w:val="auto"/>
        </w:rPr>
      </w:pPr>
    </w:p>
    <w:p>
      <w:pPr>
        <w:sectPr>
          <w:pgSz w:w="11900" w:h="16838" w:orient="portrait"/>
          <w:cols w:equalWidth="0" w:num="2">
            <w:col w:w="1160" w:space="260"/>
            <w:col w:w="970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type w:val="continuous"/>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26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Options and Stock Appreciation Rights. </w:t>
      </w:r>
      <w:r>
        <w:rPr>
          <w:rFonts w:ascii="Times New Roman" w:cs="Times New Roman" w:eastAsia="Times New Roman" w:hAnsi="Times New Roman"/>
          <w:sz w:val="18"/>
          <w:szCs w:val="18"/>
          <w:color w:val="auto"/>
        </w:rPr>
        <w:t>The exercise price for options granted under our 2020 Plan may not be less than 100%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our common stock on the grant date. Optionees will be permitted to pay the exercise price in cash or, with the consent of the compensation committee:</w:t>
      </w:r>
    </w:p>
    <w:p>
      <w:pPr>
        <w:spacing w:after="0" w:line="202" w:lineRule="exact"/>
        <w:rPr>
          <w:sz w:val="20"/>
          <w:szCs w:val="20"/>
          <w:color w:val="auto"/>
        </w:rPr>
      </w:pPr>
    </w:p>
    <w:p>
      <w:pPr>
        <w:ind w:left="1420" w:hanging="319"/>
        <w:spacing w:after="0"/>
        <w:tabs>
          <w:tab w:leader="none" w:pos="14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shares of common stock that the optionee already owns;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immediate sale of shares through a broker approved by us;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instructing us to withhold a number of shares having an aggregate fair market value that does not exceed the exercise price; or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other methods permitted by applicable law.</w:t>
      </w:r>
    </w:p>
    <w:p>
      <w:pPr>
        <w:spacing w:after="0" w:line="225"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An optionee who exercises a stock appreciation right receives the increase in value of our common stock over the base price. The base price for stock appreciation rights may not be less than 100% of the fair market value of our common stock on the grant date. The settlement value of a stock appreciation right may be paid in cash, shares of our common stock or a combination.</w:t>
      </w:r>
    </w:p>
    <w:p>
      <w:pPr>
        <w:spacing w:after="0" w:line="176"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Options and stock appreciation rights vest as determined by the compensation committee. In general, they will vest over a four-year period following the date of grant. Options and stock appreciation rights expire at the time determined by the compensation committee but in no event more than ten years after they are granted. These awards generally expire earlier if the participant’s service terminates earlier.</w:t>
      </w:r>
    </w:p>
    <w:p>
      <w:pPr>
        <w:spacing w:after="0" w:line="174"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Shares and Stock Units. </w:t>
      </w:r>
      <w:r>
        <w:rPr>
          <w:rFonts w:ascii="Times New Roman" w:cs="Times New Roman" w:eastAsia="Times New Roman" w:hAnsi="Times New Roman"/>
          <w:sz w:val="18"/>
          <w:szCs w:val="18"/>
          <w:color w:val="auto"/>
        </w:rPr>
        <w:t>Restricted shares and stock units may be awarded under our 2020 Plan in return for any lawful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and participants who receive restricted shares or stock units generally are not required to pay cash for their awards. In general, these awards will be subject to vesting. Vesting may be based on length of service, the attainment of performance-based milestones or a combination of both, as determined by the compensation committee.</w:t>
      </w:r>
    </w:p>
    <w:p>
      <w:pPr>
        <w:spacing w:after="0" w:line="180"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we are a party to a merger, consolidation or certain change in control transactions, outstanding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under our 2020 Plan, and all shares acquired under our 2020 Plan, will be subject to the terms of the definitive transaction agreement (or, if there is no such agreement, as determined by our compensation committee). Unless an award agreement provides otherwise, such treatment may include any of the following with respect to each outstanding award:</w:t>
      </w:r>
    </w:p>
    <w:p>
      <w:pPr>
        <w:spacing w:after="0" w:line="209" w:lineRule="exact"/>
        <w:rPr>
          <w:sz w:val="20"/>
          <w:szCs w:val="20"/>
          <w:color w:val="auto"/>
        </w:rPr>
      </w:pPr>
    </w:p>
    <w:p>
      <w:pPr>
        <w:ind w:left="1420" w:hanging="319"/>
        <w:spacing w:after="0"/>
        <w:tabs>
          <w:tab w:leader="none" w:pos="14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assumption or substitution of an award by a surviving entity or its parent;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an award without payment of any consideration, provided that the optionee shall be notified of such treatment;</w:t>
      </w:r>
    </w:p>
    <w:p>
      <w:pPr>
        <w:spacing w:after="0" w:line="252" w:lineRule="exact"/>
        <w:rPr>
          <w:rFonts w:ascii="Times New Roman" w:cs="Times New Roman" w:eastAsia="Times New Roman" w:hAnsi="Times New Roman"/>
          <w:sz w:val="18"/>
          <w:szCs w:val="18"/>
          <w:color w:val="auto"/>
        </w:rPr>
      </w:pPr>
    </w:p>
    <w:p>
      <w:pPr>
        <w:ind w:left="1420" w:right="180" w:hanging="319"/>
        <w:spacing w:after="0" w:line="266" w:lineRule="auto"/>
        <w:tabs>
          <w:tab w:leader="none" w:pos="14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vested portion of an award (and any portion that becomes vested as of the effective time of the transaction) in exchange for a payment equal to the excess, if any, of the value that the holder of each share of our common stock receives in the transaction over (if applicable) the exercise price otherwise payable in connection with the award; or</w:t>
      </w:r>
    </w:p>
    <w:p>
      <w:pPr>
        <w:spacing w:after="0" w:line="202" w:lineRule="exact"/>
        <w:rPr>
          <w:rFonts w:ascii="Times New Roman" w:cs="Times New Roman" w:eastAsia="Times New Roman" w:hAnsi="Times New Roman"/>
          <w:sz w:val="18"/>
          <w:szCs w:val="18"/>
          <w:color w:val="auto"/>
        </w:rPr>
      </w:pPr>
    </w:p>
    <w:p>
      <w:pPr>
        <w:ind w:left="1420" w:right="60" w:hanging="319"/>
        <w:spacing w:after="0" w:line="282" w:lineRule="auto"/>
        <w:tabs>
          <w:tab w:leader="none" w:pos="14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any reacquisition or repurchase rights held by us with respect to an award of restricted shares to the surviving entity or its parent (with proportionate adjustments made to the price per share to be paid upon exercise of such rights).</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compensation committee is not required to treat all awards, or portions thereof, in the same manner.</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The vesting of an outstanding award may be accelerated by the administrator upon the occurrence of a change in control, whether or not the award is to be assumed or replaced in the transaction, or in connection with a termination of service following a change in control transaction.</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 change in control includes:</w:t>
      </w:r>
    </w:p>
    <w:p>
      <w:pPr>
        <w:spacing w:after="0" w:line="252" w:lineRule="exact"/>
        <w:rPr>
          <w:sz w:val="20"/>
          <w:szCs w:val="20"/>
          <w:color w:val="auto"/>
        </w:rPr>
      </w:pPr>
    </w:p>
    <w:p>
      <w:pPr>
        <w:ind w:left="1420" w:hanging="319"/>
        <w:spacing w:after="0"/>
        <w:tabs>
          <w:tab w:leader="none" w:pos="14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acquiring beneficial ownership of more than 50% of our total voting power;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all or substantially all of our assets; or</w:t>
      </w:r>
    </w:p>
    <w:p>
      <w:pPr>
        <w:spacing w:after="0" w:line="252" w:lineRule="exact"/>
        <w:rPr>
          <w:rFonts w:ascii="Times New Roman" w:cs="Times New Roman" w:eastAsia="Times New Roman" w:hAnsi="Times New Roman"/>
          <w:sz w:val="18"/>
          <w:szCs w:val="18"/>
          <w:color w:val="auto"/>
        </w:rPr>
      </w:pPr>
    </w:p>
    <w:p>
      <w:pPr>
        <w:ind w:left="1420" w:right="520" w:hanging="319"/>
        <w:spacing w:after="0" w:line="282" w:lineRule="auto"/>
        <w:tabs>
          <w:tab w:leader="none" w:pos="14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merger or consolidation after which our voting securities represent 50% or less of the total voting power of the surviving or acquiring entity.</w:t>
      </w:r>
    </w:p>
    <w:p>
      <w:pPr>
        <w:spacing w:after="0" w:line="160" w:lineRule="exact"/>
        <w:rPr>
          <w:sz w:val="20"/>
          <w:szCs w:val="20"/>
          <w:color w:val="auto"/>
        </w:rPr>
      </w:pPr>
    </w:p>
    <w:p>
      <w:pPr>
        <w:ind w:left="120" w:right="8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Capitalization. </w:t>
      </w:r>
      <w:r>
        <w:rPr>
          <w:rFonts w:ascii="Times New Roman" w:cs="Times New Roman" w:eastAsia="Times New Roman" w:hAnsi="Times New Roman"/>
          <w:sz w:val="18"/>
          <w:szCs w:val="18"/>
          <w:color w:val="auto"/>
        </w:rPr>
        <w:t>In the event of certain changes in our capital structure without our receipt of consideration, such as a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or dividend paid in common stock, proportionate adjustments will automatically be made to:</w:t>
      </w:r>
    </w:p>
    <w:p>
      <w:pPr>
        <w:spacing w:after="0" w:line="187" w:lineRule="exact"/>
        <w:rPr>
          <w:sz w:val="20"/>
          <w:szCs w:val="20"/>
          <w:color w:val="auto"/>
        </w:rPr>
      </w:pPr>
    </w:p>
    <w:p>
      <w:pPr>
        <w:ind w:left="1420" w:right="360" w:hanging="319"/>
        <w:spacing w:after="0" w:line="282" w:lineRule="auto"/>
        <w:tabs>
          <w:tab w:leader="none" w:pos="14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and kind of shares available for issuance under our 2020 Plan, including the maximum number and kind of shares that may be issued upon the exercise of incentive stock options;</w:t>
      </w:r>
    </w:p>
    <w:p>
      <w:pPr>
        <w:spacing w:after="0" w:line="188" w:lineRule="exact"/>
        <w:rPr>
          <w:rFonts w:ascii="Times New Roman" w:cs="Times New Roman" w:eastAsia="Times New Roman" w:hAnsi="Times New Roman"/>
          <w:sz w:val="18"/>
          <w:szCs w:val="18"/>
          <w:color w:val="auto"/>
        </w:rPr>
      </w:pPr>
    </w:p>
    <w:p>
      <w:pPr>
        <w:ind w:left="1420" w:right="560" w:hanging="319"/>
        <w:spacing w:after="0" w:line="282" w:lineRule="auto"/>
        <w:tabs>
          <w:tab w:leader="none" w:pos="14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and kind of shares covered by, and exercise price, base price or purchase price, if any, applicable to each outstanding stock award; and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and kind of shares by which the share reserve may increase automatically each year.</w:t>
      </w:r>
    </w:p>
    <w:p>
      <w:pPr>
        <w:spacing w:after="0" w:line="225"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In the event that there is a declaration of an extraordinary dividend payable in a form other than our common stock in an amount that has a material effect on the price of our common stock, a recapitalization, a spin-off or a similar occurrence, the compensation committee may make such adjustments to any of the foregoing as it deems appropriate, in its sole discretion.</w:t>
      </w:r>
    </w:p>
    <w:p>
      <w:pPr>
        <w:spacing w:after="0" w:line="174"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Amendments or Termination</w:t>
      </w:r>
      <w:r>
        <w:rPr>
          <w:rFonts w:ascii="Times New Roman" w:cs="Times New Roman" w:eastAsia="Times New Roman" w:hAnsi="Times New Roman"/>
          <w:sz w:val="18"/>
          <w:szCs w:val="18"/>
          <w:color w:val="auto"/>
        </w:rPr>
        <w:t>. Our board of directors may amend, suspend or terminate our 2020 Plan at any time. If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amends our 2020 Plan, it does not need stockholder approval of the amendment unless required by applicable law, regulation or rules. Our 2020 Plan will terminate automatically 10 years after the later of the date when our board of directors adopted our 2020 Plan or approved the latest share increase that was also approved by our stockholders.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2016 Stock Plan</w:t>
      </w:r>
    </w:p>
    <w:p>
      <w:pPr>
        <w:spacing w:after="0" w:line="229" w:lineRule="exact"/>
        <w:rPr>
          <w:sz w:val="20"/>
          <w:szCs w:val="20"/>
          <w:color w:val="auto"/>
        </w:rPr>
      </w:pPr>
    </w:p>
    <w:p>
      <w:pPr>
        <w:jc w:val="both"/>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Our board of directors adopted our 2016 Stock Plan in December 2016, and it was approved by our stockholders on January 17, 2017. No further awards will be made under our 2016 Plan after this offering; however, awards outstanding under our 2016 Plan will continue to be governed by their existing terms.</w:t>
      </w:r>
    </w:p>
    <w:p>
      <w:pPr>
        <w:spacing w:after="0" w:line="174" w:lineRule="exact"/>
        <w:rPr>
          <w:sz w:val="20"/>
          <w:szCs w:val="20"/>
          <w:color w:val="auto"/>
        </w:rPr>
      </w:pPr>
    </w:p>
    <w:p>
      <w:pPr>
        <w:jc w:val="both"/>
        <w:ind w:left="12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As of December 31, 2019, we have reserved 19,832,815 shares of our common stock for issuance under our 2016 Plan,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issued as incentive stock options. As of December 31, 2019, options to purchase 2,207,154 shares of our common stock, at exercise prices ranging from $0.0001 to $0.06 per share, or a weighted-average exercise price of $0.04 per share were outstanding under our 2016 Plan, and 15,975,661 shares of our common stock remained available for future issuance. Unissued shares subject to awards that expire or are cancelled, shares reacquired by us and shares withheld in payment of the purchase price or exercise price of an award or in satisfaction of withholding taxes will again become available for issuance under our 2016 Plan or, following consummation of this offering, under our 2020 Plan.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54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board of directors has administered our 2016 Plan since its adoption; however, following this offering,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of our board of directors will generally administer our 2016 Plan. The administrator has complete discretion to make all decisions relating to our 2016 Plan and outstanding awards.</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Employees, non-employee members of our board of directors and consultants are eligible to participate in our 2016 Plan.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only employees are eligible to receive incentive stock options.</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2016 Plan provides for the following types of awards granted with respect to shares of our common stock:</w:t>
      </w:r>
    </w:p>
    <w:p>
      <w:pPr>
        <w:spacing w:after="0" w:line="254" w:lineRule="exact"/>
        <w:rPr>
          <w:sz w:val="20"/>
          <w:szCs w:val="20"/>
          <w:color w:val="auto"/>
        </w:rPr>
      </w:pPr>
    </w:p>
    <w:p>
      <w:pPr>
        <w:ind w:left="1420" w:hanging="319"/>
        <w:spacing w:after="0"/>
        <w:tabs>
          <w:tab w:leader="none" w:pos="14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and nonstatutory stock options to purchase shares of our common stock;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award or sale of shares of our common stock, including restricted shares.</w:t>
      </w:r>
    </w:p>
    <w:p>
      <w:pPr>
        <w:spacing w:after="0" w:line="223" w:lineRule="exact"/>
        <w:rPr>
          <w:sz w:val="20"/>
          <w:szCs w:val="20"/>
          <w:color w:val="auto"/>
        </w:rPr>
      </w:pPr>
    </w:p>
    <w:p>
      <w:pPr>
        <w:ind w:left="120" w:right="6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exercise price for options granted under our 2016 Plan is determined by our board of directors, but may not be less than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fair market value of our common stock on the grant date. Optionees may pay the exercise price in cash or cash equivalents or by one, or any combination of, the following forms of payment, as permitted by the administrator in its sole discretion:</w:t>
      </w:r>
    </w:p>
    <w:p>
      <w:pPr>
        <w:spacing w:after="0" w:line="202" w:lineRule="exact"/>
        <w:rPr>
          <w:sz w:val="20"/>
          <w:szCs w:val="20"/>
          <w:color w:val="auto"/>
        </w:rPr>
      </w:pPr>
    </w:p>
    <w:p>
      <w:pPr>
        <w:ind w:left="1420" w:hanging="319"/>
        <w:spacing w:after="0"/>
        <w:tabs>
          <w:tab w:leader="none" w:pos="1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shares of common stock that the optionee already owns;</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full-recourse promissory note, with the option shares pledged as security against the principal and accrued interest on the note;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immediate sale of the option shares through a company-approved broker, if the shares of our common stock are publicly traded;</w:t>
      </w:r>
    </w:p>
    <w:p>
      <w:pPr>
        <w:spacing w:after="0" w:line="252" w:lineRule="exact"/>
        <w:rPr>
          <w:rFonts w:ascii="Times New Roman" w:cs="Times New Roman" w:eastAsia="Times New Roman" w:hAnsi="Times New Roman"/>
          <w:sz w:val="18"/>
          <w:szCs w:val="18"/>
          <w:color w:val="auto"/>
        </w:rPr>
      </w:pPr>
    </w:p>
    <w:p>
      <w:pPr>
        <w:ind w:left="1420" w:right="40" w:hanging="319"/>
        <w:spacing w:after="0" w:line="266" w:lineRule="auto"/>
        <w:tabs>
          <w:tab w:leader="none" w:pos="1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Surrendering a number of vested shares subject to the option having an aggregate fair market value no greater than the aggregate exercise price, or the sum of such exercise price plus all or a portion of the minimum amount required to be withheld under applicable law; or</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methods permitted by the Delaware General Corporation Law, as amended.</w:t>
      </w:r>
    </w:p>
    <w:p>
      <w:pPr>
        <w:spacing w:after="0" w:line="225"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Options vest as determined by the administrator. In general, we have granted options that vest over a four-year period. Options expire at the time determined by the administrator, but in no event more than ten years after they are granted, and generally expire earlier if the optionee’s service terminates.</w:t>
      </w:r>
    </w:p>
    <w:p>
      <w:pPr>
        <w:spacing w:after="0" w:line="174" w:lineRule="exact"/>
        <w:rPr>
          <w:sz w:val="20"/>
          <w:szCs w:val="20"/>
          <w:color w:val="auto"/>
        </w:rPr>
      </w:pPr>
    </w:p>
    <w:p>
      <w:pPr>
        <w:ind w:left="120" w:right="18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Restricted Shares</w:t>
      </w:r>
      <w:r>
        <w:rPr>
          <w:rFonts w:ascii="Times New Roman" w:cs="Times New Roman" w:eastAsia="Times New Roman" w:hAnsi="Times New Roman"/>
          <w:sz w:val="18"/>
          <w:szCs w:val="18"/>
          <w:color w:val="auto"/>
        </w:rPr>
        <w:t>. Restricted shares may be awarded or sold under our 2016 Plan in return for cash or cash equivalents or, as permitted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administrator in its sole discretion, in exchange for services rendered to us, by delivery of a full-recourse promissory note or through any other means permitted by applicable law. Restricted shares vest as determined by the administrator.</w:t>
      </w:r>
    </w:p>
    <w:p>
      <w:pPr>
        <w:spacing w:after="0" w:line="173"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that we are a party to a merger or consolidation or in the event of a sale of all or substantially all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assets, awards granted under our 2016 Plan will be subject to the agreement governing such transaction or, in the absence of such agreement, in the manner determined by the administrator. Such treatment may include, without limitation, one or more of the following with respect to outstanding awards:</w:t>
      </w:r>
    </w:p>
    <w:p>
      <w:pPr>
        <w:spacing w:after="0" w:line="209" w:lineRule="exact"/>
        <w:rPr>
          <w:sz w:val="20"/>
          <w:szCs w:val="20"/>
          <w:color w:val="auto"/>
        </w:rPr>
      </w:pPr>
    </w:p>
    <w:p>
      <w:pPr>
        <w:ind w:left="1420" w:hanging="319"/>
        <w:spacing w:after="0"/>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assumption or substitution of an award by the surviving entity or its parent;</w:t>
      </w:r>
    </w:p>
    <w:p>
      <w:pPr>
        <w:spacing w:after="0" w:line="252" w:lineRule="exact"/>
        <w:rPr>
          <w:rFonts w:ascii="Times New Roman" w:cs="Times New Roman" w:eastAsia="Times New Roman" w:hAnsi="Times New Roman"/>
          <w:sz w:val="18"/>
          <w:szCs w:val="18"/>
          <w:color w:val="auto"/>
        </w:rPr>
      </w:pPr>
    </w:p>
    <w:p>
      <w:pPr>
        <w:ind w:left="1420" w:right="20" w:hanging="319"/>
        <w:spacing w:after="0" w:line="282" w:lineRule="auto"/>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the vested portion of the award in exchange for a payment equal to the excess, if any, of the value of the shares subject to the award over any exercise price per share applicable to the award;</w:t>
      </w:r>
    </w:p>
    <w:p>
      <w:pPr>
        <w:spacing w:after="0" w:line="94"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165 -</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the award without payment of any consideration;</w:t>
      </w:r>
    </w:p>
    <w:p>
      <w:pPr>
        <w:spacing w:after="0" w:line="252" w:lineRule="exact"/>
        <w:rPr>
          <w:rFonts w:ascii="Times New Roman" w:cs="Times New Roman" w:eastAsia="Times New Roman" w:hAnsi="Times New Roman"/>
          <w:sz w:val="18"/>
          <w:szCs w:val="18"/>
          <w:color w:val="auto"/>
        </w:rPr>
      </w:pPr>
    </w:p>
    <w:p>
      <w:pPr>
        <w:ind w:left="1420" w:right="180" w:hanging="319"/>
        <w:spacing w:after="0" w:line="282" w:lineRule="auto"/>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the optionee’s right to exercise the option during a limited period of time preceding the completion of the transaction; or</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any right the optionee has to exercise the option prior to vesting in the shares subject to the option.</w:t>
      </w:r>
    </w:p>
    <w:p>
      <w:pPr>
        <w:spacing w:after="0" w:line="225"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administrator is not obligated to treat all awards in the same manner. The administrator has the discretion, at any time, to provide that an award under our 2016 Plan will vest on an accelerated basis in connection with a corporate transaction or to amend or modify an award so long as such amendment or modification is not inconsistent with the terms of the 2016 Plan or would not result in the impairment of a participant’s rights without the participant’s consent.</w:t>
      </w:r>
    </w:p>
    <w:p>
      <w:pPr>
        <w:spacing w:after="0" w:line="178"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Changes in Capitalization. </w:t>
      </w:r>
      <w:r>
        <w:rPr>
          <w:rFonts w:ascii="Times New Roman" w:cs="Times New Roman" w:eastAsia="Times New Roman" w:hAnsi="Times New Roman"/>
          <w:sz w:val="18"/>
          <w:szCs w:val="18"/>
          <w:color w:val="auto"/>
        </w:rPr>
        <w:t>In the event of certain specified changes in the capital structure of our common stock, such as a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stock dividend, reclassification or any other increase or decrease in the number of issued shares of stock effective without receipt of consideration by us, proportionate adjustments will automatically be made in (i) each of the number and kind of shares available for future grants under our 2016 Plan, (ii) the number and kind of shares covered by each outstanding option and all restricted shares, (iii) the exercise price per share subject to each outstanding option and (iv) any repurchase price applicable to shares granted under our 2016 Plan. In the event of an extraordinary cash divided that has a material effect on the fair market value of our common stock, a recapitalization, spin-off or other similar occurrence, the administrator at its sole discretion may make appropriate adjustments to one or more of the items described above.</w:t>
      </w:r>
    </w:p>
    <w:p>
      <w:pPr>
        <w:spacing w:after="0" w:line="183" w:lineRule="exact"/>
        <w:rPr>
          <w:sz w:val="20"/>
          <w:szCs w:val="20"/>
          <w:color w:val="auto"/>
        </w:rPr>
      </w:pPr>
    </w:p>
    <w:p>
      <w:pPr>
        <w:ind w:left="12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Amendments or Termination</w:t>
      </w:r>
      <w:r>
        <w:rPr>
          <w:rFonts w:ascii="Times New Roman" w:cs="Times New Roman" w:eastAsia="Times New Roman" w:hAnsi="Times New Roman"/>
          <w:sz w:val="18"/>
          <w:szCs w:val="18"/>
          <w:color w:val="auto"/>
        </w:rPr>
        <w:t>. The administrator may at any time amend, suspend or terminate our 2016 Plan, subject to stockholder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case of an amendment if the amendment increases the number of shares available for issuance or materially changes the class of persons eligible to receive incentive stock options. Our 2016 Plan will terminate automatically ten years after the later of the date when our board of directors adopted the plan or the date when our board of directors most recently approved an increase in the number of shares reserved thereunder which was also approved by our stockholders, provided, however, that in any event, it will terminate upon the completion of this offering, but as noted above, awards outstanding under our 2016 Plan will remain outstanding and will continue to be governed by their existing terms.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7"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We expect that our board of directors will adopt a 2020 ESPP prior to this offering. If adopted, our 2020 ESPP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subsequently approved by our stockholders. We expect that our 2020 ESPP will become effective as of the effective date of the registration statement of which this prospectus is a part. Our 2020 ESPP is intended to qualify under Section 423 of the Internal Revenue Code. Although not yet adopted, we expect that our 2020 ESPP will have the features described below.</w:t>
      </w:r>
    </w:p>
    <w:p>
      <w:pPr>
        <w:spacing w:after="0" w:line="180" w:lineRule="exact"/>
        <w:rPr>
          <w:sz w:val="20"/>
          <w:szCs w:val="20"/>
          <w:color w:val="auto"/>
        </w:rPr>
      </w:pPr>
    </w:p>
    <w:p>
      <w:pPr>
        <w:ind w:left="120" w:right="2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shares of our common stock will be reserved for issuance under our 2020 ESPP. The number of shares reserved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under our 2020 ESPP will automatically be increased on the first business day of each of our fiscal years, commencing in 2021 and ending in 2040, by a number equal to the least of:</w:t>
      </w:r>
    </w:p>
    <w:p>
      <w:pPr>
        <w:spacing w:after="0" w:line="202" w:lineRule="exact"/>
        <w:rPr>
          <w:sz w:val="20"/>
          <w:szCs w:val="20"/>
          <w:color w:val="auto"/>
        </w:rPr>
      </w:pPr>
    </w:p>
    <w:p>
      <w:pPr>
        <w:ind w:left="1960" w:hanging="859"/>
        <w:spacing w:after="0"/>
        <w:tabs>
          <w:tab w:leader="none" w:pos="1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w:t>
      </w:r>
    </w:p>
    <w:p>
      <w:pPr>
        <w:spacing w:after="0" w:line="252" w:lineRule="exact"/>
        <w:rPr>
          <w:rFonts w:ascii="Times New Roman" w:cs="Times New Roman" w:eastAsia="Times New Roman" w:hAnsi="Times New Roman"/>
          <w:sz w:val="18"/>
          <w:szCs w:val="18"/>
          <w:color w:val="auto"/>
        </w:rPr>
      </w:pPr>
    </w:p>
    <w:p>
      <w:pPr>
        <w:ind w:left="1600" w:hanging="499"/>
        <w:spacing w:after="0"/>
        <w:tabs>
          <w:tab w:leader="none" w:pos="16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the shares of common stock outstanding on the last business day of the prior fiscal year; or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determined by our board of directors.</w:t>
      </w:r>
    </w:p>
    <w:p>
      <w:pPr>
        <w:spacing w:after="0" w:line="157"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166 -</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The number of shares reserved under our 2020 ESPP will automatically be adjusted in the event of a stock split, stock dividend or a reverse stock split (including an adjustment to the per-purchase period share limit).</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compensation committee of our board of directors will administer our 2020 ESPP.</w:t>
      </w:r>
    </w:p>
    <w:p>
      <w:pPr>
        <w:spacing w:after="0" w:line="225" w:lineRule="exact"/>
        <w:rPr>
          <w:sz w:val="20"/>
          <w:szCs w:val="20"/>
          <w:color w:val="auto"/>
        </w:rPr>
      </w:pPr>
    </w:p>
    <w:p>
      <w:pPr>
        <w:ind w:left="120" w:right="34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All of our employees will be eligible to participate if we employ them for more than 20 hours per week and for five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per year. Eligible employees may begin participating in our 2020 ESPP at the start of any offering period.</w:t>
      </w:r>
    </w:p>
    <w:p>
      <w:pPr>
        <w:spacing w:after="0" w:line="158" w:lineRule="exact"/>
        <w:rPr>
          <w:sz w:val="20"/>
          <w:szCs w:val="20"/>
          <w:color w:val="auto"/>
        </w:rPr>
      </w:pPr>
    </w:p>
    <w:p>
      <w:pPr>
        <w:ind w:left="120" w:right="80" w:firstLine="881"/>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Offering Periods. </w:t>
      </w:r>
      <w:r>
        <w:rPr>
          <w:rFonts w:ascii="Times New Roman" w:cs="Times New Roman" w:eastAsia="Times New Roman" w:hAnsi="Times New Roman"/>
          <w:sz w:val="17"/>
          <w:szCs w:val="17"/>
          <w:color w:val="auto"/>
        </w:rPr>
        <w:t>Each offering period will last a number of months determined by the compensation committee, not to exceed 27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new offering period will begin periodically, as determined by the compensation committee. Offering periods may overlap or may be consecutive. Unless otherwise determined by the compensation committee, two offering periods of six months’ duration will begin in each year on May 1 and November 1. However, if so determined by the compensation committee, the first offering period may start on the effective date of the registration</w:t>
      </w:r>
    </w:p>
    <w:p>
      <w:pPr>
        <w:spacing w:after="0" w:line="1" w:lineRule="exact"/>
        <w:rPr>
          <w:sz w:val="20"/>
          <w:szCs w:val="20"/>
          <w:color w:val="auto"/>
        </w:rPr>
      </w:pPr>
    </w:p>
    <w:p>
      <w:pPr>
        <w:ind w:left="120"/>
        <w:spacing w:after="0"/>
        <w:tabs>
          <w:tab w:leader="none" w:pos="4360" w:val="left"/>
          <w:tab w:leader="none" w:pos="8560" w:val="left"/>
        </w:tabs>
        <w:rPr>
          <w:sz w:val="20"/>
          <w:szCs w:val="20"/>
          <w:color w:val="auto"/>
        </w:rPr>
      </w:pPr>
      <w:r>
        <w:rPr>
          <w:rFonts w:ascii="Times New Roman" w:cs="Times New Roman" w:eastAsia="Times New Roman" w:hAnsi="Times New Roman"/>
          <w:sz w:val="18"/>
          <w:szCs w:val="18"/>
          <w:color w:val="auto"/>
        </w:rPr>
        <w:t>statement related to this offering and will end on</w:t>
      </w:r>
      <w:r>
        <w:rPr>
          <w:sz w:val="20"/>
          <w:szCs w:val="20"/>
          <w:color w:val="auto"/>
        </w:rPr>
        <w:tab/>
      </w:r>
      <w:r>
        <w:rPr>
          <w:rFonts w:ascii="Times New Roman" w:cs="Times New Roman" w:eastAsia="Times New Roman" w:hAnsi="Times New Roman"/>
          <w:sz w:val="18"/>
          <w:szCs w:val="18"/>
          <w:color w:val="auto"/>
        </w:rPr>
        <w:t>, 2021, with the first purchase date occurring on</w:t>
      </w:r>
      <w:r>
        <w:rPr>
          <w:sz w:val="20"/>
          <w:szCs w:val="20"/>
          <w:color w:val="auto"/>
        </w:rPr>
        <w:tab/>
      </w:r>
      <w:r>
        <w:rPr>
          <w:rFonts w:ascii="Times New Roman" w:cs="Times New Roman" w:eastAsia="Times New Roman" w:hAnsi="Times New Roman"/>
          <w:sz w:val="18"/>
          <w:szCs w:val="18"/>
          <w:color w:val="auto"/>
        </w:rPr>
        <w:t>, 2021.</w:t>
      </w:r>
    </w:p>
    <w:p>
      <w:pPr>
        <w:spacing w:after="0" w:line="205" w:lineRule="exact"/>
        <w:rPr>
          <w:sz w:val="20"/>
          <w:szCs w:val="20"/>
          <w:color w:val="auto"/>
        </w:rPr>
      </w:pPr>
    </w:p>
    <w:p>
      <w:pPr>
        <w:ind w:left="120" w:right="100" w:firstLine="881"/>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Amount of Contributions. </w:t>
      </w:r>
      <w:r>
        <w:rPr>
          <w:rFonts w:ascii="Times New Roman" w:cs="Times New Roman" w:eastAsia="Times New Roman" w:hAnsi="Times New Roman"/>
          <w:sz w:val="17"/>
          <w:szCs w:val="17"/>
          <w:color w:val="auto"/>
        </w:rPr>
        <w:t>Our 2020 ESPP will permit each eligible employee to purchase common stock through payroll deductions.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payroll deductions may not exceed 15% of the employee’s cash compensation. Each participant may purchase up to the number of shares</w:t>
      </w:r>
    </w:p>
    <w:p>
      <w:pPr>
        <w:spacing w:after="0" w:line="1"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determined by our board of directors on any purchase date, not to exceed shares. The value of the shares purchased in any calendar year may not exceed $25,000. Participants may withdraw their contributions at any time before stock is purchased.</w:t>
      </w:r>
    </w:p>
    <w:p>
      <w:pPr>
        <w:spacing w:after="0" w:line="179" w:lineRule="exact"/>
        <w:rPr>
          <w:sz w:val="20"/>
          <w:szCs w:val="20"/>
          <w:color w:val="auto"/>
        </w:rPr>
      </w:pPr>
    </w:p>
    <w:p>
      <w:pPr>
        <w:ind w:left="12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Price. </w:t>
      </w:r>
      <w:r>
        <w:rPr>
          <w:rFonts w:ascii="Times New Roman" w:cs="Times New Roman" w:eastAsia="Times New Roman" w:hAnsi="Times New Roman"/>
          <w:sz w:val="18"/>
          <w:szCs w:val="18"/>
          <w:color w:val="auto"/>
        </w:rPr>
        <w:t>The price of each share of common stock purchased under our 2020 ESPP will not be less than 85% of the lower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per share of common stock on the first day of the applicable offering period (or, in the case of the first offering period, the price at which one share of common stock is offered to the public in this offering) or the fair market value per share of common stock on the purchase date.</w:t>
      </w:r>
    </w:p>
    <w:p>
      <w:pPr>
        <w:spacing w:after="0" w:line="173"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Provisions. </w:t>
      </w:r>
      <w:r>
        <w:rPr>
          <w:rFonts w:ascii="Times New Roman" w:cs="Times New Roman" w:eastAsia="Times New Roman" w:hAnsi="Times New Roman"/>
          <w:sz w:val="18"/>
          <w:szCs w:val="18"/>
          <w:color w:val="auto"/>
        </w:rPr>
        <w:t>Employees may end their participation in our 2020 ESPP at any time. Participation ends automatically upon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employment with us. If we experience a change in control, our 2020 ESPP will end and shares will be purchased with the payroll deductions accumulated to date by participating employees. Our board of directors or our compensation committee may amend or terminate our 2020 ESPP at any time.</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60"/>
          </w:cols>
          <w:pgMar w:left="320" w:top="455" w:right="51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140" w:firstLine="881"/>
        <w:spacing w:after="0" w:line="256"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2017 to which we have been a party in which the amount involved exceeded $120,000 and in which any of our executive officers, directors or beneficial holders of more than 5% of our capital stock (or any immediate family member of, or person sharing the household with, any of these individuals or entities), which we collectively refer to as a related person, had or will have a direct or indirect material interest, other than compensation arrangements which are described in “Management — Director Compensation” and “Executive Compensation.” We believe that all of these transactions were on terms as favorable as could have been obtained from unrelated third parties.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of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of Common Stock</w:t>
      </w:r>
    </w:p>
    <w:p>
      <w:pPr>
        <w:spacing w:after="0" w:line="229"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From January 2017 to March 2018, we issued and sold an aggregate of 19,890,000 shares of our common stock at a cash purchase price of $0.0001 per share for an aggregate purchase price of approximately $1,989.00.</w:t>
      </w:r>
    </w:p>
    <w:p>
      <w:pPr>
        <w:spacing w:after="0" w:line="162" w:lineRule="exact"/>
        <w:rPr>
          <w:sz w:val="20"/>
          <w:szCs w:val="20"/>
          <w:color w:val="auto"/>
        </w:rPr>
      </w:pPr>
    </w:p>
    <w:p>
      <w:pPr>
        <w:ind w:left="120" w:right="18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shares of our common stock sold to our directors, executive officers and holders of more than 5% of our capital stock:</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6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Affiliated</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4940" w:type="dxa"/>
            <w:vAlign w:val="bottom"/>
            <w:gridSpan w:val="3"/>
          </w:tcPr>
          <w:p>
            <w:pPr>
              <w:jc w:val="center"/>
              <w:ind w:left="2375"/>
              <w:spacing w:after="0" w:line="149" w:lineRule="exact"/>
              <w:rPr>
                <w:sz w:val="20"/>
                <w:szCs w:val="20"/>
                <w:color w:val="auto"/>
              </w:rPr>
            </w:pPr>
            <w:r>
              <w:rPr>
                <w:rFonts w:ascii="Times New Roman" w:cs="Times New Roman" w:eastAsia="Times New Roman" w:hAnsi="Times New Roman"/>
                <w:sz w:val="14"/>
                <w:szCs w:val="14"/>
                <w:b w:val="1"/>
                <w:bCs w:val="1"/>
                <w:color w:val="auto"/>
              </w:rPr>
              <w:t>Director(s) or</w:t>
            </w: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4440" w:type="dxa"/>
            <w:vAlign w:val="bottom"/>
            <w:gridSpan w:val="2"/>
            <w:vMerge w:val="continue"/>
          </w:tcPr>
          <w:p>
            <w:pPr>
              <w:spacing w:after="0"/>
              <w:rPr>
                <w:sz w:val="15"/>
                <w:szCs w:val="15"/>
                <w:color w:val="auto"/>
              </w:rPr>
            </w:pPr>
          </w:p>
        </w:tc>
        <w:tc>
          <w:tcPr>
            <w:tcW w:w="3280" w:type="dxa"/>
            <w:vAlign w:val="bottom"/>
          </w:tcPr>
          <w:p>
            <w:pPr>
              <w:spacing w:after="0"/>
              <w:rPr>
                <w:sz w:val="15"/>
                <w:szCs w:val="15"/>
                <w:color w:val="auto"/>
              </w:rPr>
            </w:pPr>
          </w:p>
        </w:tc>
        <w:tc>
          <w:tcPr>
            <w:tcW w:w="166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Bobak Azamian</w:t>
            </w:r>
          </w:p>
        </w:tc>
        <w:tc>
          <w:tcPr>
            <w:tcW w:w="4940" w:type="dxa"/>
            <w:vAlign w:val="bottom"/>
            <w:gridSpan w:val="3"/>
            <w:shd w:val="clear" w:color="auto" w:fill="CCEEFF"/>
          </w:tcPr>
          <w:p>
            <w:pPr>
              <w:jc w:val="center"/>
              <w:ind w:left="2375"/>
              <w:spacing w:after="0"/>
              <w:rPr>
                <w:sz w:val="20"/>
                <w:szCs w:val="20"/>
                <w:color w:val="auto"/>
              </w:rPr>
            </w:pPr>
            <w:r>
              <w:rPr>
                <w:rFonts w:ascii="Times New Roman" w:cs="Times New Roman" w:eastAsia="Times New Roman" w:hAnsi="Times New Roman"/>
                <w:sz w:val="18"/>
                <w:szCs w:val="18"/>
                <w:color w:val="auto"/>
                <w:w w:val="99"/>
              </w:rPr>
              <w:t>Bobak Azamian</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9,000,000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Ackermann</w:t>
            </w:r>
          </w:p>
        </w:tc>
        <w:tc>
          <w:tcPr>
            <w:tcW w:w="4940" w:type="dxa"/>
            <w:vAlign w:val="bottom"/>
            <w:gridSpan w:val="3"/>
          </w:tcPr>
          <w:p>
            <w:pPr>
              <w:jc w:val="center"/>
              <w:ind w:left="2355"/>
              <w:spacing w:after="0"/>
              <w:rPr>
                <w:sz w:val="20"/>
                <w:szCs w:val="20"/>
                <w:color w:val="auto"/>
              </w:rPr>
            </w:pPr>
            <w:r>
              <w:rPr>
                <w:rFonts w:ascii="Times New Roman" w:cs="Times New Roman" w:eastAsia="Times New Roman" w:hAnsi="Times New Roman"/>
                <w:sz w:val="18"/>
                <w:szCs w:val="18"/>
                <w:color w:val="auto"/>
                <w:w w:val="98"/>
              </w:rPr>
              <w:t>Michael Ackermann</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Link</w:t>
            </w:r>
          </w:p>
        </w:tc>
        <w:tc>
          <w:tcPr>
            <w:tcW w:w="4940" w:type="dxa"/>
            <w:vAlign w:val="bottom"/>
            <w:gridSpan w:val="3"/>
            <w:shd w:val="clear" w:color="auto" w:fill="CCEEFF"/>
          </w:tcPr>
          <w:p>
            <w:pPr>
              <w:jc w:val="center"/>
              <w:ind w:left="2375"/>
              <w:spacing w:after="0"/>
              <w:rPr>
                <w:sz w:val="20"/>
                <w:szCs w:val="20"/>
                <w:color w:val="auto"/>
              </w:rPr>
            </w:pPr>
            <w:r>
              <w:rPr>
                <w:rFonts w:ascii="Times New Roman" w:cs="Times New Roman" w:eastAsia="Times New Roman" w:hAnsi="Times New Roman"/>
                <w:sz w:val="18"/>
                <w:szCs w:val="18"/>
                <w:color w:val="auto"/>
                <w:w w:val="98"/>
              </w:rPr>
              <w:t>William J. Link</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Financing</w:t>
      </w:r>
    </w:p>
    <w:p>
      <w:pPr>
        <w:spacing w:after="0" w:line="22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In March and May 2018, we issued and sold an aggregate of 11,698,716 shares of our Series A Preferred Stock at a cash purchase price of $0.312 per share for an aggregate purchase price of approximately $3.6 million. These shares of Series A Preferred Stock will convert into an aggregate of 11,698,716 shares of Common Stock upon the completion of this offering.</w:t>
      </w:r>
    </w:p>
    <w:p>
      <w:pPr>
        <w:spacing w:after="0" w:line="176"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summarizes purchases of shares of our Series A Preferred Stock by our executive officers, directors and holders of more than 5% of our capital stock:</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6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Affiliated</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80" w:type="dxa"/>
            <w:vAlign w:val="bottom"/>
          </w:tcPr>
          <w:p>
            <w:pPr>
              <w:spacing w:after="0"/>
              <w:rPr>
                <w:sz w:val="12"/>
                <w:szCs w:val="12"/>
                <w:color w:val="auto"/>
              </w:rPr>
            </w:pP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Total Purchase</w:t>
            </w:r>
          </w:p>
        </w:tc>
        <w:tc>
          <w:tcPr>
            <w:tcW w:w="0" w:type="dxa"/>
            <w:vAlign w:val="bottom"/>
          </w:tcPr>
          <w:p>
            <w:pPr>
              <w:spacing w:after="0"/>
              <w:rPr>
                <w:sz w:val="1"/>
                <w:szCs w:val="1"/>
                <w:color w:val="auto"/>
              </w:rPr>
            </w:pPr>
          </w:p>
        </w:tc>
      </w:tr>
      <w:tr>
        <w:trPr>
          <w:trHeight w:val="149"/>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3120" w:type="dxa"/>
            <w:vAlign w:val="bottom"/>
            <w:gridSpan w:val="3"/>
          </w:tcPr>
          <w:p>
            <w:pPr>
              <w:jc w:val="center"/>
              <w:ind w:left="554"/>
              <w:spacing w:after="0" w:line="149" w:lineRule="exact"/>
              <w:rPr>
                <w:sz w:val="20"/>
                <w:szCs w:val="20"/>
                <w:color w:val="auto"/>
              </w:rPr>
            </w:pPr>
            <w:r>
              <w:rPr>
                <w:rFonts w:ascii="Times New Roman" w:cs="Times New Roman" w:eastAsia="Times New Roman" w:hAnsi="Times New Roman"/>
                <w:sz w:val="14"/>
                <w:szCs w:val="14"/>
                <w:b w:val="1"/>
                <w:bCs w:val="1"/>
                <w:color w:val="auto"/>
              </w:rPr>
              <w:t>Director(s) or</w:t>
            </w: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gridSpan w:val="2"/>
            <w:vMerge w:val="continue"/>
          </w:tcPr>
          <w:p>
            <w:pPr>
              <w:spacing w:after="0"/>
              <w:rPr>
                <w:sz w:val="15"/>
                <w:szCs w:val="15"/>
                <w:color w:val="auto"/>
              </w:rPr>
            </w:pPr>
          </w:p>
        </w:tc>
        <w:tc>
          <w:tcPr>
            <w:tcW w:w="1460" w:type="dxa"/>
            <w:vAlign w:val="bottom"/>
          </w:tcPr>
          <w:p>
            <w:pPr>
              <w:spacing w:after="0"/>
              <w:rPr>
                <w:sz w:val="15"/>
                <w:szCs w:val="15"/>
                <w:color w:val="auto"/>
              </w:rPr>
            </w:pPr>
          </w:p>
        </w:tc>
        <w:tc>
          <w:tcPr>
            <w:tcW w:w="16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5"/>
                <w:szCs w:val="15"/>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Horowitz Limited Partnership VIII </w:t>
            </w:r>
            <w:r>
              <w:rPr>
                <w:rFonts w:ascii="Times New Roman" w:cs="Times New Roman" w:eastAsia="Times New Roman" w:hAnsi="Times New Roman"/>
                <w:sz w:val="15"/>
                <w:szCs w:val="15"/>
                <w:color w:val="auto"/>
              </w:rPr>
              <w:t>(1)</w:t>
            </w:r>
          </w:p>
        </w:tc>
        <w:tc>
          <w:tcPr>
            <w:tcW w:w="3120" w:type="dxa"/>
            <w:vAlign w:val="bottom"/>
            <w:gridSpan w:val="3"/>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8"/>
              </w:rPr>
              <w:t>Jason Tester</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10,977,563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3,424,999.66</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Jason Tester </w:t>
            </w:r>
            <w:r>
              <w:rPr>
                <w:rFonts w:ascii="Times New Roman" w:cs="Times New Roman" w:eastAsia="Times New Roman" w:hAnsi="Times New Roman"/>
                <w:sz w:val="15"/>
                <w:szCs w:val="15"/>
                <w:color w:val="auto"/>
              </w:rPr>
              <w:t>(2)</w:t>
            </w:r>
          </w:p>
        </w:tc>
        <w:tc>
          <w:tcPr>
            <w:tcW w:w="3120" w:type="dxa"/>
            <w:vAlign w:val="bottom"/>
            <w:gridSpan w:val="3"/>
          </w:tcPr>
          <w:p>
            <w:pPr>
              <w:jc w:val="center"/>
              <w:ind w:left="554"/>
              <w:spacing w:after="0"/>
              <w:rPr>
                <w:sz w:val="20"/>
                <w:szCs w:val="20"/>
                <w:color w:val="auto"/>
              </w:rPr>
            </w:pPr>
            <w:r>
              <w:rPr>
                <w:rFonts w:ascii="Times New Roman" w:cs="Times New Roman" w:eastAsia="Times New Roman" w:hAnsi="Times New Roman"/>
                <w:sz w:val="18"/>
                <w:szCs w:val="18"/>
                <w:color w:val="auto"/>
                <w:w w:val="98"/>
              </w:rPr>
              <w:t>Jason Tester</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160,256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49,999.97</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Ackermann</w:t>
            </w:r>
          </w:p>
        </w:tc>
        <w:tc>
          <w:tcPr>
            <w:tcW w:w="3120" w:type="dxa"/>
            <w:vAlign w:val="bottom"/>
            <w:gridSpan w:val="3"/>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8"/>
              </w:rPr>
              <w:t>Michael Ackermann</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400,641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125,000.00</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Bobak Azamian</w:t>
            </w:r>
          </w:p>
        </w:tc>
        <w:tc>
          <w:tcPr>
            <w:tcW w:w="3120" w:type="dxa"/>
            <w:vAlign w:val="bottom"/>
            <w:gridSpan w:val="3"/>
          </w:tcPr>
          <w:p>
            <w:pPr>
              <w:jc w:val="center"/>
              <w:ind w:left="554"/>
              <w:spacing w:after="0"/>
              <w:rPr>
                <w:sz w:val="20"/>
                <w:szCs w:val="20"/>
                <w:color w:val="auto"/>
              </w:rPr>
            </w:pPr>
            <w:r>
              <w:rPr>
                <w:rFonts w:ascii="Times New Roman" w:cs="Times New Roman" w:eastAsia="Times New Roman" w:hAnsi="Times New Roman"/>
                <w:sz w:val="18"/>
                <w:szCs w:val="18"/>
                <w:color w:val="auto"/>
                <w:w w:val="99"/>
              </w:rPr>
              <w:t>Bobak Azamian</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160,256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49,999.87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540" w:right="420" w:hanging="424"/>
        <w:spacing w:after="0" w:line="233" w:lineRule="auto"/>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the Horowitz Limited Partnership VIII, who purchased shares of Series A Preferred Stock include the Horowitz Limited Partnership VIII and the Adam S Horowitz Revocable Trust. Jason Tester is an affiliate of Horowitz Limited Partnership VIII.</w:t>
      </w:r>
    </w:p>
    <w:p>
      <w:pPr>
        <w:ind w:left="540" w:hanging="424"/>
        <w:spacing w:after="0"/>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the Jason Tester who purchased shares of Series A Preferred Stock includes the Tester Living Trust.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Convertible Notes</w:t>
      </w:r>
    </w:p>
    <w:p>
      <w:pPr>
        <w:spacing w:after="0" w:line="229" w:lineRule="exact"/>
        <w:rPr>
          <w:sz w:val="20"/>
          <w:szCs w:val="20"/>
          <w:color w:val="auto"/>
        </w:rPr>
      </w:pPr>
    </w:p>
    <w:p>
      <w:pPr>
        <w:jc w:val="both"/>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Throughout 2019, we issued various convertible notes with an aggregate principle amount of $2.0 million, or the 2019 Notes. All principal and interest accrued under the 2019 Notes was converted at various discounts into shares of Series B Preferred Stock in connection with the closing of our Series B preferred stock financing in December 2019.</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40"/>
          </w:cols>
          <w:pgMar w:left="320" w:top="455" w:right="4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principal amount plus accrued interest of the 2019 Notes that was converted, the number of shares of Series B Preferred Stock issued upon conversion of such notes to our executive officers, directors and holders of more than 5% of our capital stock, and their respective affiliates upon conversion of such notes and the aggregate purchase price for such notes: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80" w:type="dxa"/>
            <w:vAlign w:val="bottom"/>
          </w:tcPr>
          <w:p>
            <w:pPr>
              <w:spacing w:after="0"/>
              <w:rPr>
                <w:sz w:val="13"/>
                <w:szCs w:val="13"/>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Affiliated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Promissory Note</w:t>
            </w: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0" w:type="dxa"/>
            <w:vAlign w:val="bottom"/>
          </w:tcPr>
          <w:p>
            <w:pPr>
              <w:spacing w:after="0"/>
              <w:rPr>
                <w:sz w:val="1"/>
                <w:szCs w:val="1"/>
                <w:color w:val="auto"/>
              </w:rPr>
            </w:pPr>
          </w:p>
        </w:tc>
      </w:tr>
      <w:tr>
        <w:trPr>
          <w:trHeight w:val="148"/>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150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Director(s) or</w:t>
            </w:r>
          </w:p>
        </w:tc>
        <w:tc>
          <w:tcPr>
            <w:tcW w:w="240" w:type="dxa"/>
            <w:vAlign w:val="bottom"/>
          </w:tcPr>
          <w:p>
            <w:pPr>
              <w:spacing w:after="0"/>
              <w:rPr>
                <w:sz w:val="12"/>
                <w:szCs w:val="12"/>
                <w:color w:val="auto"/>
              </w:rPr>
            </w:pPr>
          </w:p>
        </w:tc>
        <w:tc>
          <w:tcPr>
            <w:tcW w:w="14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0" w:type="dxa"/>
            <w:vAlign w:val="bottom"/>
          </w:tcPr>
          <w:p>
            <w:pPr>
              <w:spacing w:after="0"/>
              <w:rPr>
                <w:sz w:val="1"/>
                <w:szCs w:val="1"/>
                <w:color w:val="auto"/>
              </w:rPr>
            </w:pPr>
          </w:p>
        </w:tc>
      </w:tr>
      <w:tr>
        <w:trPr>
          <w:trHeight w:val="173"/>
        </w:trPr>
        <w:tc>
          <w:tcPr>
            <w:tcW w:w="5560" w:type="dxa"/>
            <w:vAlign w:val="bottom"/>
            <w:gridSpan w:val="2"/>
            <w:vMerge w:val="continue"/>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Interest ($)</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Horowitz Limited Partnership VIII </w:t>
            </w:r>
            <w:r>
              <w:rPr>
                <w:rFonts w:ascii="Times New Roman" w:cs="Times New Roman" w:eastAsia="Times New Roman" w:hAnsi="Times New Roman"/>
                <w:sz w:val="15"/>
                <w:szCs w:val="15"/>
                <w:color w:val="auto"/>
              </w:rPr>
              <w:t>(1)</w:t>
            </w:r>
          </w:p>
        </w:tc>
        <w:tc>
          <w:tcPr>
            <w:tcW w:w="2780" w:type="dxa"/>
            <w:vAlign w:val="bottom"/>
            <w:gridSpan w:val="3"/>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8"/>
              </w:rPr>
              <w:t>Jason Tester</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1,930,070.20</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1,881,896</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Jason Tester </w:t>
            </w:r>
            <w:r>
              <w:rPr>
                <w:rFonts w:ascii="Times New Roman" w:cs="Times New Roman" w:eastAsia="Times New Roman" w:hAnsi="Times New Roman"/>
                <w:sz w:val="15"/>
                <w:szCs w:val="15"/>
                <w:color w:val="auto"/>
              </w:rPr>
              <w:t>(2)</w:t>
            </w:r>
          </w:p>
        </w:tc>
        <w:tc>
          <w:tcPr>
            <w:tcW w:w="27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color w:val="auto"/>
                <w:w w:val="98"/>
              </w:rPr>
              <w:t>Jason Tester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28,176.15</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27,473</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Bobak Azamian</w:t>
            </w:r>
          </w:p>
        </w:tc>
        <w:tc>
          <w:tcPr>
            <w:tcW w:w="2780" w:type="dxa"/>
            <w:vAlign w:val="bottom"/>
            <w:gridSpan w:val="3"/>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Bobak Azamian</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14,162.48</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13,001</w:t>
            </w:r>
          </w:p>
        </w:tc>
        <w:tc>
          <w:tcPr>
            <w:tcW w:w="0" w:type="dxa"/>
            <w:vAlign w:val="bottom"/>
          </w:tcPr>
          <w:p>
            <w:pPr>
              <w:spacing w:after="0"/>
              <w:rPr>
                <w:sz w:val="1"/>
                <w:szCs w:val="1"/>
                <w:color w:val="auto"/>
              </w:rPr>
            </w:pPr>
          </w:p>
        </w:tc>
      </w:tr>
      <w:tr>
        <w:trPr>
          <w:trHeight w:val="23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Ackermann</w:t>
            </w:r>
          </w:p>
        </w:tc>
        <w:tc>
          <w:tcPr>
            <w:tcW w:w="27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color w:val="auto"/>
              </w:rPr>
              <w:t>Michael Ackermann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70,440.52</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68,682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right="320" w:hanging="424"/>
        <w:spacing w:after="0" w:line="233" w:lineRule="auto"/>
        <w:tabs>
          <w:tab w:leader="none" w:pos="54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Horowitz Limited Partnership VIII whose convertible promissory notes converted into shares of our Series B Preferred Stock include the Horowitz Limited Partnership VIII and the Adam S Horowitz Revocable Trust. Jason Tester is an affiliate of Horowitz Limited Partnership VIII.</w:t>
      </w:r>
    </w:p>
    <w:p>
      <w:pPr>
        <w:ind w:left="540" w:hanging="424"/>
        <w:spacing w:after="0"/>
        <w:tabs>
          <w:tab w:leader="none" w:pos="54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Jason Tester whose convertible promissory notes converted into shares of our Series B Preferred Stock include the Tester Living Trust.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229"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In December 2019, we issued and sold an aggregate of 47,587,571 shares of our Series B Preferred Stock (exclusive of 1,991,052 shares issued upon the conversion of the 2019 Notes) at a cash purchase price of $1.2104 per share for an aggregate purchase price of approximately $57.6 million. These shares of Series B Preferred Stock, together with the shares issued upon conversion of the 2019 Notes, will convert into an aggregate of 49,578,623 shares of common stock upon the completion of this offering. The table below sets forth the number of shares of Series B Preferred Stock sold to our directors, executive officers and holders of more than 5% of our capital stock (not including the 1,991,052 shares of Series B Preferred Stock issued upon the conversion of the 2019 Notes):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2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Affiliated</w:t>
            </w:r>
          </w:p>
        </w:tc>
        <w:tc>
          <w:tcPr>
            <w:tcW w:w="28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240" w:type="dxa"/>
            <w:vAlign w:val="bottom"/>
          </w:tcPr>
          <w:p>
            <w:pPr>
              <w:spacing w:after="0"/>
              <w:rPr>
                <w:sz w:val="12"/>
                <w:szCs w:val="12"/>
                <w:color w:val="auto"/>
              </w:rPr>
            </w:pPr>
          </w:p>
        </w:tc>
        <w:tc>
          <w:tcPr>
            <w:tcW w:w="13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 Purchase</w:t>
            </w:r>
          </w:p>
        </w:tc>
        <w:tc>
          <w:tcPr>
            <w:tcW w:w="0" w:type="dxa"/>
            <w:vAlign w:val="bottom"/>
          </w:tcPr>
          <w:p>
            <w:pPr>
              <w:spacing w:after="0"/>
              <w:rPr>
                <w:sz w:val="1"/>
                <w:szCs w:val="1"/>
                <w:color w:val="auto"/>
              </w:rPr>
            </w:pPr>
          </w:p>
        </w:tc>
      </w:tr>
      <w:tr>
        <w:trPr>
          <w:trHeight w:val="149"/>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180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Director(s) or</w:t>
            </w:r>
          </w:p>
        </w:tc>
        <w:tc>
          <w:tcPr>
            <w:tcW w:w="11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gridSpan w:val="2"/>
            <w:vMerge w:val="continue"/>
          </w:tcPr>
          <w:p>
            <w:pPr>
              <w:spacing w:after="0"/>
              <w:rPr>
                <w:sz w:val="15"/>
                <w:szCs w:val="15"/>
                <w:color w:val="auto"/>
              </w:rPr>
            </w:pPr>
          </w:p>
        </w:tc>
        <w:tc>
          <w:tcPr>
            <w:tcW w:w="1800" w:type="dxa"/>
            <w:vAlign w:val="bottom"/>
          </w:tcPr>
          <w:p>
            <w:pPr>
              <w:spacing w:after="0"/>
              <w:rPr>
                <w:sz w:val="15"/>
                <w:szCs w:val="15"/>
                <w:color w:val="auto"/>
              </w:rPr>
            </w:pPr>
          </w:p>
        </w:tc>
        <w:tc>
          <w:tcPr>
            <w:tcW w:w="15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28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Vivo Capital Fund IX, L.P.</w:t>
            </w:r>
          </w:p>
        </w:tc>
        <w:tc>
          <w:tcPr>
            <w:tcW w:w="332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 xml:space="preserve">Andrew Goldberg </w:t>
            </w:r>
            <w:r>
              <w:rPr>
                <w:rFonts w:ascii="Times New Roman" w:cs="Times New Roman" w:eastAsia="Times New Roman" w:hAnsi="Times New Roman"/>
                <w:sz w:val="15"/>
                <w:szCs w:val="15"/>
                <w:color w:val="auto"/>
                <w:w w:val="99"/>
              </w:rPr>
              <w:t>(1)</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20,654,329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24,999,999.83</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Frazier Life Sciences IX, L.P.</w:t>
            </w:r>
          </w:p>
        </w:tc>
        <w:tc>
          <w:tcPr>
            <w:tcW w:w="33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rPr>
              <w:t xml:space="preserve">Bhaskar Chaudhuri </w:t>
            </w:r>
            <w:r>
              <w:rPr>
                <w:rFonts w:ascii="Times New Roman" w:cs="Times New Roman" w:eastAsia="Times New Roman" w:hAnsi="Times New Roman"/>
                <w:sz w:val="15"/>
                <w:szCs w:val="15"/>
                <w:color w:val="auto"/>
              </w:rPr>
              <w:t>(2)</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10,327,164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12,499,999.31</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Flying L Investments XI, LLC</w:t>
            </w:r>
          </w:p>
        </w:tc>
        <w:tc>
          <w:tcPr>
            <w:tcW w:w="332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8"/>
              </w:rPr>
              <w:t>William J. Link</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8,261,731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9,999,999.21</w:t>
            </w:r>
          </w:p>
        </w:tc>
        <w:tc>
          <w:tcPr>
            <w:tcW w:w="0" w:type="dxa"/>
            <w:vAlign w:val="bottom"/>
          </w:tcPr>
          <w:p>
            <w:pPr>
              <w:spacing w:after="0"/>
              <w:rPr>
                <w:sz w:val="1"/>
                <w:szCs w:val="1"/>
                <w:color w:val="auto"/>
              </w:rPr>
            </w:pPr>
          </w:p>
        </w:tc>
      </w:tr>
      <w:tr>
        <w:trPr>
          <w:trHeight w:val="23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Visionary Venture Fund </w:t>
            </w:r>
            <w:r>
              <w:rPr>
                <w:rFonts w:ascii="Times New Roman" w:cs="Times New Roman" w:eastAsia="Times New Roman" w:hAnsi="Times New Roman"/>
                <w:sz w:val="15"/>
                <w:szCs w:val="15"/>
                <w:color w:val="auto"/>
              </w:rPr>
              <w:t>(3)</w:t>
            </w:r>
          </w:p>
        </w:tc>
        <w:tc>
          <w:tcPr>
            <w:tcW w:w="1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6,196,298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7,499,999.11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hanging="424"/>
        <w:spacing w:after="0"/>
        <w:tabs>
          <w:tab w:leader="none" w:pos="5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Goldberg was designated by Vivo Capital Fund IX, L.P. but does not have any voting or investment control over the shares held by Vivo Capital Fund IX, L.P.</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Chaudhuri was designated by Frazier Life Sciences IX, L.P. but does not have any voting or investment control over the shares held by Frazier Life Sciences IX, L.P.</w:t>
      </w:r>
    </w:p>
    <w:p>
      <w:pPr>
        <w:ind w:left="540" w:right="300" w:hanging="424"/>
        <w:spacing w:after="0" w:line="239" w:lineRule="auto"/>
        <w:tabs>
          <w:tab w:leader="none" w:pos="5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Visionary Venture Fund holding shares of our Series B Preferred Stock which are aggregated for purposes of reporting share ownership information include Visionary Venture Fund II, LP and Visionary Venture Fund II (QP), LP.</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229"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with (i) certain holders of our capital stock, including entities affiliated with Mr. Tester, (ii) entities affiliated with Visionary Venture Fund, (iii) Vivo Capital Fund IX, L.P., (iv) Frazier Life Sciences IX, L.P., (v) Flying L Investments XI, LLC, (vi) Michael Ackermann and (vii) Dr. Azamian.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 — Registration Rights” elsewhere in this prospectus for additional information regarding these registration rights.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55" w:right="4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We are party to an amended and restated voting agreement with certain holders of our capital stock, including (i) entities affiliated with Mr. Tester, (ii) entities affiliated with Visionary Venture Fund, (iii) Vivo Capital Fund IX, L.P., (iv) Frazier Life Sciences IX, L.P., (v) Flying L Investments XI, LLC, (vi) Michael Ackermann and (vii) Dr. Azamian. Under our voting agreement, certain holders of our capital stock have agreed as to the manner in which they will vote their shares of our capital stock on certain matters, including with respect to the election of directors. The voting agreement will terminate upon the completion of this offering, at which time there will be no further contractual obligations regarding the manner in which shares are voted with respect to the election of our directors.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 and Co-Sale Agreement</w:t>
      </w:r>
    </w:p>
    <w:p>
      <w:pPr>
        <w:spacing w:after="0" w:line="229" w:lineRule="exact"/>
        <w:rPr>
          <w:sz w:val="20"/>
          <w:szCs w:val="20"/>
          <w:color w:val="auto"/>
        </w:rPr>
      </w:pPr>
    </w:p>
    <w:p>
      <w:pPr>
        <w:ind w:left="120" w:right="240" w:firstLine="881"/>
        <w:spacing w:after="0" w:line="258" w:lineRule="auto"/>
        <w:rPr>
          <w:sz w:val="20"/>
          <w:szCs w:val="20"/>
          <w:color w:val="auto"/>
        </w:rPr>
      </w:pPr>
      <w:r>
        <w:rPr>
          <w:rFonts w:ascii="Times New Roman" w:cs="Times New Roman" w:eastAsia="Times New Roman" w:hAnsi="Times New Roman"/>
          <w:sz w:val="18"/>
          <w:szCs w:val="18"/>
          <w:color w:val="auto"/>
        </w:rPr>
        <w:t>We are party to an amended and restated first refusal and co-sale agreement with certain holders of our capital stock, including (i) entities affiliated with Mr. Tester, (ii) entities affiliated with Visionary Venture Fund, (iii) Vivo Capital Fund IX, L.P., (iv) Frazier Life Sciences IX, L.P., (v) Flying L Investments XI, LLC, (vi) Michael Ackermann and (vii) Dr. Azamian. Under our first refusal and co-sale agreement, certain holders of our capital stock have the right of first refusal and co-sale relating to the shares of our common stock held by the parties to the agreement. Upon the consummation of this offering our first refusal and co-sale agreement will terminate.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each of our directors and executive officers, in addition to the indemnification provided for in our restated certificate of incorporation and amended and restated bylaws. The indemnification agreements and our restated certificate of incorporation and amended and restated bylaws that will be in effect upon the completion of this offering require us to indemnify our directors, executive officers and certain controlling persons to the fullest extent permitted by Delaware law. See the section titled “Executive Compensation — Limitation of Liability and Indemnification” elsewhere in this prospectus for additional information.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229" w:lineRule="exact"/>
        <w:rPr>
          <w:sz w:val="20"/>
          <w:szCs w:val="20"/>
          <w:color w:val="auto"/>
        </w:rPr>
      </w:pPr>
    </w:p>
    <w:p>
      <w:pPr>
        <w:ind w:left="120" w:right="120" w:firstLine="881"/>
        <w:spacing w:after="0" w:line="255" w:lineRule="auto"/>
        <w:rPr>
          <w:sz w:val="20"/>
          <w:szCs w:val="20"/>
          <w:color w:val="auto"/>
        </w:rPr>
      </w:pPr>
      <w:r>
        <w:rPr>
          <w:rFonts w:ascii="Times New Roman" w:cs="Times New Roman" w:eastAsia="Times New Roman" w:hAnsi="Times New Roman"/>
          <w:sz w:val="18"/>
          <w:szCs w:val="18"/>
          <w:color w:val="auto"/>
        </w:rPr>
        <w:t>Prior to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Our audit committee will have the primary responsibility for reviewing and approving or disapproving such “related party transactions.”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8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June 30, 2020 and as adjusted to reflect the sale of common stock offered by us in this offering, for:</w:t>
      </w:r>
    </w:p>
    <w:p>
      <w:pPr>
        <w:spacing w:after="0" w:line="189" w:lineRule="exact"/>
        <w:rPr>
          <w:sz w:val="20"/>
          <w:szCs w:val="20"/>
          <w:color w:val="auto"/>
        </w:rPr>
      </w:pPr>
    </w:p>
    <w:p>
      <w:pPr>
        <w:ind w:left="1420" w:hanging="319"/>
        <w:spacing w:after="0"/>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jc w:val="both"/>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in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76" w:lineRule="exact"/>
        <w:rPr>
          <w:sz w:val="20"/>
          <w:szCs w:val="20"/>
          <w:color w:val="auto"/>
        </w:rPr>
      </w:pPr>
    </w:p>
    <w:p>
      <w:pPr>
        <w:ind w:left="120" w:right="180" w:firstLine="881"/>
        <w:spacing w:after="0" w:line="255" w:lineRule="auto"/>
        <w:rPr>
          <w:sz w:val="20"/>
          <w:szCs w:val="20"/>
          <w:color w:val="auto"/>
        </w:rPr>
      </w:pPr>
      <w:r>
        <w:rPr>
          <w:rFonts w:ascii="Times New Roman" w:cs="Times New Roman" w:eastAsia="Times New Roman" w:hAnsi="Times New Roman"/>
          <w:sz w:val="18"/>
          <w:szCs w:val="18"/>
          <w:color w:val="auto"/>
        </w:rPr>
        <w:t>Applicable percentage ownership is based on shares of common stock outstanding as of June 30, 2020, after giving effect to the conversion of all outstanding shares of preferred stock as of that date into an aggregate of shares of our common stock. For purposes of computing percentage ownership after this offering, we have assumed that (i) shares of common stock will be issued by us in this offering; (ii) the underwriters will not exercise their option to purchase up to additional shares and (iii) none of our executive officers, directors or</w:t>
      </w:r>
    </w:p>
    <w:p>
      <w:pPr>
        <w:spacing w:after="0" w:line="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stockholders who beneficially own more than five percent of our common stock will participate in this offering. In computing the number of shares of common stock beneficially owned by a person or entity and the percentage ownership of that person or entity, we deemed to be outstanding all shares of common stock subject to options held by that person or entity that are currently exercisable or that will become exercisable within 60 days of June 30, 2020. We did not deem these shares outstanding, however, such shares were included for the purpose of computing the percentage ownership of any other person or entity.</w:t>
      </w:r>
    </w:p>
    <w:p>
      <w:pPr>
        <w:spacing w:after="0" w:line="187"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Tarsus Pharmaceuticals, Inc., 15440 Laguna Canyon Road, Irvine, California 92618.</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4540" w:type="dxa"/>
            <w:vAlign w:val="bottom"/>
            <w:gridSpan w:val="6"/>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220" w:type="dxa"/>
            <w:vAlign w:val="bottom"/>
          </w:tcPr>
          <w:p>
            <w:pPr>
              <w:spacing w:after="0"/>
              <w:rPr>
                <w:sz w:val="13"/>
                <w:szCs w:val="13"/>
                <w:color w:val="auto"/>
              </w:rPr>
            </w:pPr>
          </w:p>
        </w:tc>
        <w:tc>
          <w:tcPr>
            <w:tcW w:w="14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54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Owned After</w:t>
            </w:r>
          </w:p>
        </w:tc>
        <w:tc>
          <w:tcPr>
            <w:tcW w:w="0" w:type="dxa"/>
            <w:vAlign w:val="bottom"/>
          </w:tcPr>
          <w:p>
            <w:pPr>
              <w:spacing w:after="0"/>
              <w:rPr>
                <w:sz w:val="1"/>
                <w:szCs w:val="1"/>
                <w:color w:val="auto"/>
              </w:rPr>
            </w:pPr>
          </w:p>
        </w:tc>
      </w:tr>
      <w:tr>
        <w:trPr>
          <w:trHeight w:val="173"/>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200" w:type="dxa"/>
            <w:vAlign w:val="bottom"/>
            <w:vMerge w:val="restart"/>
          </w:tcPr>
          <w:p>
            <w:pPr>
              <w:spacing w:after="0"/>
              <w:rPr>
                <w:sz w:val="15"/>
                <w:szCs w:val="15"/>
                <w:color w:val="auto"/>
              </w:rPr>
            </w:pPr>
          </w:p>
        </w:tc>
        <w:tc>
          <w:tcPr>
            <w:tcW w:w="2040" w:type="dxa"/>
            <w:vAlign w:val="bottom"/>
          </w:tcPr>
          <w:p>
            <w:pPr>
              <w:spacing w:after="0"/>
              <w:rPr>
                <w:sz w:val="15"/>
                <w:szCs w:val="15"/>
                <w:color w:val="auto"/>
              </w:rPr>
            </w:pPr>
          </w:p>
        </w:tc>
        <w:tc>
          <w:tcPr>
            <w:tcW w:w="16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8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20" w:type="dxa"/>
            <w:vAlign w:val="bottom"/>
            <w:tcBorders>
              <w:bottom w:val="single" w:sz="8" w:color="auto"/>
            </w:tcBorders>
            <w:vMerge w:val="continue"/>
          </w:tcPr>
          <w:p>
            <w:pPr>
              <w:spacing w:after="0"/>
              <w:rPr>
                <w:sz w:val="12"/>
                <w:szCs w:val="12"/>
                <w:color w:val="auto"/>
              </w:rPr>
            </w:pPr>
          </w:p>
        </w:tc>
        <w:tc>
          <w:tcPr>
            <w:tcW w:w="320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4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4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660" w:type="dxa"/>
            <w:vAlign w:val="bottom"/>
          </w:tcPr>
          <w:p>
            <w:pPr>
              <w:spacing w:after="0"/>
              <w:rPr>
                <w:sz w:val="12"/>
                <w:szCs w:val="12"/>
                <w:color w:val="auto"/>
              </w:rPr>
            </w:pPr>
          </w:p>
        </w:tc>
        <w:tc>
          <w:tcPr>
            <w:tcW w:w="4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00" w:type="dxa"/>
            <w:vAlign w:val="bottom"/>
          </w:tcPr>
          <w:p>
            <w:pPr>
              <w:spacing w:after="0"/>
              <w:rPr>
                <w:sz w:val="12"/>
                <w:szCs w:val="12"/>
                <w:color w:val="auto"/>
              </w:rPr>
            </w:pPr>
          </w:p>
        </w:tc>
        <w:tc>
          <w:tcPr>
            <w:tcW w:w="7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Bobak Azamian </w:t>
            </w:r>
            <w:r>
              <w:rPr>
                <w:rFonts w:ascii="Times New Roman" w:cs="Times New Roman" w:eastAsia="Times New Roman" w:hAnsi="Times New Roman"/>
                <w:sz w:val="15"/>
                <w:szCs w:val="15"/>
                <w:color w:val="auto"/>
              </w:rPr>
              <w:t>(1)</w:t>
            </w:r>
          </w:p>
        </w:tc>
        <w:tc>
          <w:tcPr>
            <w:tcW w:w="3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10,266,193</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12.43%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Michael Ackermann </w:t>
            </w:r>
            <w:r>
              <w:rPr>
                <w:rFonts w:ascii="Times New Roman" w:cs="Times New Roman" w:eastAsia="Times New Roman" w:hAnsi="Times New Roman"/>
                <w:sz w:val="15"/>
                <w:szCs w:val="15"/>
                <w:color w:val="auto"/>
              </w:rPr>
              <w:t>(2)</w:t>
            </w:r>
          </w:p>
        </w:tc>
        <w:tc>
          <w:tcPr>
            <w:tcW w:w="32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9,127,966</w:t>
            </w: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Jason Tester </w:t>
            </w:r>
            <w:r>
              <w:rPr>
                <w:rFonts w:ascii="Times New Roman" w:cs="Times New Roman" w:eastAsia="Times New Roman" w:hAnsi="Times New Roman"/>
                <w:sz w:val="15"/>
                <w:szCs w:val="15"/>
                <w:color w:val="auto"/>
              </w:rPr>
              <w:t>(3)</w:t>
            </w:r>
          </w:p>
        </w:tc>
        <w:tc>
          <w:tcPr>
            <w:tcW w:w="3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12,671,731</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15.55%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Goldberg</w:t>
            </w:r>
          </w:p>
        </w:tc>
        <w:tc>
          <w:tcPr>
            <w:tcW w:w="20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William J. Link </w:t>
            </w:r>
            <w:r>
              <w:rPr>
                <w:rFonts w:ascii="Times New Roman" w:cs="Times New Roman" w:eastAsia="Times New Roman" w:hAnsi="Times New Roman"/>
                <w:sz w:val="15"/>
                <w:szCs w:val="15"/>
                <w:color w:val="auto"/>
              </w:rPr>
              <w:t>(5)</w:t>
            </w:r>
          </w:p>
        </w:tc>
        <w:tc>
          <w:tcPr>
            <w:tcW w:w="3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9,261,731</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11.37%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Bhaskar Chaudhuri</w:t>
            </w:r>
          </w:p>
        </w:tc>
        <w:tc>
          <w:tcPr>
            <w:tcW w:w="20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Leo M. Greenstein </w:t>
            </w:r>
            <w:r>
              <w:rPr>
                <w:rFonts w:ascii="Times New Roman" w:cs="Times New Roman" w:eastAsia="Times New Roman" w:hAnsi="Times New Roman"/>
                <w:sz w:val="15"/>
                <w:szCs w:val="15"/>
                <w:color w:val="auto"/>
              </w:rPr>
              <w:t>(6)</w:t>
            </w:r>
          </w:p>
        </w:tc>
        <w:tc>
          <w:tcPr>
            <w:tcW w:w="3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870,370</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Seshadri Neervannan</w:t>
            </w:r>
          </w:p>
        </w:tc>
        <w:tc>
          <w:tcPr>
            <w:tcW w:w="20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Mark Holdbrook </w:t>
            </w:r>
            <w:r>
              <w:rPr>
                <w:rFonts w:ascii="Times New Roman" w:cs="Times New Roman" w:eastAsia="Times New Roman" w:hAnsi="Times New Roman"/>
                <w:sz w:val="15"/>
                <w:szCs w:val="15"/>
                <w:color w:val="auto"/>
              </w:rPr>
              <w:t>(7)</w:t>
            </w:r>
          </w:p>
        </w:tc>
        <w:tc>
          <w:tcPr>
            <w:tcW w:w="3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582,550</w:t>
            </w:r>
          </w:p>
        </w:tc>
        <w:tc>
          <w:tcPr>
            <w:tcW w:w="13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All executive officers and directors as a group (9 persons) </w:t>
            </w:r>
            <w:r>
              <w:rPr>
                <w:rFonts w:ascii="Times New Roman" w:cs="Times New Roman" w:eastAsia="Times New Roman" w:hAnsi="Times New Roman"/>
                <w:sz w:val="15"/>
                <w:szCs w:val="15"/>
                <w:color w:val="auto"/>
              </w:rPr>
              <w:t>(8)</w:t>
            </w:r>
          </w:p>
        </w:tc>
        <w:tc>
          <w:tcPr>
            <w:tcW w:w="32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42,780,541</w:t>
            </w: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51.22%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2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Horowitz Limited Partnership VIII </w:t>
            </w:r>
            <w:r>
              <w:rPr>
                <w:rFonts w:ascii="Times New Roman" w:cs="Times New Roman" w:eastAsia="Times New Roman" w:hAnsi="Times New Roman"/>
                <w:sz w:val="15"/>
                <w:szCs w:val="15"/>
                <w:color w:val="auto"/>
              </w:rPr>
              <w:t>(9)</w:t>
            </w:r>
          </w:p>
        </w:tc>
        <w:tc>
          <w:tcPr>
            <w:tcW w:w="32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12,859,459</w:t>
            </w: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Vivo Capital Fund IX, L.P. </w:t>
            </w:r>
            <w:r>
              <w:rPr>
                <w:rFonts w:ascii="Times New Roman" w:cs="Times New Roman" w:eastAsia="Times New Roman" w:hAnsi="Times New Roman"/>
                <w:sz w:val="15"/>
                <w:szCs w:val="15"/>
                <w:color w:val="auto"/>
              </w:rPr>
              <w:t>(4)</w:t>
            </w:r>
          </w:p>
        </w:tc>
        <w:tc>
          <w:tcPr>
            <w:tcW w:w="3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20,654,329</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25.35%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Flying L Investments XI, LLC </w:t>
            </w:r>
            <w:r>
              <w:rPr>
                <w:rFonts w:ascii="Times New Roman" w:cs="Times New Roman" w:eastAsia="Times New Roman" w:hAnsi="Times New Roman"/>
                <w:sz w:val="15"/>
                <w:szCs w:val="15"/>
                <w:color w:val="auto"/>
              </w:rPr>
              <w:t>(10)</w:t>
            </w:r>
          </w:p>
        </w:tc>
        <w:tc>
          <w:tcPr>
            <w:tcW w:w="32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8,261,731</w:t>
            </w: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Frazier Life Sciences IX, L.P. </w:t>
            </w:r>
            <w:r>
              <w:rPr>
                <w:rFonts w:ascii="Times New Roman" w:cs="Times New Roman" w:eastAsia="Times New Roman" w:hAnsi="Times New Roman"/>
                <w:sz w:val="15"/>
                <w:szCs w:val="15"/>
                <w:color w:val="auto"/>
              </w:rPr>
              <w:t>(11)</w:t>
            </w:r>
          </w:p>
        </w:tc>
        <w:tc>
          <w:tcPr>
            <w:tcW w:w="3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10,327,164</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12.68%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Visionary Venture Fund </w:t>
            </w:r>
            <w:r>
              <w:rPr>
                <w:rFonts w:ascii="Times New Roman" w:cs="Times New Roman" w:eastAsia="Times New Roman" w:hAnsi="Times New Roman"/>
                <w:sz w:val="15"/>
                <w:szCs w:val="15"/>
                <w:color w:val="auto"/>
              </w:rPr>
              <w:t>(12)</w:t>
            </w:r>
          </w:p>
        </w:tc>
        <w:tc>
          <w:tcPr>
            <w:tcW w:w="32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6,196,298</w:t>
            </w: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4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-171-</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294005</wp:posOffset>
            </wp:positionV>
            <wp:extent cx="7715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48" w:lineRule="exact"/>
        <w:rPr>
          <w:sz w:val="20"/>
          <w:szCs w:val="20"/>
          <w:color w:val="auto"/>
        </w:rPr>
      </w:pPr>
    </w:p>
    <w:p>
      <w:pPr>
        <w:ind w:left="540" w:right="20" w:hanging="424"/>
        <w:spacing w:after="0" w:line="24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13,001 shares of common stock held directly by Dr. Azamian (ii) 1,092,936 shares of common stock issuable pursuant to options held directly by Dr. Azamian exercisable within 60 days of June 30, 2020, and (iii) 9,160,256 shares of common stock held by Bobak Azamian, as Trustee of the Bobak Azamian Living Trust, established April 16, 2018. Dr. Azamian is a trustee the Bobak Azamian Living Trust, established April 16, 2018 and has voting and investment control with respect to these shares.</w:t>
      </w:r>
    </w:p>
    <w:p>
      <w:pPr>
        <w:spacing w:after="0" w:line="203"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9,127,966 shares of common stock held directly by Dr. Ackermann.</w:t>
      </w:r>
    </w:p>
    <w:p>
      <w:pPr>
        <w:spacing w:after="0" w:line="230" w:lineRule="exact"/>
        <w:rPr>
          <w:rFonts w:ascii="Times New Roman" w:cs="Times New Roman" w:eastAsia="Times New Roman" w:hAnsi="Times New Roman"/>
          <w:sz w:val="14"/>
          <w:szCs w:val="14"/>
          <w:color w:val="auto"/>
        </w:rPr>
      </w:pPr>
    </w:p>
    <w:p>
      <w:pPr>
        <w:ind w:left="540" w:right="40" w:hanging="424"/>
        <w:spacing w:after="0" w:line="233"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12,484,002 shares of common stock held by Horowitz Limited Partnership VIII (ii) 187,729 shares of common stock held by the Tester Living Trust. Mr. Tester is a trustee of the Tester Living Trust, and has voting and investment control with respect to these shares. Mr. Tester is the Chief Financial Officer of Horowitz Management, Inc., the managing partner of Horowitz Limited Partnership VIII, and in his capacity as such, Mr. Tester may be deemed to have shared voting and or investment power over the shares held by Horowitz Limited Partnership VIII. Mr. Tester disclaims beneficial ownership of the shares held by Horowitz Limited Partnership VIII. Mr. Tester disclaims beneficial ownership of the shares held by Horowitz Limited Partnership VIII.</w:t>
      </w:r>
    </w:p>
    <w:p>
      <w:pPr>
        <w:spacing w:after="0" w:line="204" w:lineRule="exact"/>
        <w:rPr>
          <w:rFonts w:ascii="Times New Roman" w:cs="Times New Roman" w:eastAsia="Times New Roman" w:hAnsi="Times New Roman"/>
          <w:sz w:val="14"/>
          <w:szCs w:val="14"/>
          <w:color w:val="auto"/>
        </w:rPr>
      </w:pPr>
    </w:p>
    <w:p>
      <w:pPr>
        <w:ind w:left="540" w:hanging="424"/>
        <w:spacing w:after="0" w:line="236"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20,654,329 shares of common stock held of record by Vivo Capital Fund IX, L.P. Vivo Capital IX, LLC is the general partner of Vivo Capital Fund IX, L.P. The voting members of Vivo Capital IX, LLC are Frank Kung, Albert Cha, Edgar Engleman, Shan Fu and Chen Yu. None of such voting members have individual voting or investment power with respect to these shares and each of whom disclaims beneficial ownership of such shares. The principal business address of Vivo Capital IX, LLC is 192 Lytton Avenue, Palo Alto, CA 94301.</w:t>
      </w:r>
    </w:p>
    <w:p>
      <w:pPr>
        <w:spacing w:after="0" w:line="203" w:lineRule="exact"/>
        <w:rPr>
          <w:rFonts w:ascii="Times New Roman" w:cs="Times New Roman" w:eastAsia="Times New Roman" w:hAnsi="Times New Roman"/>
          <w:sz w:val="14"/>
          <w:szCs w:val="14"/>
          <w:color w:val="auto"/>
        </w:rPr>
      </w:pPr>
    </w:p>
    <w:p>
      <w:pPr>
        <w:ind w:left="540" w:right="140" w:hanging="424"/>
        <w:spacing w:after="0" w:line="24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1,000,000 shares of common stock held directly by Dr. Link and (ii) 8,261,731 shares of common stock owned by Flying L Investments XI, LLC. Dr. Link is the Manager of Flying L Investments XI, LLC, and in his capacity as such, Dr. Link may be deemed to have sole voting and investment power over shares held by Flying L Investments XI, LLC. Dr. Link disclaims beneficial ownership of the shares held by Flying L Investments XI, LLC except to the extent of his pecuniary interest in such shares.</w:t>
      </w:r>
    </w:p>
    <w:p>
      <w:pPr>
        <w:spacing w:after="0" w:line="203" w:lineRule="exact"/>
        <w:rPr>
          <w:rFonts w:ascii="Times New Roman" w:cs="Times New Roman" w:eastAsia="Times New Roman" w:hAnsi="Times New Roman"/>
          <w:sz w:val="14"/>
          <w:szCs w:val="14"/>
          <w:color w:val="auto"/>
        </w:rPr>
      </w:pPr>
    </w:p>
    <w:p>
      <w:pPr>
        <w:ind w:left="540" w:right="480" w:hanging="424"/>
        <w:spacing w:after="0" w:line="261"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500,000 shares of common stock held directly by Mr. Greenstein and 370,370 shares of common stock issuable pursuant to options held directly by Mr. Greenstein exercisable within 60 days of June 30, 2020.</w:t>
      </w:r>
    </w:p>
    <w:p>
      <w:pPr>
        <w:spacing w:after="0" w:line="18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582,550 shares of common stock issuable pursuant to options held directly by Mr. Holdbrook exercisable within 60 days of June 30, 2020.</w:t>
      </w:r>
    </w:p>
    <w:p>
      <w:pPr>
        <w:spacing w:after="0" w:line="230"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footnotes (1) through (7) above.</w:t>
      </w:r>
    </w:p>
    <w:p>
      <w:pPr>
        <w:spacing w:after="0" w:line="230" w:lineRule="exact"/>
        <w:rPr>
          <w:rFonts w:ascii="Times New Roman" w:cs="Times New Roman" w:eastAsia="Times New Roman" w:hAnsi="Times New Roman"/>
          <w:sz w:val="14"/>
          <w:szCs w:val="14"/>
          <w:color w:val="auto"/>
        </w:rPr>
      </w:pPr>
    </w:p>
    <w:p>
      <w:pPr>
        <w:ind w:left="540" w:right="120" w:hanging="424"/>
        <w:spacing w:after="0" w:line="233"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12,484,002 shares of common stock held by Horowitz Limited Partnership VIII and (ii) 375,457 shares of common stock held by Adam S. Horowitz Revocable Trust. Mr. Tester is the Chief Financial Officer of Horowitz Management, Inc., the managing partner of Horowitz Limited Partnership VIII, and in his capacity as such, Mr. Tester may be deemed to have shared voting and or investment power over the shares held by Horowitz Limited Partnership VIII. Mr. Tester disclaims beneficial ownership of the shares held by Horowitz Limited Partnership VIII. Mr. Tester disclaims beneficial ownership of the shares held by the shares held by Horowitz Limited Partnership VIII and Adam S. Horowitz Revocable Trust. The principal business address of Horowitz Limited Partnership VIII is 27241 La Paz Road, Suite B, Laguna Niguel, CA 92677.</w:t>
      </w:r>
    </w:p>
    <w:p>
      <w:pPr>
        <w:spacing w:after="0" w:line="204"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8,261,731 shares of common stock owned by Flying L Investments XI, LLC. Dr. Link is the Manager of Flying L Investments XI, LLC, and in his capacity as such,</w:t>
      </w:r>
    </w:p>
    <w:p>
      <w:pPr>
        <w:spacing w:after="0" w:line="3" w:lineRule="exact"/>
        <w:rPr>
          <w:rFonts w:ascii="Times New Roman" w:cs="Times New Roman" w:eastAsia="Times New Roman" w:hAnsi="Times New Roman"/>
          <w:sz w:val="14"/>
          <w:szCs w:val="14"/>
          <w:color w:val="auto"/>
        </w:rPr>
      </w:pPr>
    </w:p>
    <w:p>
      <w:pPr>
        <w:ind w:left="540" w:right="8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Link may be deemed to have sole voting and investment power over shares held by Flying L Investments XI, LLC. Dr. Link disclaims beneficial ownership of the shares held by Flying L Investments XI, LLC except to the extent of his pecuniary interest in such shares. The principal business address of Flying L Investments XI, LLC is 11 Linda Isle, Newport Beach, CA 92660.</w:t>
      </w:r>
    </w:p>
    <w:p>
      <w:pPr>
        <w:spacing w:after="0" w:line="203" w:lineRule="exact"/>
        <w:rPr>
          <w:rFonts w:ascii="Times New Roman" w:cs="Times New Roman" w:eastAsia="Times New Roman" w:hAnsi="Times New Roman"/>
          <w:sz w:val="14"/>
          <w:szCs w:val="14"/>
          <w:color w:val="auto"/>
        </w:rPr>
      </w:pPr>
    </w:p>
    <w:p>
      <w:pPr>
        <w:ind w:left="540" w:right="60" w:hanging="424"/>
        <w:spacing w:after="0" w:line="236"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10,327,164 shares of common stock owned by Frazier Life Sciences IX, L.P., or FLS LP. The general partner of FLS LP is FHMLS IX, L.P., and the general partner of FHMLS IX, L.P. is FHMLS IX, LLC. James Topper and Patrick J. Heron are the sole managing members of FHMLS IX, LLC, and share voting and investment power with respect to such shares held by FLS LP. Dr. Topper and Mr. Heron disclaim beneficial ownership of such shares except to the extent of their pecuniary interest in such shares. The principal business address of Frazier Life Sciences IX, L.P. is Two Union Square, 601 Union St., Suite 3200, Seattle, WA 98101.</w:t>
      </w:r>
    </w:p>
    <w:p>
      <w:pPr>
        <w:spacing w:after="0" w:line="203" w:lineRule="exact"/>
        <w:rPr>
          <w:rFonts w:ascii="Times New Roman" w:cs="Times New Roman" w:eastAsia="Times New Roman" w:hAnsi="Times New Roman"/>
          <w:sz w:val="14"/>
          <w:szCs w:val="14"/>
          <w:color w:val="auto"/>
        </w:rPr>
      </w:pPr>
    </w:p>
    <w:p>
      <w:pPr>
        <w:ind w:left="540" w:right="200" w:hanging="424"/>
        <w:spacing w:after="0" w:line="236" w:lineRule="auto"/>
        <w:tabs>
          <w:tab w:leader="none" w:pos="5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4,662,095 shares of common stock held by Visionary Venture Fund II (QP), LP and (ii) 1,534,203 shares of common stock owned by Visionary Venture Fund II, LP. VMP Investments, Inc. is the manager of Visionary Venture Fund II, LP and Visionary Venture Fund II (QP). Jeffry K Weinhuff is the President of VMP Investments, Inc. and disclaims beneficial ownership of the shares held by Visionary Venture Fund II, LP and Visionary Venture Fund II (QP) except to the extent of his pecuniary interest in such shares. The principal business address of Visionary Venture Fund II, LP is 65 Enterprise, Suite 330, Aliso Viejo, CA 92656.</w:t>
      </w:r>
    </w:p>
    <w:p>
      <w:pPr>
        <w:spacing w:after="0" w:line="113" w:lineRule="exact"/>
        <w:rPr>
          <w:rFonts w:ascii="Times New Roman" w:cs="Times New Roman" w:eastAsia="Times New Roman" w:hAnsi="Times New Roman"/>
          <w:sz w:val="14"/>
          <w:szCs w:val="14"/>
          <w:color w:val="auto"/>
        </w:rPr>
      </w:pPr>
    </w:p>
    <w:p>
      <w:pPr>
        <w:ind w:left="5480" w:hanging="96"/>
        <w:spacing w:after="0"/>
        <w:tabs>
          <w:tab w:leader="none" w:pos="54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172 -</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A description of our capital stock and the material terms and provisions of our amended and restated certificate of incorporation and amended and restated bylaws that will be in effect upon the completion of this offering and affecting the rights of holders of our capital stock is set forth below. The forms of our amended and restated certificate of incorporation and our amended and restated bylaws to be adopted in connection with this offering are filed as exhibits to the registration statement relating to this prospectus.</w:t>
      </w:r>
    </w:p>
    <w:p>
      <w:pPr>
        <w:spacing w:after="0" w:line="187" w:lineRule="exact"/>
        <w:rPr>
          <w:sz w:val="20"/>
          <w:szCs w:val="20"/>
          <w:color w:val="auto"/>
        </w:rPr>
      </w:pPr>
    </w:p>
    <w:p>
      <w:pPr>
        <w:ind w:left="120" w:right="100" w:firstLine="881"/>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62" w:lineRule="exact"/>
        <w:rPr>
          <w:sz w:val="20"/>
          <w:szCs w:val="20"/>
          <w:color w:val="auto"/>
        </w:rPr>
      </w:pPr>
    </w:p>
    <w:p>
      <w:pPr>
        <w:ind w:left="1000"/>
        <w:spacing w:after="0"/>
        <w:tabs>
          <w:tab w:leader="none" w:pos="7580" w:val="left"/>
        </w:tabs>
        <w:rPr>
          <w:sz w:val="20"/>
          <w:szCs w:val="20"/>
          <w:color w:val="auto"/>
        </w:rPr>
      </w:pPr>
      <w:r>
        <w:rPr>
          <w:rFonts w:ascii="Times New Roman" w:cs="Times New Roman" w:eastAsia="Times New Roman" w:hAnsi="Times New Roman"/>
          <w:sz w:val="18"/>
          <w:szCs w:val="18"/>
          <w:color w:val="auto"/>
        </w:rPr>
        <w:t>Upon the completion of this offering, our authorized capital stock will consist of</w:t>
      </w:r>
      <w:r>
        <w:rPr>
          <w:sz w:val="20"/>
          <w:szCs w:val="20"/>
          <w:color w:val="auto"/>
        </w:rPr>
        <w:tab/>
      </w:r>
      <w:r>
        <w:rPr>
          <w:rFonts w:ascii="Times New Roman" w:cs="Times New Roman" w:eastAsia="Times New Roman" w:hAnsi="Times New Roman"/>
          <w:sz w:val="17"/>
          <w:szCs w:val="17"/>
          <w:color w:val="auto"/>
        </w:rPr>
        <w:t>shares, all with a par value of $0.0001 per share,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which:</w:t>
      </w:r>
    </w:p>
    <w:p>
      <w:pPr>
        <w:spacing w:after="0" w:line="234" w:lineRule="exact"/>
        <w:rPr>
          <w:sz w:val="20"/>
          <w:szCs w:val="20"/>
          <w:color w:val="auto"/>
        </w:rPr>
      </w:pPr>
    </w:p>
    <w:p>
      <w:pPr>
        <w:ind w:left="2200" w:hanging="1099"/>
        <w:spacing w:after="0"/>
        <w:tabs>
          <w:tab w:leader="none" w:pos="2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common stock; and</w:t>
      </w:r>
    </w:p>
    <w:p>
      <w:pPr>
        <w:spacing w:after="0" w:line="252" w:lineRule="exact"/>
        <w:rPr>
          <w:rFonts w:ascii="Times New Roman" w:cs="Times New Roman" w:eastAsia="Times New Roman" w:hAnsi="Times New Roman"/>
          <w:sz w:val="18"/>
          <w:szCs w:val="18"/>
          <w:color w:val="auto"/>
        </w:rPr>
      </w:pPr>
    </w:p>
    <w:p>
      <w:pPr>
        <w:ind w:left="2200" w:hanging="1099"/>
        <w:spacing w:after="0"/>
        <w:tabs>
          <w:tab w:leader="none" w:pos="2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preferred stock.</w:t>
      </w:r>
    </w:p>
    <w:p>
      <w:pPr>
        <w:sectPr>
          <w:pgSz w:w="11900" w:h="16838" w:orient="portrait"/>
          <w:cols w:equalWidth="0" w:num="1">
            <w:col w:w="11080"/>
          </w:cols>
          <w:pgMar w:left="320" w:top="455" w:right="499" w:bottom="1440" w:gutter="0" w:footer="0" w:header="0"/>
        </w:sectPr>
      </w:pPr>
    </w:p>
    <w:p>
      <w:pPr>
        <w:spacing w:after="0" w:line="225" w:lineRule="exact"/>
        <w:rPr>
          <w:sz w:val="20"/>
          <w:szCs w:val="20"/>
          <w:color w:val="auto"/>
        </w:rPr>
      </w:pPr>
    </w:p>
    <w:p>
      <w:pPr>
        <w:ind w:left="120" w:right="100" w:firstLine="881"/>
        <w:spacing w:after="0" w:line="282" w:lineRule="auto"/>
        <w:rPr>
          <w:sz w:val="20"/>
          <w:szCs w:val="20"/>
          <w:color w:val="auto"/>
        </w:rPr>
      </w:pPr>
      <w:r>
        <w:rPr>
          <w:rFonts w:ascii="Times New Roman" w:cs="Times New Roman" w:eastAsia="Times New Roman" w:hAnsi="Times New Roman"/>
          <w:sz w:val="18"/>
          <w:szCs w:val="18"/>
          <w:color w:val="auto"/>
        </w:rPr>
        <w:t>As of June 30, 2020, after giving effect to the conversion of all outstanding shares of preferred stock into an aggregate of of our common stock, there were outstanding: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479" w:lineRule="exact"/>
        <w:rPr>
          <w:sz w:val="20"/>
          <w:szCs w:val="20"/>
          <w:color w:val="auto"/>
        </w:rPr>
      </w:pPr>
    </w:p>
    <w:p>
      <w:pPr>
        <w:sectPr>
          <w:pgSz w:w="11900" w:h="16838" w:orient="portrait"/>
          <w:cols w:equalWidth="0" w:num="2">
            <w:col w:w="9800" w:space="720"/>
            <w:col w:w="560"/>
          </w:cols>
          <w:pgMar w:left="320" w:top="455" w:right="49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00" w:firstLine="765"/>
        <w:spacing w:after="0" w:line="282" w:lineRule="auto"/>
        <w:rPr>
          <w:sz w:val="20"/>
          <w:szCs w:val="20"/>
          <w:color w:val="auto"/>
        </w:rPr>
      </w:pPr>
      <w:r>
        <w:rPr>
          <w:rFonts w:ascii="Times New Roman" w:cs="Times New Roman" w:eastAsia="Times New Roman" w:hAnsi="Times New Roman"/>
          <w:sz w:val="18"/>
          <w:szCs w:val="18"/>
          <w:color w:val="auto"/>
        </w:rPr>
        <w:t>shares of our common stock held of record by 48 stockholders, including are subject to our right of repurchase;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shares of restricted common stock that</w:t>
      </w:r>
    </w:p>
    <w:p>
      <w:pPr>
        <w:spacing w:after="0" w:line="479" w:lineRule="exact"/>
        <w:rPr>
          <w:sz w:val="20"/>
          <w:szCs w:val="20"/>
          <w:color w:val="auto"/>
        </w:rPr>
      </w:pPr>
    </w:p>
    <w:p>
      <w:pPr>
        <w:sectPr>
          <w:pgSz w:w="11900" w:h="16838" w:orient="portrait"/>
          <w:cols w:equalWidth="0" w:num="3">
            <w:col w:w="1160" w:space="260"/>
            <w:col w:w="6120" w:space="720"/>
            <w:col w:w="2820"/>
          </w:cols>
          <w:pgMar w:left="320" w:top="455" w:right="499" w:bottom="1440" w:gutter="0" w:footer="0" w:header="0"/>
          <w:type w:val="continuous"/>
        </w:sectPr>
      </w:pPr>
    </w:p>
    <w:p>
      <w:pPr>
        <w:ind w:left="2200" w:hanging="1099"/>
        <w:spacing w:after="0"/>
        <w:tabs>
          <w:tab w:leader="none" w:pos="22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issuable upon exercise of outstanding stock options.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completion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jc w:val="center"/>
        <w:ind w:left="120" w:right="100"/>
        <w:spacing w:after="0" w:line="454" w:lineRule="auto"/>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 -173-</w:t>
      </w:r>
    </w:p>
    <w:p>
      <w:pPr>
        <w:sectPr>
          <w:pgSz w:w="11900" w:h="16838" w:orient="portrait"/>
          <w:cols w:equalWidth="0" w:num="1">
            <w:col w:w="11080"/>
          </w:cols>
          <w:pgMar w:left="320" w:top="455" w:right="499" w:bottom="1440" w:gutter="0" w:footer="0" w:header="0"/>
          <w:type w:val="continuous"/>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29" w:lineRule="exact"/>
        <w:rPr>
          <w:sz w:val="20"/>
          <w:szCs w:val="20"/>
          <w:color w:val="auto"/>
        </w:rPr>
      </w:pPr>
    </w:p>
    <w:p>
      <w:pPr>
        <w:jc w:val="both"/>
        <w:ind w:left="120" w:right="320" w:firstLine="881"/>
        <w:spacing w:after="0" w:line="266" w:lineRule="auto"/>
        <w:rPr>
          <w:sz w:val="20"/>
          <w:szCs w:val="20"/>
          <w:color w:val="auto"/>
        </w:rPr>
      </w:pPr>
      <w:r>
        <w:rPr>
          <w:rFonts w:ascii="Times New Roman" w:cs="Times New Roman" w:eastAsia="Times New Roman" w:hAnsi="Times New Roman"/>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associated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p>
      <w:pPr>
        <w:sectPr>
          <w:pgSz w:w="11900" w:h="16838" w:orient="portrait"/>
          <w:cols w:equalWidth="0" w:num="1">
            <w:col w:w="11120"/>
          </w:cols>
          <w:pgMar w:left="320" w:top="455" w:right="459" w:bottom="1440" w:gutter="0" w:footer="0" w:header="0"/>
        </w:sectPr>
      </w:pPr>
    </w:p>
    <w:p>
      <w:pPr>
        <w:spacing w:after="0" w:line="229" w:lineRule="exact"/>
        <w:rPr>
          <w:sz w:val="20"/>
          <w:szCs w:val="20"/>
          <w:color w:val="auto"/>
        </w:rPr>
      </w:pPr>
    </w:p>
    <w:p>
      <w:pPr>
        <w:ind w:left="120" w:right="100" w:firstLine="881"/>
        <w:spacing w:after="0" w:line="282" w:lineRule="auto"/>
        <w:rPr>
          <w:sz w:val="20"/>
          <w:szCs w:val="20"/>
          <w:color w:val="auto"/>
        </w:rPr>
      </w:pPr>
      <w:r>
        <w:rPr>
          <w:rFonts w:ascii="Times New Roman" w:cs="Times New Roman" w:eastAsia="Times New Roman" w:hAnsi="Times New Roman"/>
          <w:sz w:val="18"/>
          <w:szCs w:val="18"/>
          <w:color w:val="auto"/>
        </w:rPr>
        <w:t>As of June 30, 2020, there were options to purchase granted under our 2016 Stock Plan.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outstanding, all of which were subject to options</w:t>
      </w:r>
    </w:p>
    <w:p>
      <w:pPr>
        <w:spacing w:after="0" w:line="437" w:lineRule="exact"/>
        <w:rPr>
          <w:sz w:val="20"/>
          <w:szCs w:val="20"/>
          <w:color w:val="auto"/>
        </w:rPr>
      </w:pPr>
    </w:p>
    <w:p>
      <w:pPr>
        <w:sectPr>
          <w:pgSz w:w="11900" w:h="16838" w:orient="portrait"/>
          <w:cols w:equalWidth="0" w:num="2">
            <w:col w:w="4820" w:space="720"/>
            <w:col w:w="558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left="1000"/>
        <w:spacing w:after="0"/>
        <w:tabs>
          <w:tab w:leader="none" w:pos="5840" w:val="left"/>
        </w:tabs>
        <w:rPr>
          <w:sz w:val="20"/>
          <w:szCs w:val="20"/>
          <w:color w:val="auto"/>
        </w:rPr>
      </w:pPr>
      <w:r>
        <w:rPr>
          <w:rFonts w:ascii="Times New Roman" w:cs="Times New Roman" w:eastAsia="Times New Roman" w:hAnsi="Times New Roman"/>
          <w:sz w:val="18"/>
          <w:szCs w:val="18"/>
          <w:color w:val="auto"/>
        </w:rPr>
        <w:t>Following the completion of this offering, the holders of</w:t>
      </w:r>
      <w:r>
        <w:rPr>
          <w:sz w:val="20"/>
          <w:szCs w:val="20"/>
          <w:color w:val="auto"/>
        </w:rPr>
        <w:tab/>
      </w:r>
      <w:r>
        <w:rPr>
          <w:rFonts w:ascii="Times New Roman" w:cs="Times New Roman" w:eastAsia="Times New Roman" w:hAnsi="Times New Roman"/>
          <w:sz w:val="18"/>
          <w:szCs w:val="18"/>
          <w:color w:val="auto"/>
        </w:rPr>
        <w:t>shares of our common stock issued upon the conversion of our preferred</w:t>
      </w:r>
    </w:p>
    <w:p>
      <w:pPr>
        <w:sectPr>
          <w:pgSz w:w="11900" w:h="16838" w:orient="portrait"/>
          <w:cols w:equalWidth="0" w:num="1">
            <w:col w:w="11120"/>
          </w:cols>
          <w:pgMar w:left="320" w:top="455" w:right="459" w:bottom="1440" w:gutter="0" w:footer="0" w:header="0"/>
          <w:type w:val="continuous"/>
        </w:sectPr>
      </w:pPr>
    </w:p>
    <w:p>
      <w:pPr>
        <w:spacing w:after="0" w:line="27" w:lineRule="exact"/>
        <w:rPr>
          <w:sz w:val="20"/>
          <w:szCs w:val="20"/>
          <w:color w:val="auto"/>
        </w:rPr>
      </w:pPr>
    </w:p>
    <w:p>
      <w:pPr>
        <w:ind w:left="120"/>
        <w:spacing w:after="0" w:line="290" w:lineRule="auto"/>
        <w:rPr>
          <w:sz w:val="20"/>
          <w:szCs w:val="20"/>
          <w:color w:val="auto"/>
        </w:rPr>
      </w:pPr>
      <w:r>
        <w:rPr>
          <w:rFonts w:ascii="Times New Roman" w:cs="Times New Roman" w:eastAsia="Times New Roman" w:hAnsi="Times New Roman"/>
          <w:sz w:val="17"/>
          <w:szCs w:val="17"/>
          <w:color w:val="auto"/>
        </w:rPr>
        <w:t>stock will be entitled to contractual rights to require us to register those shares under the Securities Act. These registration rights are provided under the terms of our amended and restated investors’ rights agreement between us and the holders of these shares, which we entered into on December 13, 2019.</w:t>
      </w:r>
    </w:p>
    <w:p>
      <w:pPr>
        <w:spacing w:after="0" w:line="157"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We will pay all expenses relating to any demand or piggyback registration described below, other than underwriting discounts and commissions. The registration rights terminate upon the earliest to occur of: (i) the fifth anniversary of the completion of this offering; (ii) a liquidation event; or (iii) with respect to the registration rights of an individual holder, such earlier time after this offering at which the holder (a) can sell all of its shares in compliance with Rule 144(b)(1)(i) or (b) holds one percent or less of our outstanding common stock and all shares held by the holder can be sold in any three-month period without registration in compliance with Rule 144.</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9" w:lineRule="exact"/>
        <w:rPr>
          <w:sz w:val="20"/>
          <w:szCs w:val="20"/>
          <w:color w:val="auto"/>
        </w:rPr>
      </w:pPr>
    </w:p>
    <w:p>
      <w:pPr>
        <w:jc w:val="both"/>
        <w:ind w:left="120" w:right="120" w:firstLine="881"/>
        <w:spacing w:after="0" w:line="270" w:lineRule="auto"/>
        <w:rPr>
          <w:sz w:val="20"/>
          <w:szCs w:val="20"/>
          <w:color w:val="auto"/>
        </w:rPr>
      </w:pPr>
      <w:r>
        <w:rPr>
          <w:rFonts w:ascii="Times New Roman" w:cs="Times New Roman" w:eastAsia="Times New Roman" w:hAnsi="Times New Roman"/>
          <w:sz w:val="17"/>
          <w:szCs w:val="17"/>
          <w:color w:val="auto"/>
        </w:rPr>
        <w:t>The holders of the registrable securities will be entitled to certain demand registration rights. At any time beginning six months following the effectiveness of this offering, the holders of 30% or more of the registrable securities then outstanding may make a written request that we register some or all of their registrable securities, subject to certain specified conditions and exceptions. We are required to use commercially reasonable efforts to effect the registration and will pay all registration expenses, other than underwriting discounts and commissions, related to any demand registration.</w:t>
      </w:r>
    </w:p>
    <w:p>
      <w:pPr>
        <w:spacing w:after="0" w:line="3"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Such request for registration must cover securities with an aggregate offering price of at least $20,000,000. We are not obligated to effect more than two of these registrations.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type w:val="continuous"/>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9"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holders of our registrable securities were entitled to, and the necessary percentage of holders waived, their rights to notice of this offering and to include their registrable securities in this offering. If we propose to register any of our securities under the Securities Act either for our own account or for the account of other stockholders in another offering, the holders of shares having registration rights will, subject to certain exceptions, be entitled to include their shares in our registration statement, provided that the underwriters of any such offering have the right to limit the number of shares included in the registration. These registration rights are subject to specified other conditions and limitations as set forth in our amended and restated investors’ rights agreement.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229"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At any time after we are qualified to file a registration statement on Form S-3, and subject to limitations and conditions specified in the amended and restated investors’ rights agreement, the holders of 25% or more of the registrable securities then outstanding may make a written request that we prepare and file a registration statement on Form S-3 under the Securities Act covering their shares, so long as the aggregate price to the public is at least $10,000,000. We are not obligated to effect more than two of these Form S-3 registrations in any 12-month period. Such holders will pay pro rata all expenses related to filing a registration statement on Form S-3.</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210" w:lineRule="exact"/>
        <w:rPr>
          <w:sz w:val="20"/>
          <w:szCs w:val="20"/>
          <w:color w:val="auto"/>
        </w:rPr>
      </w:pPr>
    </w:p>
    <w:p>
      <w:pPr>
        <w:ind w:left="1420" w:hanging="319"/>
        <w:spacing w:after="0"/>
        <w:tabs>
          <w:tab w:leader="none" w:pos="14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time that the interested stockholder became an interested stockholder;</w:t>
      </w:r>
    </w:p>
    <w:p>
      <w:pPr>
        <w:spacing w:after="0" w:line="252" w:lineRule="exact"/>
        <w:rPr>
          <w:rFonts w:ascii="Times New Roman" w:cs="Times New Roman" w:eastAsia="Times New Roman" w:hAnsi="Times New Roman"/>
          <w:sz w:val="18"/>
          <w:szCs w:val="18"/>
          <w:color w:val="auto"/>
        </w:rPr>
      </w:pPr>
    </w:p>
    <w:p>
      <w:pPr>
        <w:ind w:left="1420" w:hanging="319"/>
        <w:spacing w:after="0" w:line="258" w:lineRule="auto"/>
        <w:tabs>
          <w:tab w:leader="none" w:pos="14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10" w:lineRule="exact"/>
        <w:rPr>
          <w:rFonts w:ascii="Times New Roman" w:cs="Times New Roman" w:eastAsia="Times New Roman" w:hAnsi="Times New Roman"/>
          <w:sz w:val="18"/>
          <w:szCs w:val="18"/>
          <w:color w:val="auto"/>
        </w:rPr>
      </w:pPr>
    </w:p>
    <w:p>
      <w:pPr>
        <w:ind w:left="1420" w:right="40" w:hanging="319"/>
        <w:spacing w:after="0" w:line="266" w:lineRule="auto"/>
        <w:tabs>
          <w:tab w:leader="none" w:pos="14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76" w:lineRule="exact"/>
        <w:rPr>
          <w:sz w:val="20"/>
          <w:szCs w:val="20"/>
          <w:color w:val="auto"/>
        </w:rPr>
      </w:pPr>
    </w:p>
    <w:p>
      <w:pPr>
        <w:jc w:val="both"/>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 Provisions</w:t>
      </w:r>
    </w:p>
    <w:p>
      <w:pPr>
        <w:spacing w:after="0" w:line="229"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201" w:lineRule="exact"/>
        <w:rPr>
          <w:sz w:val="20"/>
          <w:szCs w:val="20"/>
          <w:color w:val="auto"/>
        </w:rPr>
      </w:pPr>
    </w:p>
    <w:p>
      <w:pPr>
        <w:ind w:left="1420" w:right="100" w:hanging="319"/>
        <w:spacing w:after="0" w:line="258" w:lineRule="auto"/>
        <w:tabs>
          <w:tab w:leader="none" w:pos="14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Our amended and restated certificate of incorporation and amended and restated bylaws will authorize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210" w:lineRule="exact"/>
        <w:rPr>
          <w:rFonts w:ascii="Times New Roman" w:cs="Times New Roman" w:eastAsia="Times New Roman" w:hAnsi="Times New Roman"/>
          <w:sz w:val="18"/>
          <w:szCs w:val="18"/>
          <w:color w:val="auto"/>
        </w:rPr>
      </w:pPr>
    </w:p>
    <w:p>
      <w:pPr>
        <w:ind w:left="1420" w:right="40" w:hanging="319"/>
        <w:spacing w:after="0" w:line="258" w:lineRule="auto"/>
        <w:tabs>
          <w:tab w:leader="none" w:pos="14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amended and restated certificate of incorporation and amended and restated bylaws will provide that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will be classified into three classes of directors, each of which will hold office for a three-year term. In addition, directors may only be removed from the board of directors for cause and only by the approval of 66 2/3% of our then-outstanding shares of our common stock.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210" w:lineRule="exact"/>
        <w:rPr>
          <w:rFonts w:ascii="Times New Roman" w:cs="Times New Roman" w:eastAsia="Times New Roman" w:hAnsi="Times New Roman"/>
          <w:sz w:val="18"/>
          <w:szCs w:val="18"/>
          <w:color w:val="auto"/>
        </w:rPr>
      </w:pPr>
    </w:p>
    <w:p>
      <w:pPr>
        <w:ind w:left="1420" w:hanging="319"/>
        <w:spacing w:after="0" w:line="258" w:lineRule="auto"/>
        <w:tabs>
          <w:tab w:leader="none" w:pos="14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Action; Special Meeting of Stockholders. </w:t>
      </w:r>
      <w:r>
        <w:rPr>
          <w:rFonts w:ascii="Times New Roman" w:cs="Times New Roman" w:eastAsia="Times New Roman" w:hAnsi="Times New Roman"/>
          <w:sz w:val="18"/>
          <w:szCs w:val="18"/>
          <w:color w:val="auto"/>
        </w:rPr>
        <w:t>Our amended and restated certificate of incorporation will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will not be able to take action by written consent, and will 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210" w:lineRule="exact"/>
        <w:rPr>
          <w:rFonts w:ascii="Times New Roman" w:cs="Times New Roman" w:eastAsia="Times New Roman" w:hAnsi="Times New Roman"/>
          <w:sz w:val="18"/>
          <w:szCs w:val="18"/>
          <w:color w:val="auto"/>
        </w:rPr>
      </w:pPr>
    </w:p>
    <w:p>
      <w:pPr>
        <w:ind w:left="1420" w:right="20" w:hanging="319"/>
        <w:spacing w:after="0" w:line="258" w:lineRule="auto"/>
        <w:tabs>
          <w:tab w:leader="none" w:pos="14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amended and restated bylaws will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210" w:lineRule="exact"/>
        <w:rPr>
          <w:rFonts w:ascii="Times New Roman" w:cs="Times New Roman" w:eastAsia="Times New Roman" w:hAnsi="Times New Roman"/>
          <w:sz w:val="18"/>
          <w:szCs w:val="18"/>
          <w:color w:val="auto"/>
        </w:rPr>
      </w:pPr>
    </w:p>
    <w:p>
      <w:pPr>
        <w:ind w:left="1420" w:right="100" w:hanging="319"/>
        <w:spacing w:after="0" w:line="258" w:lineRule="auto"/>
        <w:tabs>
          <w:tab w:leader="none" w:pos="14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Our board of directors will have, the authority, without further action by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to issue up to 10,000,000 shares of undesignated preferred stock with rights and preferences, including voting rights, designated from time to time by the board of directors. The existence of authorized but unissued shares of preferred stock will enable our board of directors to render more difficult or discourage an attempt to obtain control of us by means of a merger, tender offer, proxy contest or otherwise.</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our amended and restated certificate of incorporation will provide that the Court of Chancery of the State of Delaware will be the exclusive forum for any derivative action or proceeding brought on our behalf; any action asserting a breach of fiduciary duty owed by any of our directors, officers, employees or stockholders to us or our stockholders; any action asserting a claim against us arising pursuant to the Delaware General Corporation Law, our amended and restated certificate of incorporation or our amended and restated bylaws or any action asserting a claim against us that is governed by the internal affairs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doctrine. The enforceability of similar choice of forum provisions in other companies’ certificates of incorporation has been challenged in legal proceedings, and it is possible that a court could find these types of provisions in our certificate of incorporation to be inapplicable or unenforceable. These choice of forum provisions will not apply to claims arising under the Securities Act, the Exchange Act, or any other claim for which federal courts have exclusive jurisdiction. Furthermore, our certificate of incorporation that will become effective upon the closing of this offering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w:t>
      </w:r>
    </w:p>
    <w:p>
      <w:pPr>
        <w:spacing w:after="0" w:line="187"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such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40" w:hanging="3"/>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the transfer agent and registrar for our common stock will be , and its telephone number is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transfer agent’s address</w:t>
      </w:r>
    </w:p>
    <w:p>
      <w:pPr>
        <w:spacing w:after="0" w:line="437" w:lineRule="exact"/>
        <w:rPr>
          <w:sz w:val="20"/>
          <w:szCs w:val="20"/>
          <w:color w:val="auto"/>
        </w:rPr>
      </w:pPr>
    </w:p>
    <w:p>
      <w:pPr>
        <w:sectPr>
          <w:pgSz w:w="11900" w:h="16838" w:orient="portrait"/>
          <w:cols w:equalWidth="0" w:num="3">
            <w:col w:w="280" w:space="720"/>
            <w:col w:w="7140" w:space="720"/>
            <w:col w:w="226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have applied to list our common stock on the Nasdaq Global Market under the symbol “TARS.”</w:t>
      </w:r>
    </w:p>
    <w:p>
      <w:pPr>
        <w:spacing w:after="0" w:line="1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type w:val="continuous"/>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Before this offering, there has not been a public market for shares of our common stock and a liquid trading market for our common stock may not develop or be sustained after this offering. Future sales of substantial amounts of shares of our common stock, including shares issued upon the exercise of outstanding options, in the public market following this offering or the possibility of these sales occurring, could cause the prevailing market price for our common stock to fall or impair our ability to raise equity capital through sales of equity securities in the future.</w:t>
      </w:r>
    </w:p>
    <w:p>
      <w:pPr>
        <w:spacing w:after="0" w:line="180" w:lineRule="exact"/>
        <w:rPr>
          <w:sz w:val="20"/>
          <w:szCs w:val="20"/>
          <w:color w:val="auto"/>
        </w:rPr>
      </w:pPr>
    </w:p>
    <w:p>
      <w:pPr>
        <w:ind w:left="120" w:right="400" w:firstLine="881"/>
        <w:spacing w:after="0" w:line="261" w:lineRule="auto"/>
        <w:rPr>
          <w:sz w:val="20"/>
          <w:szCs w:val="20"/>
          <w:color w:val="auto"/>
        </w:rPr>
      </w:pPr>
      <w:r>
        <w:rPr>
          <w:rFonts w:ascii="Times New Roman" w:cs="Times New Roman" w:eastAsia="Times New Roman" w:hAnsi="Times New Roman"/>
          <w:sz w:val="18"/>
          <w:szCs w:val="18"/>
          <w:color w:val="auto"/>
        </w:rPr>
        <w:t>Upon the closing of this offering, we will have outstanding shares of our common stock, based on the number of shares outstanding as of . This includes shares of common stock that we are selling in this offering, which shares may be resold in the</w:t>
      </w:r>
    </w:p>
    <w:p>
      <w:pPr>
        <w:ind w:left="120"/>
        <w:spacing w:after="0"/>
        <w:rPr>
          <w:sz w:val="20"/>
          <w:szCs w:val="20"/>
          <w:color w:val="auto"/>
        </w:rPr>
      </w:pPr>
      <w:r>
        <w:rPr>
          <w:rFonts w:ascii="Times New Roman" w:cs="Times New Roman" w:eastAsia="Times New Roman" w:hAnsi="Times New Roman"/>
          <w:sz w:val="18"/>
          <w:szCs w:val="18"/>
          <w:color w:val="auto"/>
        </w:rPr>
        <w:t>public market immediately unless purchased by our affiliates and assuming no additional exercise of outstanding options other than as described</w:t>
      </w:r>
    </w:p>
    <w:p>
      <w:pPr>
        <w:spacing w:after="0" w:line="200" w:lineRule="exact"/>
        <w:rPr>
          <w:sz w:val="20"/>
          <w:szCs w:val="20"/>
          <w:color w:val="auto"/>
        </w:rPr>
      </w:pPr>
    </w:p>
    <w:p>
      <w:pPr>
        <w:spacing w:after="0" w:line="20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elsewhere in this prospectus and the conversion of all outstanding shares of our preferred stock into an aggregate of shares of our common stock upon the closing of this offering.</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Of these shares, all shares sold in this offering will be freely tradable without restriction under the Securities Act, unless purchased by our</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“affiliates,” as that term is defined in Rule 144 under the Securities Act. The remaining shares of common stock that are not sold in this offering will be “restricted securities,” as that term is defined in Rule 144 under the Securities Act, and we expect that substantially all of these restricted securities will be subject to the 180-day lock-up period under the lock-up agreements as described below.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87" w:lineRule="exact"/>
        <w:rPr>
          <w:sz w:val="20"/>
          <w:szCs w:val="20"/>
          <w:color w:val="auto"/>
        </w:rPr>
      </w:pPr>
    </w:p>
    <w:p>
      <w:pPr>
        <w:jc w:val="both"/>
        <w:ind w:left="120" w:right="60" w:firstLine="881"/>
        <w:spacing w:after="0" w:line="272" w:lineRule="auto"/>
        <w:rPr>
          <w:sz w:val="20"/>
          <w:szCs w:val="20"/>
          <w:color w:val="auto"/>
        </w:rPr>
      </w:pPr>
      <w:r>
        <w:rPr>
          <w:rFonts w:ascii="Times New Roman" w:cs="Times New Roman" w:eastAsia="Times New Roman" w:hAnsi="Times New Roman"/>
          <w:sz w:val="17"/>
          <w:szCs w:val="17"/>
          <w:color w:val="auto"/>
        </w:rPr>
        <w:t>In addition, we, our executive officers and directors, and all of our other security holders have entered into market standoff agreements with us or lock-up agreements with the underwriters under which they have agreed, subject to specific exceptions, not to sell any of our capital stock until at least 180 days after the date of this prospectus, as described below. As a result of these agreements and the provisions of our investors’ rights agreement</w:t>
      </w:r>
    </w:p>
    <w:p>
      <w:pPr>
        <w:spacing w:after="0" w:line="2"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disclosed in “Description of Capital Stock—Registration Rights,” subject to the provisions of Rule 144 or Rule 701, shares will be available for sale in the public market as follows:</w:t>
      </w:r>
    </w:p>
    <w:p>
      <w:pPr>
        <w:spacing w:after="0" w:line="208"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beginning on the date of this prospectus, the</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sold in this offering will be immediately available for sale in the public</w:t>
            </w:r>
          </w:p>
        </w:tc>
      </w:tr>
      <w:tr>
        <w:trPr>
          <w:trHeight w:val="234"/>
        </w:trPr>
        <w:tc>
          <w:tcPr>
            <w:tcW w:w="200" w:type="dxa"/>
            <w:vAlign w:val="bottom"/>
          </w:tcPr>
          <w:p>
            <w:pPr>
              <w:spacing w:after="0"/>
              <w:rPr>
                <w:sz w:val="20"/>
                <w:szCs w:val="20"/>
                <w:color w:val="auto"/>
              </w:rPr>
            </w:pPr>
          </w:p>
        </w:tc>
        <w:tc>
          <w:tcPr>
            <w:tcW w:w="4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market, unless purchased by our affiliates;</w:t>
            </w:r>
          </w:p>
        </w:tc>
        <w:tc>
          <w:tcPr>
            <w:tcW w:w="5780" w:type="dxa"/>
            <w:vAlign w:val="bottom"/>
          </w:tcPr>
          <w:p>
            <w:pPr>
              <w:spacing w:after="0"/>
              <w:rPr>
                <w:sz w:val="20"/>
                <w:szCs w:val="20"/>
                <w:color w:val="auto"/>
              </w:rPr>
            </w:pPr>
          </w:p>
        </w:tc>
      </w:tr>
      <w:tr>
        <w:trPr>
          <w:trHeight w:val="441"/>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beginning 181 days after the date of this prospectus,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additional shares will become eligible for sale in the public market, of</w:t>
            </w:r>
          </w:p>
        </w:tc>
      </w:tr>
      <w:tr>
        <w:trPr>
          <w:trHeight w:val="234"/>
        </w:trPr>
        <w:tc>
          <w:tcPr>
            <w:tcW w:w="200" w:type="dxa"/>
            <w:vAlign w:val="bottom"/>
          </w:tcPr>
          <w:p>
            <w:pPr>
              <w:spacing w:after="0"/>
              <w:rPr>
                <w:sz w:val="20"/>
                <w:szCs w:val="20"/>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which</w:t>
            </w:r>
          </w:p>
        </w:tc>
        <w:tc>
          <w:tcPr>
            <w:tcW w:w="8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will be held by affiliates and subject to the volume and other restrictions of Rule 144, as described below; and</w:t>
            </w:r>
          </w:p>
        </w:tc>
      </w:tr>
    </w:tbl>
    <w:p>
      <w:pPr>
        <w:spacing w:after="0" w:line="225" w:lineRule="exact"/>
        <w:rPr>
          <w:sz w:val="20"/>
          <w:szCs w:val="20"/>
          <w:color w:val="auto"/>
        </w:rPr>
      </w:pPr>
    </w:p>
    <w:p>
      <w:pPr>
        <w:ind w:left="1420" w:right="440" w:hanging="319"/>
        <w:spacing w:after="0" w:line="282" w:lineRule="auto"/>
        <w:tabs>
          <w:tab w:leader="none" w:pos="14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the shares will be eligible for sale in the public market from time to time thereafter, subject in some cases to the volume and other restrictions of Rule 144, as described below.</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cannot estimate the number of shares of our common stock that our existing stockholders will elect to sell under Rule 144.</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a person who has beneficially owned shares of our restricted common stock for at least six months would be entitled to sell their securities provided that such person is not deemed to have been one of our affiliates at the time of, or at any time during the 90 days preceding, a sale, and we are subject to the periodic reporting requirements of the Exchange Act, for at least 90 days before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completion of this offering without regard to whether current public information about us is available. Persons who have beneficially owned shares of our restricted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140"/>
          </w:cols>
          <w:pgMar w:left="320" w:top="455" w:right="439" w:bottom="1440" w:gutter="0" w:footer="0" w:header="0"/>
        </w:sectPr>
      </w:pPr>
    </w:p>
    <w:p>
      <w:pPr>
        <w:spacing w:after="0" w:line="21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capital stock then outstanding, which will equal shares immediately after the completion of this offering, assuming no exercise by the underwriters of their option to purchase additional shares; or</w:t>
      </w:r>
    </w:p>
    <w:p>
      <w:pPr>
        <w:spacing w:after="0" w:line="189" w:lineRule="exact"/>
        <w:rPr>
          <w:sz w:val="20"/>
          <w:szCs w:val="20"/>
          <w:color w:val="auto"/>
        </w:rPr>
      </w:pPr>
    </w:p>
    <w:p>
      <w:pPr>
        <w:sectPr>
          <w:pgSz w:w="11900" w:h="16838" w:orient="portrait"/>
          <w:cols w:equalWidth="0" w:num="2">
            <w:col w:w="1160" w:space="260"/>
            <w:col w:w="9720"/>
          </w:cols>
          <w:pgMar w:left="320" w:top="455" w:right="439" w:bottom="1440" w:gutter="0" w:footer="0" w:header="0"/>
          <w:type w:val="continuous"/>
        </w:sectPr>
      </w:pPr>
    </w:p>
    <w:p>
      <w:pPr>
        <w:ind w:left="1420" w:right="40" w:hanging="319"/>
        <w:spacing w:after="0" w:line="282" w:lineRule="auto"/>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Nasdaq during the four calendar weeks preceding the filing of a notice on Form 144 with respect to such sale.</w:t>
      </w:r>
    </w:p>
    <w:p>
      <w:pPr>
        <w:spacing w:after="0" w:line="162"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9" w:lineRule="exact"/>
        <w:rPr>
          <w:sz w:val="20"/>
          <w:szCs w:val="20"/>
          <w:color w:val="auto"/>
        </w:rPr>
      </w:pPr>
    </w:p>
    <w:p>
      <w:pPr>
        <w:ind w:left="120" w:right="80" w:firstLine="881"/>
        <w:spacing w:after="0" w:line="273" w:lineRule="auto"/>
        <w:rPr>
          <w:sz w:val="20"/>
          <w:szCs w:val="20"/>
          <w:color w:val="auto"/>
        </w:rPr>
      </w:pPr>
      <w:r>
        <w:rPr>
          <w:rFonts w:ascii="Times New Roman" w:cs="Times New Roman" w:eastAsia="Times New Roman" w:hAnsi="Times New Roman"/>
          <w:sz w:val="17"/>
          <w:szCs w:val="17"/>
          <w:color w:val="auto"/>
        </w:rPr>
        <w:t>Any of our employees, directors, officers, consultants, advisors or service providers, other than a person who is deemed to have been one of our affiliates during the immediately preceding 90 days, who purchased shares under a written compensatory plan or contract prior to this offering may be entitled to rely on the resale provisions of Rule 701. Rule 701, as currently in effect, permits resales of shares, in reliance upon Rule 144 but without compliance with certain restrictions, including the holding period requirement, of Rule 144. Rule 701 further provides that non-affiliates may sell such shares in reliance on Rule 144 without having to comply with the public information, volume limitation or notice provisions of Rule 144. All holders of Rule 701 shares are required to wait until 90 days after the date of this prospectus before selling such shares if such resale is pursuant to Rule 701. All Rule 701 shares are, however, subject to lock-up agreements and will only become eligible for sale upon the expiration of these lock-up agreements.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and each of our directors and officers and all of our other security holders have agreed that, without the prior written consent of BofA Securities, Inc. and Jefferies LLC, on behalf of the underwriters, we and they will not, subject to certain exceptions, during the period ending 180 days after the date of this prospectus:</w:t>
      </w:r>
    </w:p>
    <w:p>
      <w:pPr>
        <w:spacing w:after="0" w:line="203" w:lineRule="exact"/>
        <w:rPr>
          <w:sz w:val="20"/>
          <w:szCs w:val="20"/>
          <w:color w:val="auto"/>
        </w:rPr>
      </w:pPr>
    </w:p>
    <w:p>
      <w:pPr>
        <w:ind w:left="1420" w:right="140" w:hanging="319"/>
        <w:spacing w:after="0" w:line="261" w:lineRule="auto"/>
        <w:tabs>
          <w:tab w:leader="none" w:pos="14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whether now owned or hereafter acquired or with respect to which such holder has or acquires the power of disposition, of the Lock-up Securities;</w:t>
      </w:r>
    </w:p>
    <w:p>
      <w:pPr>
        <w:spacing w:after="0" w:line="206" w:lineRule="exact"/>
        <w:rPr>
          <w:rFonts w:ascii="Times New Roman" w:cs="Times New Roman" w:eastAsia="Times New Roman" w:hAnsi="Times New Roman"/>
          <w:sz w:val="18"/>
          <w:szCs w:val="18"/>
          <w:color w:val="auto"/>
        </w:rPr>
      </w:pPr>
    </w:p>
    <w:p>
      <w:pPr>
        <w:ind w:left="1420" w:right="200" w:hanging="319"/>
        <w:spacing w:after="0" w:line="266" w:lineRule="auto"/>
        <w:tabs>
          <w:tab w:leader="none" w:pos="14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or transaction that transfers to another, in whole or in part, directly or indirectly, any of the economic consequences of ownership of the Lock-up Securities, whether any such swap or transaction is to be settled by delivery of our common stock or such other securities, in cash or otherwise; or</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157"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179 -</w:t>
      </w:r>
    </w:p>
    <w:p>
      <w:pPr>
        <w:sectPr>
          <w:pgSz w:w="11900" w:h="16838" w:orient="portrait"/>
          <w:cols w:equalWidth="0" w:num="1">
            <w:col w:w="11140"/>
          </w:cols>
          <w:pgMar w:left="320" w:top="455" w:right="439" w:bottom="1440" w:gutter="0" w:footer="0" w:header="0"/>
          <w:type w:val="continuous"/>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54" w:lineRule="auto"/>
        <w:rPr>
          <w:sz w:val="20"/>
          <w:szCs w:val="20"/>
          <w:color w:val="auto"/>
        </w:rPr>
      </w:pPr>
      <w:r>
        <w:rPr>
          <w:rFonts w:ascii="Times New Roman" w:cs="Times New Roman" w:eastAsia="Times New Roman" w:hAnsi="Times New Roman"/>
          <w:sz w:val="18"/>
          <w:szCs w:val="18"/>
          <w:color w:val="auto"/>
        </w:rPr>
        <w:t>Each of our directors and executive officers and the holders of substantially all of our outstanding stock and stock options have also agreed during such 180-period not to make any demand for, or exercise any right with respect to, or confidentially submit or cause to be filed or confidentially submitted any registration statement under the Securities Act with respect to, the registration of shares of our common stock or any securities convertible into or exercisable or exchangeable for shares of our common stock, or warrants or other rights to purchase shares of our common stock or any such securities.</w:t>
      </w:r>
    </w:p>
    <w:p>
      <w:pPr>
        <w:spacing w:after="0" w:line="3"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Certain of our employees, including our executive officers, and directors may enter into written trading plans that are intended to comply with Rule 10b5-1 under the Exchange Act. Sales under these trading plans would not be permitted until the expiration of the lock-up agreements relating to our initial public offering described above.</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Under our amended and restated investors’ rights agreement, after the completion of this offering, the holders of up to shares of our common stock will, subject to the lock-up agreements referred to above, be entitled to certain rights, subject to certain conditions, to require us to file registration statements covering their shares or to include their shares in registration statements that we may file for ourselves or other stockholders.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229"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As of June 30, 2020, we had outstanding options to purchase an aggregate of shares of our common stock under the 2016 Plan. Following this offering, we intend to file a registration statement on Form S-8 under the Securities Act to register all of the shares of our common stock subject to options outstanding or reserved for issuance under the 2016 Plan, the 2020 Plan and the 2020 ESPP. We expect to file this registration statement as soon as practicable after the completion of this offering. This registration statement will become effective immediately upon filing, and shares covered by this registration statement will thereupon be eligible for sale in the public markets, subject to vesting restrictions, the lock-up agreements described above and Rule 144 limitations applicable to affiliates. For a more complete discussion of our stock plans, see “Executive Compensation—Equity Plans.”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NON-U.S. HOLDERS OF OUR COMMON STOCK</w:t>
      </w:r>
    </w:p>
    <w:p>
      <w:pPr>
        <w:spacing w:after="0" w:line="207"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207" w:lineRule="exact"/>
        <w:rPr>
          <w:sz w:val="20"/>
          <w:szCs w:val="20"/>
          <w:color w:val="auto"/>
        </w:rPr>
      </w:pPr>
    </w:p>
    <w:p>
      <w:pPr>
        <w:ind w:left="1420" w:hanging="319"/>
        <w:spacing w:after="0"/>
        <w:tabs>
          <w:tab w:leader="none" w:pos="14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52" w:lineRule="exact"/>
        <w:rPr>
          <w:rFonts w:ascii="Times New Roman" w:cs="Times New Roman" w:eastAsia="Times New Roman" w:hAnsi="Times New Roman"/>
          <w:sz w:val="18"/>
          <w:szCs w:val="18"/>
          <w:color w:val="auto"/>
        </w:rPr>
      </w:pPr>
    </w:p>
    <w:p>
      <w:pPr>
        <w:ind w:left="1420" w:right="160" w:hanging="319"/>
        <w:spacing w:after="0" w:line="282" w:lineRule="auto"/>
        <w:tabs>
          <w:tab w:leader="none" w:pos="14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includable in gross income for U.S. federal income tax purposes regardless of its source; or</w:t>
      </w:r>
    </w:p>
    <w:p>
      <w:pPr>
        <w:spacing w:after="0" w:line="252" w:lineRule="exact"/>
        <w:rPr>
          <w:rFonts w:ascii="Times New Roman" w:cs="Times New Roman" w:eastAsia="Times New Roman" w:hAnsi="Times New Roman"/>
          <w:sz w:val="18"/>
          <w:szCs w:val="18"/>
          <w:color w:val="auto"/>
        </w:rPr>
      </w:pPr>
    </w:p>
    <w:p>
      <w:pPr>
        <w:ind w:left="1420" w:right="20" w:hanging="319"/>
        <w:spacing w:after="0" w:line="266" w:lineRule="auto"/>
        <w:tabs>
          <w:tab w:leader="none" w:pos="14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76" w:lineRule="exact"/>
        <w:rPr>
          <w:sz w:val="20"/>
          <w:szCs w:val="20"/>
          <w:color w:val="auto"/>
        </w:rPr>
      </w:pPr>
    </w:p>
    <w:p>
      <w:pPr>
        <w:ind w:left="120" w:firstLine="881"/>
        <w:spacing w:after="0" w:line="269" w:lineRule="auto"/>
        <w:rPr>
          <w:sz w:val="20"/>
          <w:szCs w:val="20"/>
          <w:color w:val="auto"/>
        </w:rPr>
      </w:pPr>
      <w:r>
        <w:rPr>
          <w:rFonts w:ascii="Times New Roman" w:cs="Times New Roman" w:eastAsia="Times New Roman" w:hAnsi="Times New Roman"/>
          <w:sz w:val="17"/>
          <w:szCs w:val="17"/>
          <w:color w:val="auto"/>
        </w:rPr>
        <w:t>This discussion is based on current provisions of the Code, existing, temporary and proposed Treasury Regulations promulgated thereunder, judicial opinions, published positions of the Internal Revenue Service or, the IRS, and other applicable authorities, all of which are subject to change or to differing interpretation, possibly with retroactive effect. 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72" w:lineRule="exact"/>
        <w:rPr>
          <w:sz w:val="20"/>
          <w:szCs w:val="20"/>
          <w:color w:val="auto"/>
        </w:rPr>
      </w:pPr>
    </w:p>
    <w:p>
      <w:pPr>
        <w:ind w:left="120" w:right="600"/>
        <w:spacing w:after="0" w:line="268" w:lineRule="auto"/>
        <w:rPr>
          <w:sz w:val="20"/>
          <w:szCs w:val="20"/>
          <w:color w:val="auto"/>
        </w:rPr>
      </w:pPr>
      <w:r>
        <w:rPr>
          <w:rFonts w:ascii="Times New Roman" w:cs="Times New Roman" w:eastAsia="Times New Roman" w:hAnsi="Times New Roman"/>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NON-U.S., STATE, OR LOCAL LAWS AND TAX TREATIES.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excess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w:t>
      </w:r>
    </w:p>
    <w:p>
      <w:pPr>
        <w:spacing w:after="0" w:line="183"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form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94" w:lineRule="exact"/>
        <w:rPr>
          <w:sz w:val="20"/>
          <w:szCs w:val="20"/>
          <w:color w:val="auto"/>
        </w:rPr>
      </w:pPr>
    </w:p>
    <w:p>
      <w:pPr>
        <w:ind w:left="120" w:right="100" w:firstLine="881"/>
        <w:spacing w:after="0" w:line="254" w:lineRule="auto"/>
        <w:rPr>
          <w:sz w:val="20"/>
          <w:szCs w:val="20"/>
          <w:color w:val="auto"/>
        </w:rPr>
      </w:pPr>
      <w:r>
        <w:rPr>
          <w:rFonts w:ascii="Times New Roman" w:cs="Times New Roman" w:eastAsia="Times New Roman" w:hAnsi="Times New Roman"/>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Common Stock</w:t>
      </w:r>
    </w:p>
    <w:p>
      <w:pPr>
        <w:spacing w:after="0" w:line="229" w:lineRule="exact"/>
        <w:rPr>
          <w:sz w:val="20"/>
          <w:szCs w:val="20"/>
          <w:color w:val="auto"/>
        </w:rPr>
      </w:pPr>
    </w:p>
    <w:p>
      <w:pPr>
        <w:jc w:val="both"/>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and “—Foreign Account Tax Compliance Act,” non-U.S. holders will generally not be subject to U.S. federal income tax on any gains realized on the sale, exchange or other disposition of our common stock unless:</w:t>
      </w:r>
    </w:p>
    <w:p>
      <w:pPr>
        <w:spacing w:after="0" w:line="203" w:lineRule="exact"/>
        <w:rPr>
          <w:sz w:val="20"/>
          <w:szCs w:val="20"/>
          <w:color w:val="auto"/>
        </w:rPr>
      </w:pPr>
    </w:p>
    <w:p>
      <w:pPr>
        <w:ind w:left="1420" w:right="140" w:hanging="319"/>
        <w:spacing w:after="0" w:line="266" w:lineRule="auto"/>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202" w:lineRule="exact"/>
        <w:rPr>
          <w:rFonts w:ascii="Times New Roman" w:cs="Times New Roman" w:eastAsia="Times New Roman" w:hAnsi="Times New Roman"/>
          <w:sz w:val="18"/>
          <w:szCs w:val="18"/>
          <w:color w:val="auto"/>
        </w:rPr>
      </w:pPr>
    </w:p>
    <w:p>
      <w:pPr>
        <w:ind w:left="1420" w:right="100" w:hanging="319"/>
        <w:spacing w:after="0" w:line="261" w:lineRule="auto"/>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206" w:lineRule="exact"/>
        <w:rPr>
          <w:rFonts w:ascii="Times New Roman" w:cs="Times New Roman" w:eastAsia="Times New Roman" w:hAnsi="Times New Roman"/>
          <w:sz w:val="18"/>
          <w:szCs w:val="18"/>
          <w:color w:val="auto"/>
        </w:rPr>
      </w:pPr>
    </w:p>
    <w:p>
      <w:pPr>
        <w:ind w:left="1420" w:right="180" w:hanging="319"/>
        <w:spacing w:after="0" w:line="282" w:lineRule="auto"/>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the Foreign Investment in Real Property Tax Act, or FIRPTA, treat the gain as effectively connected with a U.S. trade or business.</w:t>
      </w:r>
    </w:p>
    <w:p>
      <w:pPr>
        <w:spacing w:after="0" w:line="94"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182 -</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73" w:lineRule="auto"/>
        <w:rPr>
          <w:sz w:val="20"/>
          <w:szCs w:val="20"/>
          <w:color w:val="auto"/>
        </w:rPr>
      </w:pPr>
      <w:r>
        <w:rPr>
          <w:rFonts w:ascii="Times New Roman" w:cs="Times New Roman" w:eastAsia="Times New Roman" w:hAnsi="Times New Roman"/>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71" w:lineRule="exact"/>
        <w:rPr>
          <w:sz w:val="20"/>
          <w:szCs w:val="20"/>
          <w:color w:val="auto"/>
        </w:rPr>
      </w:pPr>
    </w:p>
    <w:p>
      <w:pPr>
        <w:ind w:left="120" w:right="140" w:firstLine="881"/>
        <w:spacing w:after="0" w:line="255" w:lineRule="auto"/>
        <w:rPr>
          <w:sz w:val="20"/>
          <w:szCs w:val="20"/>
          <w:color w:val="auto"/>
        </w:rPr>
      </w:pPr>
      <w:r>
        <w:rPr>
          <w:rFonts w:ascii="Times New Roman" w:cs="Times New Roman" w:eastAsia="Times New Roman" w:hAnsi="Times New Roman"/>
          <w:sz w:val="18"/>
          <w:szCs w:val="18"/>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9" w:lineRule="exact"/>
        <w:rPr>
          <w:sz w:val="20"/>
          <w:szCs w:val="20"/>
          <w:color w:val="auto"/>
        </w:rPr>
      </w:pPr>
    </w:p>
    <w:p>
      <w:pPr>
        <w:jc w:val="both"/>
        <w:ind w:left="120" w:firstLine="881"/>
        <w:spacing w:after="0" w:line="261"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80" w:lineRule="exact"/>
        <w:rPr>
          <w:sz w:val="20"/>
          <w:szCs w:val="20"/>
          <w:color w:val="auto"/>
        </w:rPr>
      </w:pPr>
    </w:p>
    <w:p>
      <w:pPr>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A non-U.S. holder will generally be subject to backup withholding for dividends on our common stock paid to such holder unless such holder certifies under penalties of perjury that, among other things, it is a non-U.S. holder (and the payer does not have actual knowledge or reason to know that such holder is a U.S. person) or otherwise establishes an exemption.</w:t>
      </w:r>
    </w:p>
    <w:p>
      <w:pPr>
        <w:spacing w:after="0" w:line="176" w:lineRule="exact"/>
        <w:rPr>
          <w:sz w:val="20"/>
          <w:szCs w:val="20"/>
          <w:color w:val="auto"/>
        </w:rPr>
      </w:pPr>
    </w:p>
    <w:p>
      <w:pPr>
        <w:ind w:left="120" w:right="100" w:firstLine="881"/>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189"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80"/>
          </w:cols>
          <w:pgMar w:left="320" w:top="455" w:right="49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229" w:lineRule="exact"/>
        <w:rPr>
          <w:sz w:val="20"/>
          <w:szCs w:val="20"/>
          <w:color w:val="auto"/>
        </w:rPr>
      </w:pPr>
    </w:p>
    <w:p>
      <w:pPr>
        <w:ind w:left="120" w:right="140" w:firstLine="881"/>
        <w:spacing w:after="0" w:line="256" w:lineRule="auto"/>
        <w:rPr>
          <w:sz w:val="20"/>
          <w:szCs w:val="20"/>
          <w:color w:val="auto"/>
        </w:rPr>
      </w:pPr>
      <w:r>
        <w:rPr>
          <w:rFonts w:ascii="Times New Roman" w:cs="Times New Roman" w:eastAsia="Times New Roman" w:hAnsi="Times New Roman"/>
          <w:sz w:val="18"/>
          <w:szCs w:val="18"/>
          <w:color w:val="auto"/>
        </w:rPr>
        <w:t>Under the Foreign Account Tax Compliance Act, or FATCA, withholding tax of 30% applies to certain payments to foreign financial institutions, investment funds and certain other non-U.S. persons that fail to 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w:t>
      </w:r>
    </w:p>
    <w:p>
      <w:pPr>
        <w:spacing w:after="0" w:line="187" w:lineRule="exact"/>
        <w:rPr>
          <w:sz w:val="20"/>
          <w:szCs w:val="20"/>
          <w:color w:val="auto"/>
        </w:rPr>
      </w:pPr>
    </w:p>
    <w:p>
      <w:pPr>
        <w:ind w:left="120" w:right="260" w:firstLine="881"/>
        <w:spacing w:after="0" w:line="266" w:lineRule="auto"/>
        <w:rPr>
          <w:sz w:val="20"/>
          <w:szCs w:val="20"/>
          <w:color w:val="auto"/>
        </w:rPr>
      </w:pPr>
      <w:r>
        <w:rPr>
          <w:rFonts w:ascii="Times New Roman" w:cs="Times New Roman" w:eastAsia="Times New Roman" w:hAnsi="Times New Roman"/>
          <w:sz w:val="18"/>
          <w:szCs w:val="18"/>
          <w:color w:val="auto"/>
        </w:rPr>
        <w:t>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76" w:lineRule="exact"/>
        <w:rPr>
          <w:sz w:val="20"/>
          <w:szCs w:val="20"/>
          <w:color w:val="auto"/>
        </w:rPr>
      </w:pPr>
    </w:p>
    <w:p>
      <w:pPr>
        <w:ind w:left="120" w:right="740" w:firstLine="881"/>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own tax advisors regarding the possible implications of FATCA on their investment in our common stock.</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72" w:lineRule="exact"/>
        <w:rPr>
          <w:sz w:val="20"/>
          <w:szCs w:val="20"/>
          <w:color w:val="auto"/>
        </w:rPr>
      </w:pPr>
    </w:p>
    <w:p>
      <w:pPr>
        <w:ind w:left="120" w:right="200" w:firstLine="881"/>
        <w:spacing w:after="0" w:line="275" w:lineRule="auto"/>
        <w:rPr>
          <w:sz w:val="20"/>
          <w:szCs w:val="20"/>
          <w:color w:val="auto"/>
        </w:rPr>
      </w:pPr>
      <w:r>
        <w:rPr>
          <w:rFonts w:ascii="Times New Roman" w:cs="Times New Roman" w:eastAsia="Times New Roman" w:hAnsi="Times New Roman"/>
          <w:sz w:val="17"/>
          <w:szCs w:val="17"/>
          <w:b w:val="1"/>
          <w:bCs w:val="1"/>
          <w:color w:val="auto"/>
        </w:rPr>
        <w:t>PROSPECTIVE INVESTORS SHOULD CONSULT THEIR OWN TAX ADVISORS REGARDING THE POTENTIAL APPLICATION OF WITHHOLDING UNDER FATCA TO THEIR INVESTMENT IN OUR COMMON STOCK. THE PRECEDING DISCUSSION OF U.S. FEDERAL TAX CONSIDERATIONS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BofA Securities, Inc., Jefferies LLC and Raymond James &amp; Associates, Inc.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200" w:lineRule="exact"/>
        <w:rPr>
          <w:sz w:val="20"/>
          <w:szCs w:val="20"/>
          <w:color w:val="auto"/>
        </w:rPr>
      </w:pPr>
    </w:p>
    <w:p>
      <w:pPr>
        <w:ind w:left="920"/>
        <w:spacing w:after="0"/>
        <w:tabs>
          <w:tab w:leader="none" w:pos="9100" w:val="left"/>
        </w:tabs>
        <w:rPr>
          <w:sz w:val="20"/>
          <w:szCs w:val="20"/>
          <w:color w:val="auto"/>
        </w:rPr>
      </w:pPr>
      <w:r>
        <w:rPr>
          <w:rFonts w:ascii="Times New Roman" w:cs="Times New Roman" w:eastAsia="Times New Roman" w:hAnsi="Times New Roman"/>
          <w:sz w:val="14"/>
          <w:szCs w:val="14"/>
          <w:b w:val="1"/>
          <w:bCs w:val="1"/>
          <w:u w:val="single" w:color="auto"/>
          <w:color w:val="auto"/>
        </w:rPr>
        <w:t>Underwriter</w:t>
      </w:r>
      <w:r>
        <w:rPr>
          <w:sz w:val="20"/>
          <w:szCs w:val="20"/>
          <w:color w:val="auto"/>
        </w:rPr>
        <w:tab/>
      </w:r>
      <w:r>
        <w:rPr>
          <w:rFonts w:ascii="Times New Roman" w:cs="Times New Roman" w:eastAsia="Times New Roman" w:hAnsi="Times New Roman"/>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16510</wp:posOffset>
            </wp:positionV>
            <wp:extent cx="5974715"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LifeSci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5715</wp:posOffset>
            </wp:positionV>
            <wp:extent cx="7461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17145</wp:posOffset>
            </wp:positionV>
            <wp:extent cx="7461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34290</wp:posOffset>
            </wp:positionV>
            <wp:extent cx="7461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59" w:lineRule="exact"/>
        <w:rPr>
          <w:sz w:val="20"/>
          <w:szCs w:val="20"/>
          <w:color w:val="auto"/>
        </w:rPr>
      </w:pPr>
    </w:p>
    <w:p>
      <w:pPr>
        <w:ind w:left="120" w:right="460" w:firstLine="881"/>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left="120" w:right="300" w:firstLine="881"/>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w:t>
      </w:r>
    </w:p>
    <w:p>
      <w:pPr>
        <w:spacing w:after="0" w:line="27"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forth on the cover page of this prospectus and to dealers at that price less a concession not in excess of $ per share. After the initial offering, the public offering price, concession or any other term of the offering may be changed.</w:t>
      </w:r>
    </w:p>
    <w:p>
      <w:pPr>
        <w:spacing w:after="0" w:line="181"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2820" w:type="dxa"/>
            <w:vAlign w:val="bottom"/>
            <w:gridSpan w:val="3"/>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2080" w:type="dxa"/>
            <w:vAlign w:val="bottom"/>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With Option</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2060" w:type="dxa"/>
            <w:vAlign w:val="bottom"/>
            <w:gridSpan w:val="2"/>
          </w:tcPr>
          <w:p>
            <w:pPr>
              <w:jc w:val="center"/>
              <w:ind w:left="13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center"/>
              <w:ind w:left="8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060" w:type="dxa"/>
            <w:vAlign w:val="bottom"/>
            <w:gridSpan w:val="2"/>
            <w:shd w:val="clear" w:color="auto" w:fill="CCEEFF"/>
          </w:tcPr>
          <w:p>
            <w:pPr>
              <w:jc w:val="center"/>
              <w:ind w:left="13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r>
      <w:tr>
        <w:trPr>
          <w:trHeight w:val="432"/>
        </w:trPr>
        <w:tc>
          <w:tcPr>
            <w:tcW w:w="6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w:t>
            </w:r>
          </w:p>
        </w:tc>
        <w:tc>
          <w:tcPr>
            <w:tcW w:w="140" w:type="dxa"/>
            <w:vAlign w:val="bottom"/>
          </w:tcPr>
          <w:p>
            <w:pPr>
              <w:spacing w:after="0"/>
              <w:rPr>
                <w:sz w:val="24"/>
                <w:szCs w:val="24"/>
                <w:color w:val="auto"/>
              </w:rPr>
            </w:pPr>
          </w:p>
        </w:tc>
        <w:tc>
          <w:tcPr>
            <w:tcW w:w="30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99"/>
              </w:rPr>
              <w:t>and are payable by us. We have also</w:t>
            </w:r>
          </w:p>
        </w:tc>
      </w:tr>
    </w:tbl>
    <w:p>
      <w:pPr>
        <w:ind w:left="120"/>
        <w:spacing w:after="0"/>
        <w:rPr>
          <w:sz w:val="20"/>
          <w:szCs w:val="20"/>
          <w:color w:val="auto"/>
        </w:rPr>
      </w:pPr>
      <w:r>
        <w:rPr>
          <w:rFonts w:ascii="Times New Roman" w:cs="Times New Roman" w:eastAsia="Times New Roman" w:hAnsi="Times New Roman"/>
          <w:sz w:val="18"/>
          <w:szCs w:val="18"/>
          <w:color w:val="auto"/>
        </w:rPr>
        <w:t>agreed to reimburse the underwriters for their expenses relating to clearance of this offering with the Financial Industry Regulatory Authority in an</w:t>
      </w:r>
    </w:p>
    <w:p>
      <w:pPr>
        <w:spacing w:after="0" w:line="200" w:lineRule="exact"/>
        <w:rPr>
          <w:sz w:val="20"/>
          <w:szCs w:val="20"/>
          <w:color w:val="auto"/>
        </w:rPr>
      </w:pPr>
    </w:p>
    <w:p>
      <w:pPr>
        <w:spacing w:after="0" w:line="205" w:lineRule="exact"/>
        <w:rPr>
          <w:sz w:val="20"/>
          <w:szCs w:val="20"/>
          <w:color w:val="auto"/>
        </w:rPr>
      </w:pPr>
    </w:p>
    <w:p>
      <w:pPr>
        <w:ind w:left="120"/>
        <w:spacing w:after="0"/>
        <w:tabs>
          <w:tab w:leader="none" w:pos="1900" w:val="left"/>
        </w:tabs>
        <w:rPr>
          <w:sz w:val="20"/>
          <w:szCs w:val="20"/>
          <w:color w:val="auto"/>
        </w:rPr>
      </w:pPr>
      <w:r>
        <w:rPr>
          <w:rFonts w:ascii="Times New Roman" w:cs="Times New Roman" w:eastAsia="Times New Roman" w:hAnsi="Times New Roman"/>
          <w:sz w:val="18"/>
          <w:szCs w:val="18"/>
          <w:color w:val="auto"/>
        </w:rPr>
        <w:t>amount up to $</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80"/>
          </w:cols>
          <w:pgMar w:left="320" w:top="455" w:right="49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to purchase up to</w:t>
      </w:r>
    </w:p>
    <w:p>
      <w:pPr>
        <w:spacing w:after="0" w:line="27"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BofA Securities, Inc. and Jefferies LLC. Specifically, we and these other persons have agreed, with certain limited exceptions, not to directly or indirectly</w:t>
      </w:r>
    </w:p>
    <w:p>
      <w:pPr>
        <w:spacing w:after="0" w:line="207" w:lineRule="exact"/>
        <w:rPr>
          <w:sz w:val="20"/>
          <w:szCs w:val="20"/>
          <w:color w:val="auto"/>
        </w:rPr>
      </w:pPr>
    </w:p>
    <w:p>
      <w:pPr>
        <w:ind w:left="1420" w:hanging="319"/>
        <w:spacing w:after="0"/>
        <w:tabs>
          <w:tab w:leader="none" w:pos="14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or otherwise dispose of or transfer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or make a confidential submission of a registration statement related to the common stock,</w:t>
      </w:r>
    </w:p>
    <w:p>
      <w:pPr>
        <w:spacing w:after="0" w:line="252" w:lineRule="exact"/>
        <w:rPr>
          <w:rFonts w:ascii="Times New Roman" w:cs="Times New Roman" w:eastAsia="Times New Roman" w:hAnsi="Times New Roman"/>
          <w:sz w:val="18"/>
          <w:szCs w:val="18"/>
          <w:color w:val="auto"/>
        </w:rPr>
      </w:pPr>
    </w:p>
    <w:p>
      <w:pPr>
        <w:ind w:left="1420" w:right="280" w:hanging="319"/>
        <w:spacing w:after="0" w:line="282" w:lineRule="auto"/>
        <w:tabs>
          <w:tab w:leader="none" w:pos="14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 or</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225" w:lineRule="exact"/>
        <w:rPr>
          <w:sz w:val="20"/>
          <w:szCs w:val="20"/>
          <w:color w:val="auto"/>
        </w:rPr>
      </w:pPr>
    </w:p>
    <w:p>
      <w:pPr>
        <w:ind w:left="120" w:right="160" w:firstLine="881"/>
        <w:spacing w:after="0" w:line="268" w:lineRule="auto"/>
        <w:rPr>
          <w:sz w:val="20"/>
          <w:szCs w:val="20"/>
          <w:color w:val="auto"/>
        </w:rPr>
      </w:pPr>
      <w:r>
        <w:rPr>
          <w:rFonts w:ascii="Times New Roman" w:cs="Times New Roman" w:eastAsia="Times New Roman" w:hAnsi="Times New Roman"/>
          <w:sz w:val="17"/>
          <w:szCs w:val="17"/>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BofA Securities, Inc. and Jefferies LLC, in their sole discretion, may release the common stock and other securities subject to the lock-up agreements described above in whole or in part at any time with or without notice. In addition, in the event that one or more stockholders is granted an early release from any restriction on transfer described in the lock-up agreements during the lockup period described therein with respect to our securities in an aggregate amount in excess one percent of our issued and outstanding shares of common stock on</w:t>
      </w:r>
    </w:p>
    <w:p>
      <w:pPr>
        <w:spacing w:after="0" w:line="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 as-converted to common stock basis (whether in one or multiple releases), then each stockholder holding in excess of percent of the outstanding shares of our securities on an as-converted to common stock basis, or a Major Holder, will automatically be granted an early release on the same terms from the lock-up restrictions on transfer under the lock-up agreement on a pro-rata basis. In the event of an underwritten primary or secondary public offering or sale of our common stock during the period ending 180 days after the date of this prospectus, such early release shall only apply with respect to such Major Holder’s participation in such offering.</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229" w:lineRule="exact"/>
        <w:rPr>
          <w:sz w:val="20"/>
          <w:szCs w:val="20"/>
          <w:color w:val="auto"/>
        </w:rPr>
      </w:pPr>
    </w:p>
    <w:p>
      <w:pPr>
        <w:jc w:val="center"/>
        <w:ind w:left="920" w:right="400"/>
        <w:spacing w:after="0" w:line="454" w:lineRule="auto"/>
        <w:rPr>
          <w:sz w:val="20"/>
          <w:szCs w:val="20"/>
          <w:color w:val="auto"/>
        </w:rPr>
      </w:pPr>
      <w:r>
        <w:rPr>
          <w:rFonts w:ascii="Times New Roman" w:cs="Times New Roman" w:eastAsia="Times New Roman" w:hAnsi="Times New Roman"/>
          <w:sz w:val="18"/>
          <w:szCs w:val="18"/>
          <w:color w:val="auto"/>
        </w:rPr>
        <w:t>We expect the shares to be approved for listing on the Nasdaq Global Market, subject to notice of issuance, under the symbol “TARS.” -186-</w:t>
      </w:r>
    </w:p>
    <w:p>
      <w:pPr>
        <w:sectPr>
          <w:pgSz w:w="11900" w:h="16838" w:orient="portrait"/>
          <w:cols w:equalWidth="0" w:num="1">
            <w:col w:w="11100"/>
          </w:cols>
          <w:pgMar w:left="320" w:top="455" w:right="47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203" w:lineRule="exact"/>
        <w:rPr>
          <w:sz w:val="20"/>
          <w:szCs w:val="20"/>
          <w:color w:val="auto"/>
        </w:rPr>
      </w:pPr>
    </w:p>
    <w:p>
      <w:pPr>
        <w:ind w:left="1420" w:hanging="319"/>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multiples of publicly traded companies that the representatives believe to be comparable to us,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information,</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the prospects for, our company and the industry in which we compete,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its past and present operations, and the prospects for, and timing of, our future revenues,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factors in relation to market values and various valuation measures of other companies engaged in activities similar to ours.</w:t>
      </w:r>
    </w:p>
    <w:p>
      <w:pPr>
        <w:spacing w:after="0" w:line="225" w:lineRule="exact"/>
        <w:rPr>
          <w:sz w:val="20"/>
          <w:szCs w:val="20"/>
          <w:color w:val="auto"/>
        </w:rPr>
      </w:pPr>
    </w:p>
    <w:p>
      <w:pPr>
        <w:ind w:left="120" w:right="460" w:firstLine="881"/>
        <w:spacing w:after="0" w:line="282" w:lineRule="auto"/>
        <w:rPr>
          <w:sz w:val="20"/>
          <w:szCs w:val="20"/>
          <w:color w:val="auto"/>
        </w:rPr>
      </w:pPr>
      <w:r>
        <w:rPr>
          <w:rFonts w:ascii="Times New Roman" w:cs="Times New Roman" w:eastAsia="Times New Roman" w:hAnsi="Times New Roman"/>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underwriters do not expect to sell more than 5% of the shares in the aggregate to accounts over which they exercise discretionary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authority.</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ind w:left="120" w:right="320" w:firstLine="881"/>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6"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92"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520" w:firstLine="881"/>
        <w:spacing w:after="0" w:line="282"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62" w:lineRule="exact"/>
        <w:rPr>
          <w:sz w:val="20"/>
          <w:szCs w:val="20"/>
          <w:color w:val="auto"/>
        </w:rPr>
      </w:pPr>
    </w:p>
    <w:p>
      <w:pPr>
        <w:ind w:left="120" w:right="160" w:firstLine="881"/>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3"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 and the United Kingdom</w:t>
      </w:r>
    </w:p>
    <w:p>
      <w:pPr>
        <w:spacing w:after="0" w:line="22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10" w:lineRule="exact"/>
        <w:rPr>
          <w:sz w:val="20"/>
          <w:szCs w:val="20"/>
          <w:color w:val="auto"/>
        </w:rPr>
      </w:pPr>
    </w:p>
    <w:p>
      <w:pPr>
        <w:ind w:left="1420" w:hanging="319"/>
        <w:spacing w:after="0"/>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52" w:lineRule="exact"/>
        <w:rPr>
          <w:rFonts w:ascii="Times New Roman" w:cs="Times New Roman" w:eastAsia="Times New Roman" w:hAnsi="Times New Roman"/>
          <w:sz w:val="18"/>
          <w:szCs w:val="18"/>
          <w:color w:val="auto"/>
        </w:rPr>
      </w:pPr>
    </w:p>
    <w:p>
      <w:pPr>
        <w:ind w:left="1420" w:right="460" w:hanging="319"/>
        <w:spacing w:after="0" w:line="282" w:lineRule="auto"/>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80"/>
          </w:cols>
          <w:pgMar w:left="320" w:top="455" w:right="49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40" w:firstLine="881"/>
        <w:spacing w:after="0" w:line="266"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or to whom any offer is made will be deemed to have represented, acknowledged and agreed to and with the Company and the representatives that it is a qualified investor within the meaning of the Prospectus Regulation.</w:t>
      </w:r>
    </w:p>
    <w:p>
      <w:pPr>
        <w:spacing w:after="0" w:line="176"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83" w:lineRule="exact"/>
        <w:rPr>
          <w:sz w:val="20"/>
          <w:szCs w:val="20"/>
          <w:color w:val="auto"/>
        </w:rPr>
      </w:pPr>
    </w:p>
    <w:p>
      <w:pPr>
        <w:ind w:left="120" w:right="640" w:firstLine="881"/>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respective affiliates will rely upon the truth and accuracy of the foregoing representations, acknowledgements and agreements.</w:t>
      </w:r>
    </w:p>
    <w:p>
      <w:pPr>
        <w:spacing w:after="0" w:line="162"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6"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References to the Prospectus Regulation includes, in relation to the UK, the Prospectus Regulation as it forms part of UK domestic law by virtue of the European Union (Withdrawal) Act 2018.</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260" w:firstLine="881"/>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100" w:firstLine="881"/>
        <w:spacing w:after="0" w:line="255"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229" w:lineRule="exact"/>
        <w:rPr>
          <w:sz w:val="20"/>
          <w:szCs w:val="20"/>
          <w:color w:val="auto"/>
        </w:rPr>
      </w:pPr>
    </w:p>
    <w:p>
      <w:pPr>
        <w:jc w:val="both"/>
        <w:ind w:left="120" w:right="500" w:firstLine="881"/>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jc w:val="both"/>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9" w:lineRule="exact"/>
        <w:rPr>
          <w:sz w:val="20"/>
          <w:szCs w:val="20"/>
          <w:color w:val="auto"/>
        </w:rPr>
      </w:pPr>
    </w:p>
    <w:p>
      <w:pPr>
        <w:ind w:left="120" w:right="40" w:firstLine="881"/>
        <w:spacing w:after="0" w:line="289" w:lineRule="auto"/>
        <w:rPr>
          <w:sz w:val="20"/>
          <w:szCs w:val="20"/>
          <w:color w:val="auto"/>
        </w:rPr>
      </w:pPr>
      <w:r>
        <w:rPr>
          <w:rFonts w:ascii="Times New Roman" w:cs="Times New Roman" w:eastAsia="Times New Roman" w:hAnsi="Times New Roman"/>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252" w:lineRule="exact"/>
        <w:rPr>
          <w:sz w:val="20"/>
          <w:szCs w:val="20"/>
          <w:color w:val="auto"/>
        </w:rPr>
      </w:pPr>
    </w:p>
    <w:p>
      <w:pPr>
        <w:ind w:left="1420" w:right="360" w:hanging="427"/>
        <w:spacing w:after="0" w:line="282" w:lineRule="auto"/>
        <w:tabs>
          <w:tab w:leader="none" w:pos="14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8" w:lineRule="exact"/>
        <w:rPr>
          <w:rFonts w:ascii="Times New Roman" w:cs="Times New Roman" w:eastAsia="Times New Roman" w:hAnsi="Times New Roman"/>
          <w:sz w:val="18"/>
          <w:szCs w:val="18"/>
          <w:color w:val="auto"/>
        </w:rPr>
      </w:pPr>
    </w:p>
    <w:p>
      <w:pPr>
        <w:ind w:left="1420" w:right="200" w:hanging="427"/>
        <w:spacing w:after="0" w:line="282" w:lineRule="auto"/>
        <w:tabs>
          <w:tab w:leader="none" w:pos="14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3" w:lineRule="exact"/>
        <w:rPr>
          <w:sz w:val="20"/>
          <w:szCs w:val="20"/>
          <w:color w:val="auto"/>
        </w:rPr>
      </w:pPr>
    </w:p>
    <w:p>
      <w:pPr>
        <w:ind w:left="1420" w:right="940" w:hanging="427"/>
        <w:spacing w:after="0" w:line="282" w:lineRule="auto"/>
        <w:tabs>
          <w:tab w:leader="none" w:pos="14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57"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191 -</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427"/>
        <w:spacing w:after="0"/>
        <w:tabs>
          <w:tab w:leader="none" w:pos="14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33-105</w:t>
      </w:r>
      <w:r>
        <w:rPr>
          <w:rFonts w:ascii="Times New Roman" w:cs="Times New Roman" w:eastAsia="Times New Roman" w:hAnsi="Times New Roman"/>
          <w:sz w:val="18"/>
          <w:szCs w:val="18"/>
          <w:color w:val="auto"/>
        </w:rPr>
        <w:t>), the underwriters are not required to comply with the disclosure requirements of NI 33-105 regarding underwriter conflicts of interest in connection with this offering.</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00"/>
          </w:cols>
          <w:pgMar w:left="320" w:top="455" w:right="57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validity of the shares of our common stock offered in this prospectus will be passed upon for us by Gunderson Dettmer Stough Villeneuve Franklin &amp; Hachigian, LLP, San Diego, California. Shearman &amp; Sterling LLP, New York, New York is acting as counsel for the underwriters in connection with this offering. Certain investment partnerships comprised of partners of Gunderson Dettmer Stough Villeneuve Franklin &amp; Hachigian, LLP, own an interest representing less than one percent of the shares of our common stock.</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at December 31, 2018 and 2019, and for each of the two years in the period ended December 31, 2019, as set forth in their report. We’ve included our financial statements in the prospectus and elsewhere in the registration statement in reliance on Ernst &amp; Young LLP’s report, given on their authority as experts in accounting and auditing.</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60" w:firstLine="881"/>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or the exhibits, schedules and amendments to the registration statement. Please refer to the registration statement and to the exhibits and schedules for further information with respect to the common stock offered by this prospectus. Statements contained in this prospectus regarding the contents of any contract, agreement or other document are only summaries. With respect to any contract, agreement or document that is filed as an exhibit to the registration statement, you should refer to the exhibit for a copy of the contract, agreement or document, and each statement in this prospectus regarding that contract, agreement or document is qualified by reference to the exhibit. The SEC maintains an Internet website that contains the registration statement of which this prospectus forms a part, as well as the exhibits thereto. These documents, along with future reports, proxy statements and other information about us, are available at the SEC’s website, www.sec.gov. The information on the SEC’s web site is not part of this prospectus, and any references to this web site or any other web site are inactive textual references only.</w:t>
      </w:r>
    </w:p>
    <w:p>
      <w:pPr>
        <w:spacing w:after="0" w:line="194" w:lineRule="exact"/>
        <w:rPr>
          <w:sz w:val="20"/>
          <w:szCs w:val="20"/>
          <w:color w:val="auto"/>
        </w:rPr>
      </w:pPr>
    </w:p>
    <w:p>
      <w:pPr>
        <w:ind w:left="120" w:right="20" w:firstLine="881"/>
        <w:spacing w:after="0" w:line="274" w:lineRule="auto"/>
        <w:rPr>
          <w:sz w:val="20"/>
          <w:szCs w:val="20"/>
          <w:color w:val="auto"/>
        </w:rPr>
      </w:pPr>
      <w:r>
        <w:rPr>
          <w:rFonts w:ascii="Times New Roman" w:cs="Times New Roman" w:eastAsia="Times New Roman" w:hAnsi="Times New Roman"/>
          <w:sz w:val="17"/>
          <w:szCs w:val="17"/>
          <w:color w:val="auto"/>
        </w:rPr>
        <w:t>Upon completion of this offering, we will become subject to the information and reporting requirements of the Exchange Act, and, in accordance with this law, will be required to file periodic reports, proxy statements and other information with the SEC. These periodic reports, proxy statements and other information will be available on the SEC’s website referred to above. We also maintain a website at www.tarsusrx.com,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THE FINANCIAL STATEMENTS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0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199">
              <w:r>
                <w:rPr>
                  <w:rFonts w:ascii="Times New Roman" w:cs="Times New Roman" w:eastAsia="Times New Roman" w:hAnsi="Times New Roman"/>
                  <w:sz w:val="18"/>
                  <w:szCs w:val="18"/>
                  <w:u w:val="single" w:color="auto"/>
                  <w:color w:val="0000EE"/>
                </w:rPr>
                <w:t>Report of Independent Registered Public Accounting Firm</w:t>
              </w:r>
            </w:hyperlink>
          </w:p>
        </w:tc>
        <w:tc>
          <w:tcPr>
            <w:tcW w:w="580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Pages</w:t>
            </w:r>
          </w:p>
        </w:tc>
        <w:tc>
          <w:tcPr>
            <w:tcW w:w="0" w:type="dxa"/>
            <w:vAlign w:val="bottom"/>
          </w:tcPr>
          <w:p>
            <w:pPr>
              <w:spacing w:after="0"/>
              <w:rPr>
                <w:sz w:val="1"/>
                <w:szCs w:val="1"/>
                <w:color w:val="auto"/>
              </w:rPr>
            </w:pPr>
          </w:p>
        </w:tc>
      </w:tr>
      <w:tr>
        <w:trPr>
          <w:trHeight w:val="191"/>
        </w:trPr>
        <w:tc>
          <w:tcPr>
            <w:tcW w:w="4800" w:type="dxa"/>
            <w:vAlign w:val="bottom"/>
            <w:vMerge w:val="continue"/>
          </w:tcPr>
          <w:p>
            <w:pPr>
              <w:spacing w:after="0"/>
              <w:rPr>
                <w:sz w:val="16"/>
                <w:szCs w:val="16"/>
                <w:color w:val="auto"/>
              </w:rPr>
            </w:pPr>
          </w:p>
        </w:tc>
        <w:tc>
          <w:tcPr>
            <w:tcW w:w="5800" w:type="dxa"/>
            <w:vAlign w:val="bottom"/>
          </w:tcPr>
          <w:p>
            <w:pPr>
              <w:spacing w:after="0"/>
              <w:rPr>
                <w:sz w:val="16"/>
                <w:szCs w:val="16"/>
                <w:color w:val="auto"/>
              </w:rPr>
            </w:pPr>
          </w:p>
        </w:tc>
        <w:tc>
          <w:tcPr>
            <w:tcW w:w="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200">
              <w:r>
                <w:rPr>
                  <w:rFonts w:ascii="Times New Roman" w:cs="Times New Roman" w:eastAsia="Times New Roman" w:hAnsi="Times New Roman"/>
                  <w:sz w:val="18"/>
                  <w:szCs w:val="18"/>
                  <w:u w:val="single" w:color="auto"/>
                  <w:color w:val="0000EE"/>
                </w:rPr>
                <w:t>Balance Sheets</w:t>
              </w:r>
            </w:hyperlink>
          </w:p>
        </w:tc>
        <w:tc>
          <w:tcPr>
            <w:tcW w:w="5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Statements of Operations and Comprehensive Loss</w:t>
              </w:r>
            </w:hyperlink>
          </w:p>
        </w:tc>
        <w:tc>
          <w:tcPr>
            <w:tcW w:w="5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Statements of Preferred Stock and Stockholders’ Deficit</w:t>
              </w:r>
            </w:hyperlink>
          </w:p>
        </w:tc>
        <w:tc>
          <w:tcPr>
            <w:tcW w:w="5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203">
              <w:r>
                <w:rPr>
                  <w:rFonts w:ascii="Times New Roman" w:cs="Times New Roman" w:eastAsia="Times New Roman" w:hAnsi="Times New Roman"/>
                  <w:sz w:val="18"/>
                  <w:szCs w:val="18"/>
                  <w:u w:val="single" w:color="auto"/>
                  <w:color w:val="0000EE"/>
                </w:rPr>
                <w:t>Statements of Cash Flows</w:t>
              </w:r>
            </w:hyperlink>
          </w:p>
        </w:tc>
        <w:tc>
          <w:tcPr>
            <w:tcW w:w="5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34"/>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Notes to Financial Statements</w:t>
              </w:r>
            </w:hyperlink>
          </w:p>
        </w:tc>
        <w:tc>
          <w:tcPr>
            <w:tcW w:w="580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64"/>
        </w:trPr>
        <w:tc>
          <w:tcPr>
            <w:tcW w:w="4800" w:type="dxa"/>
            <w:vAlign w:val="bottom"/>
          </w:tcPr>
          <w:p>
            <w:pPr>
              <w:spacing w:after="0"/>
              <w:rPr>
                <w:sz w:val="24"/>
                <w:szCs w:val="24"/>
                <w:color w:val="auto"/>
              </w:rPr>
            </w:pPr>
          </w:p>
        </w:tc>
        <w:tc>
          <w:tcPr>
            <w:tcW w:w="61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Tarsus Pharmaceuticals,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Tarsus Pharmaceuticals, Inc. (the Company) as of December 31, 2018 and 2019, the related statements of operations and comprehensive loss,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7, 2020</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57,952</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58,030</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58,316</w:t>
            </w: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PREFERRED STOCK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3"/>
        </w:trPr>
        <w:tc>
          <w:tcPr>
            <w:tcW w:w="9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 portion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4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 Preferred Stock, $0.001 par value; 12,820,512 and 11,698,716 shares authorized at December 31, 2018 and 2019,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 11,698,716 shares issued and outstanding at December 31, 2018 and 2019; liquidation preference of</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$3,650 at December 31, 2018 and 2019</w:t>
            </w:r>
          </w:p>
        </w:tc>
        <w:tc>
          <w:tcPr>
            <w:tcW w:w="10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198"/>
        </w:trPr>
        <w:tc>
          <w:tcPr>
            <w:tcW w:w="94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B Preferred Stock, $0.001 par value; zero shares authorized, issued or outstanding at December 31, 2018 and</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50,000,000 shares authorized and 49,578,623 shares issued and outstanding at December 31, 2019; liquidation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preference of $0 and $60,010 at December 31, 2018 and 2019, respectively</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59,838</w:t>
            </w:r>
          </w:p>
        </w:tc>
        <w:tc>
          <w:tcPr>
            <w:tcW w:w="0" w:type="dxa"/>
            <w:vAlign w:val="bottom"/>
          </w:tcPr>
          <w:p>
            <w:pPr>
              <w:spacing w:after="0"/>
              <w:rPr>
                <w:sz w:val="1"/>
                <w:szCs w:val="1"/>
                <w:color w:val="auto"/>
              </w:rPr>
            </w:pPr>
          </w:p>
        </w:tc>
      </w:tr>
      <w:tr>
        <w:trPr>
          <w:trHeight w:val="324"/>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4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103,000,000 shares authorized; 19,890,000 shares issued and 15,441,387 outstanding</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excluding 4,448,613 shares subject to repurchase at December 31, 2018; 19,690,000 shares issued and 19,658,055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excluding 31,945 shares subject to repurchase at December 31, 2019</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(1,364)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(6,034)</w:t>
            </w:r>
          </w:p>
        </w:tc>
        <w:tc>
          <w:tcPr>
            <w:tcW w:w="0" w:type="dxa"/>
            <w:vAlign w:val="bottom"/>
          </w:tcPr>
          <w:p>
            <w:pPr>
              <w:spacing w:after="0"/>
              <w:rPr>
                <w:sz w:val="1"/>
                <w:szCs w:val="1"/>
                <w:color w:val="auto"/>
              </w:rPr>
            </w:pPr>
          </w:p>
        </w:tc>
      </w:tr>
      <w:tr>
        <w:trPr>
          <w:trHeight w:val="230"/>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3"/>
              </w:rPr>
              <w:t>(1,354)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(6,005)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preferred stock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58,316</w:t>
            </w: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901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before other income (expense) and income taxes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(4,298)</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7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 per share attributable to common</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6"/>
              </w:rPr>
              <w:t>13,068,854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17,728,991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 (unaudited)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used in computing pro forma net loss per share attributable to</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 basic and diluted (unaudited)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32,008,512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STATEMENTS OF PREFERRED STOCK AND STOCKHOLDERS’ DEFICIT</w:t>
      </w:r>
    </w:p>
    <w:p>
      <w:pPr>
        <w:spacing w:after="0" w:line="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11080"/>
          </w:cols>
          <w:pgMar w:left="320" w:top="455" w:right="499" w:bottom="1440" w:gutter="0" w:footer="0" w:header="0"/>
        </w:sectPr>
      </w:pP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4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as of </w:t>
            </w:r>
            <w:r>
              <w:rPr>
                <w:rFonts w:ascii="Times New Roman" w:cs="Times New Roman" w:eastAsia="Times New Roman" w:hAnsi="Times New Roman"/>
                <w:sz w:val="14"/>
                <w:szCs w:val="14"/>
                <w:color w:val="auto"/>
              </w:rPr>
              <w:t>December 31, 2017</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19"/>
        </w:trPr>
        <w:tc>
          <w:tcPr>
            <w:tcW w:w="3760" w:type="dxa"/>
            <w:vAlign w:val="bottom"/>
            <w:vMerge w:val="continue"/>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Recognition of stock-based compensation expense</w:t>
            </w:r>
          </w:p>
        </w:tc>
        <w:tc>
          <w:tcPr>
            <w:tcW w:w="38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purchase</w:t>
            </w:r>
          </w:p>
        </w:tc>
        <w:tc>
          <w:tcPr>
            <w:tcW w:w="380" w:type="dxa"/>
            <w:vAlign w:val="bottom"/>
          </w:tcPr>
          <w:p>
            <w:pPr>
              <w:spacing w:after="0"/>
              <w:rPr>
                <w:sz w:val="12"/>
                <w:szCs w:val="12"/>
                <w:color w:val="auto"/>
              </w:rPr>
            </w:pPr>
          </w:p>
        </w:tc>
        <w:tc>
          <w:tcPr>
            <w:tcW w:w="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agreements</w:t>
            </w:r>
          </w:p>
        </w:tc>
        <w:tc>
          <w:tcPr>
            <w:tcW w:w="3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Vesting of founder shares subject to repurchase</w:t>
            </w:r>
          </w:p>
        </w:tc>
        <w:tc>
          <w:tcPr>
            <w:tcW w:w="38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Lapse of repurchase rights related to common stock</w:t>
            </w:r>
          </w:p>
        </w:tc>
        <w:tc>
          <w:tcPr>
            <w:tcW w:w="380" w:type="dxa"/>
            <w:vAlign w:val="bottom"/>
          </w:tcPr>
          <w:p>
            <w:pPr>
              <w:spacing w:after="0"/>
              <w:rPr>
                <w:sz w:val="12"/>
                <w:szCs w:val="12"/>
                <w:color w:val="auto"/>
              </w:rPr>
            </w:pPr>
          </w:p>
        </w:tc>
        <w:tc>
          <w:tcPr>
            <w:tcW w:w="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7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issued pursuant to early exercises</w:t>
            </w:r>
          </w:p>
        </w:tc>
        <w:tc>
          <w:tcPr>
            <w:tcW w:w="3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Issuance of Series A Preferred Stock for cash, net of</w:t>
            </w:r>
          </w:p>
        </w:tc>
        <w:tc>
          <w:tcPr>
            <w:tcW w:w="7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11,698,716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3,564</w:t>
            </w:r>
          </w:p>
        </w:tc>
        <w:tc>
          <w:tcPr>
            <w:tcW w:w="0" w:type="dxa"/>
            <w:vAlign w:val="bottom"/>
          </w:tcPr>
          <w:p>
            <w:pPr>
              <w:spacing w:after="0"/>
              <w:rPr>
                <w:sz w:val="1"/>
                <w:szCs w:val="1"/>
                <w:color w:val="auto"/>
              </w:rPr>
            </w:pPr>
          </w:p>
        </w:tc>
      </w:tr>
      <w:tr>
        <w:trPr>
          <w:trHeight w:val="171"/>
        </w:trPr>
        <w:tc>
          <w:tcPr>
            <w:tcW w:w="37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issuance costs of $86</w:t>
            </w:r>
          </w:p>
        </w:tc>
        <w:tc>
          <w:tcPr>
            <w:tcW w:w="7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60" w:type="dxa"/>
            <w:vAlign w:val="bottom"/>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 xml:space="preserve">Balance as of </w:t>
            </w:r>
            <w:r>
              <w:rPr>
                <w:rFonts w:ascii="Times New Roman" w:cs="Times New Roman" w:eastAsia="Times New Roman" w:hAnsi="Times New Roman"/>
                <w:sz w:val="14"/>
                <w:szCs w:val="14"/>
                <w:color w:val="auto"/>
              </w:rPr>
              <w:t>December 31, 2018</w:t>
            </w:r>
          </w:p>
        </w:tc>
        <w:tc>
          <w:tcPr>
            <w:tcW w:w="720" w:type="dxa"/>
            <w:vAlign w:val="bottom"/>
            <w:tcBorders>
              <w:top w:val="single" w:sz="8" w:color="auto"/>
            </w:tcBorders>
            <w:gridSpan w:val="3"/>
          </w:tcPr>
          <w:p>
            <w:pPr>
              <w:jc w:val="right"/>
              <w:ind w:right="20"/>
              <w:spacing w:after="0" w:line="133" w:lineRule="exact"/>
              <w:rPr>
                <w:sz w:val="20"/>
                <w:szCs w:val="20"/>
                <w:color w:val="auto"/>
              </w:rPr>
            </w:pPr>
            <w:r>
              <w:rPr>
                <w:rFonts w:ascii="Times New Roman" w:cs="Times New Roman" w:eastAsia="Times New Roman" w:hAnsi="Times New Roman"/>
                <w:sz w:val="14"/>
                <w:szCs w:val="14"/>
                <w:color w:val="auto"/>
              </w:rPr>
              <w:t>11,698,716</w:t>
            </w:r>
          </w:p>
        </w:tc>
        <w:tc>
          <w:tcPr>
            <w:tcW w:w="220" w:type="dxa"/>
            <w:vAlign w:val="bottom"/>
          </w:tcPr>
          <w:p>
            <w:pPr>
              <w:spacing w:after="0"/>
              <w:rPr>
                <w:sz w:val="11"/>
                <w:szCs w:val="11"/>
                <w:color w:val="auto"/>
              </w:rPr>
            </w:pPr>
          </w:p>
        </w:tc>
        <w:tc>
          <w:tcPr>
            <w:tcW w:w="1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3,564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Recognition of stock-based compensation expense</w:t>
            </w:r>
          </w:p>
        </w:tc>
        <w:tc>
          <w:tcPr>
            <w:tcW w:w="38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Vesting of founder shares subject to repurchase</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Lapse of repurchase rights related to common stock</w:t>
            </w:r>
          </w:p>
        </w:tc>
        <w:tc>
          <w:tcPr>
            <w:tcW w:w="380" w:type="dxa"/>
            <w:vAlign w:val="bottom"/>
          </w:tcPr>
          <w:p>
            <w:pPr>
              <w:spacing w:after="0"/>
              <w:rPr>
                <w:sz w:val="12"/>
                <w:szCs w:val="12"/>
                <w:color w:val="auto"/>
              </w:rPr>
            </w:pPr>
          </w:p>
        </w:tc>
        <w:tc>
          <w:tcPr>
            <w:tcW w:w="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issued pursuant to early exercises</w:t>
            </w:r>
          </w:p>
        </w:tc>
        <w:tc>
          <w:tcPr>
            <w:tcW w:w="3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Issuance of Series B Preferred Stock upon conversion</w:t>
            </w:r>
          </w:p>
        </w:tc>
        <w:tc>
          <w:tcPr>
            <w:tcW w:w="7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1,991,052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2,410</w:t>
            </w:r>
          </w:p>
        </w:tc>
        <w:tc>
          <w:tcPr>
            <w:tcW w:w="0" w:type="dxa"/>
            <w:vAlign w:val="bottom"/>
          </w:tcPr>
          <w:p>
            <w:pPr>
              <w:spacing w:after="0"/>
              <w:rPr>
                <w:sz w:val="1"/>
                <w:szCs w:val="1"/>
                <w:color w:val="auto"/>
              </w:rPr>
            </w:pPr>
          </w:p>
        </w:tc>
      </w:tr>
      <w:tr>
        <w:trPr>
          <w:trHeight w:val="148"/>
        </w:trPr>
        <w:tc>
          <w:tcPr>
            <w:tcW w:w="37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of Convertible Notes</w:t>
            </w:r>
          </w:p>
        </w:tc>
        <w:tc>
          <w:tcPr>
            <w:tcW w:w="7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Issuance of Series B Preferred Stock for cash, net of</w:t>
            </w:r>
          </w:p>
        </w:tc>
        <w:tc>
          <w:tcPr>
            <w:tcW w:w="7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47,587,571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57,428</w:t>
            </w:r>
          </w:p>
        </w:tc>
        <w:tc>
          <w:tcPr>
            <w:tcW w:w="0" w:type="dxa"/>
            <w:vAlign w:val="bottom"/>
          </w:tcPr>
          <w:p>
            <w:pPr>
              <w:spacing w:after="0"/>
              <w:rPr>
                <w:sz w:val="1"/>
                <w:szCs w:val="1"/>
                <w:color w:val="auto"/>
              </w:rPr>
            </w:pPr>
          </w:p>
        </w:tc>
      </w:tr>
      <w:tr>
        <w:trPr>
          <w:trHeight w:val="171"/>
        </w:trPr>
        <w:tc>
          <w:tcPr>
            <w:tcW w:w="37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issuance costs of $172</w:t>
            </w:r>
          </w:p>
        </w:tc>
        <w:tc>
          <w:tcPr>
            <w:tcW w:w="7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Balance as of </w:t>
            </w:r>
            <w:r>
              <w:rPr>
                <w:rFonts w:ascii="Times New Roman" w:cs="Times New Roman" w:eastAsia="Times New Roman" w:hAnsi="Times New Roman"/>
                <w:sz w:val="14"/>
                <w:szCs w:val="14"/>
                <w:color w:val="auto"/>
              </w:rPr>
              <w:t>December 31, 2019</w:t>
            </w:r>
          </w:p>
        </w:tc>
        <w:tc>
          <w:tcPr>
            <w:tcW w:w="720" w:type="dxa"/>
            <w:vAlign w:val="bottom"/>
            <w:tcBorders>
              <w:top w:val="single" w:sz="8" w:color="auto"/>
              <w:bottom w:val="single" w:sz="8" w:color="auto"/>
            </w:tcBorders>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61,277,339</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63,402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-2331085</wp:posOffset>
            </wp:positionV>
            <wp:extent cx="6995160" cy="23406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2340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60" w:type="dxa"/>
            <w:vAlign w:val="bottom"/>
            <w:vMerge w:val="restart"/>
          </w:tcPr>
          <w:p>
            <w:pPr>
              <w:spacing w:after="0"/>
              <w:rPr>
                <w:sz w:val="13"/>
                <w:szCs w:val="13"/>
                <w:color w:val="auto"/>
              </w:rPr>
            </w:pP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7"/>
        </w:trPr>
        <w:tc>
          <w:tcPr>
            <w:tcW w:w="14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960" w:type="dxa"/>
            <w:vAlign w:val="bottom"/>
            <w:tcBorders>
              <w:bottom w:val="single" w:sz="8" w:color="auto"/>
            </w:tcBorders>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4"/>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60" w:type="dxa"/>
            <w:vAlign w:val="bottom"/>
          </w:tcPr>
          <w:p>
            <w:pPr>
              <w:spacing w:after="0"/>
              <w:rPr>
                <w:sz w:val="8"/>
                <w:szCs w:val="8"/>
                <w:color w:val="auto"/>
              </w:rPr>
            </w:pPr>
          </w:p>
        </w:tc>
        <w:tc>
          <w:tcPr>
            <w:tcW w:w="120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6"/>
        </w:trPr>
        <w:tc>
          <w:tcPr>
            <w:tcW w:w="140" w:type="dxa"/>
            <w:vAlign w:val="bottom"/>
          </w:tcPr>
          <w:p>
            <w:pPr>
              <w:spacing w:after="0"/>
              <w:rPr>
                <w:sz w:val="3"/>
                <w:szCs w:val="3"/>
                <w:color w:val="auto"/>
              </w:rPr>
            </w:pPr>
          </w:p>
        </w:tc>
        <w:tc>
          <w:tcPr>
            <w:tcW w:w="90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420" w:type="dxa"/>
            <w:vAlign w:val="bottom"/>
            <w:tcBorders>
              <w:top w:val="single" w:sz="8" w:color="auto"/>
            </w:tcBorders>
            <w:gridSpan w:val="2"/>
          </w:tcPr>
          <w:p>
            <w:pPr>
              <w:jc w:val="right"/>
              <w:spacing w:after="0" w:line="120" w:lineRule="exact"/>
              <w:rPr>
                <w:sz w:val="20"/>
                <w:szCs w:val="20"/>
                <w:color w:val="auto"/>
              </w:rPr>
            </w:pPr>
            <w:r>
              <w:rPr>
                <w:rFonts w:ascii="Times New Roman" w:cs="Times New Roman" w:eastAsia="Times New Roman" w:hAnsi="Times New Roman"/>
                <w:sz w:val="12"/>
                <w:szCs w:val="12"/>
                <w:color w:val="auto"/>
                <w:w w:val="73"/>
              </w:rPr>
              <w:t>10,651,388</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tcPr>
          <w:p>
            <w:pPr>
              <w:ind w:left="220"/>
              <w:spacing w:after="0" w:line="120" w:lineRule="exact"/>
              <w:rPr>
                <w:sz w:val="20"/>
                <w:szCs w:val="20"/>
                <w:color w:val="auto"/>
              </w:rPr>
            </w:pPr>
            <w:r>
              <w:rPr>
                <w:rFonts w:ascii="Times New Roman" w:cs="Times New Roman" w:eastAsia="Times New Roman" w:hAnsi="Times New Roman"/>
                <w:sz w:val="11"/>
                <w:szCs w:val="11"/>
                <w:color w:val="auto"/>
                <w:w w:val="71"/>
              </w:rPr>
              <w:t>1</w:t>
            </w:r>
          </w:p>
        </w:tc>
        <w:tc>
          <w:tcPr>
            <w:tcW w:w="180" w:type="dxa"/>
            <w:vAlign w:val="bottom"/>
          </w:tcPr>
          <w:p>
            <w:pPr>
              <w:spacing w:after="0"/>
              <w:rPr>
                <w:sz w:val="10"/>
                <w:szCs w:val="10"/>
                <w:color w:val="auto"/>
              </w:rPr>
            </w:pPr>
          </w:p>
        </w:tc>
        <w:tc>
          <w:tcPr>
            <w:tcW w:w="260" w:type="dxa"/>
            <w:vAlign w:val="bottom"/>
            <w:gridSpan w:val="2"/>
          </w:tcPr>
          <w:p>
            <w:pPr>
              <w:ind w:left="160"/>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460" w:type="dxa"/>
            <w:vAlign w:val="bottom"/>
            <w:tcBorders>
              <w:top w:val="single" w:sz="8" w:color="auto"/>
            </w:tcBorders>
          </w:tcPr>
          <w:p>
            <w:pPr>
              <w:ind w:left="340"/>
              <w:spacing w:after="0" w:line="119" w:lineRule="exact"/>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ind w:left="160"/>
              <w:spacing w:after="0" w:line="11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tcBorders>
          </w:tcPr>
          <w:p>
            <w:pPr>
              <w:spacing w:after="0"/>
              <w:rPr>
                <w:sz w:val="10"/>
                <w:szCs w:val="10"/>
                <w:color w:val="auto"/>
              </w:rPr>
            </w:pPr>
          </w:p>
        </w:tc>
        <w:tc>
          <w:tcPr>
            <w:tcW w:w="580" w:type="dxa"/>
            <w:vAlign w:val="bottom"/>
            <w:gridSpan w:val="2"/>
          </w:tcPr>
          <w:p>
            <w:pPr>
              <w:jc w:val="right"/>
              <w:ind w:right="320"/>
              <w:spacing w:after="0" w:line="119" w:lineRule="exact"/>
              <w:rPr>
                <w:sz w:val="20"/>
                <w:szCs w:val="20"/>
                <w:color w:val="auto"/>
              </w:rPr>
            </w:pPr>
            <w:r>
              <w:rPr>
                <w:rFonts w:ascii="Times New Roman" w:cs="Times New Roman" w:eastAsia="Times New Roman" w:hAnsi="Times New Roman"/>
                <w:sz w:val="13"/>
                <w:szCs w:val="13"/>
                <w:color w:val="auto"/>
              </w:rPr>
              <w:t>(45)</w:t>
            </w:r>
          </w:p>
        </w:tc>
        <w:tc>
          <w:tcPr>
            <w:tcW w:w="22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tcBorders>
          </w:tcPr>
          <w:p>
            <w:pPr>
              <w:spacing w:after="0"/>
              <w:rPr>
                <w:sz w:val="10"/>
                <w:szCs w:val="10"/>
                <w:color w:val="auto"/>
              </w:rPr>
            </w:pPr>
          </w:p>
        </w:tc>
        <w:tc>
          <w:tcPr>
            <w:tcW w:w="2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2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57"/>
        </w:trPr>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40,000</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4,000,000</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97"/>
        </w:trPr>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749,999</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0"/>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3"/>
        </w:trPr>
        <w:tc>
          <w:tcPr>
            <w:tcW w:w="700" w:type="dxa"/>
            <w:vAlign w:val="bottom"/>
            <w:tcBorders>
              <w:top w:val="single" w:sz="8" w:color="auto"/>
            </w:tcBorders>
            <w:gridSpan w:val="4"/>
          </w:tcPr>
          <w:p>
            <w:pPr>
              <w:jc w:val="right"/>
              <w:spacing w:after="0" w:line="133" w:lineRule="exact"/>
              <w:rPr>
                <w:sz w:val="20"/>
                <w:szCs w:val="20"/>
                <w:color w:val="auto"/>
              </w:rPr>
            </w:pPr>
            <w:r>
              <w:rPr>
                <w:rFonts w:ascii="Times New Roman" w:cs="Times New Roman" w:eastAsia="Times New Roman" w:hAnsi="Times New Roman"/>
                <w:sz w:val="14"/>
                <w:szCs w:val="14"/>
                <w:color w:val="auto"/>
              </w:rPr>
              <w:t>15,441,387</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w w:val="71"/>
              </w:rPr>
              <w:t>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gridSpan w:val="3"/>
          </w:tcPr>
          <w:p>
            <w:pPr>
              <w:jc w:val="right"/>
              <w:spacing w:after="0" w:line="133" w:lineRule="exact"/>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(1,364)</w:t>
            </w:r>
          </w:p>
        </w:tc>
        <w:tc>
          <w:tcPr>
            <w:tcW w:w="380" w:type="dxa"/>
            <w:vAlign w:val="bottom"/>
          </w:tcPr>
          <w:p>
            <w:pPr>
              <w:spacing w:after="0"/>
              <w:rPr>
                <w:sz w:val="11"/>
                <w:szCs w:val="11"/>
                <w:color w:val="auto"/>
              </w:rPr>
            </w:pPr>
          </w:p>
        </w:tc>
        <w:tc>
          <w:tcPr>
            <w:tcW w:w="22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(1,354)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(4,670)</w:t>
            </w:r>
          </w:p>
        </w:tc>
        <w:tc>
          <w:tcPr>
            <w:tcW w:w="2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(4,670)</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8"/>
        </w:trPr>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3,666,667</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97"/>
        </w:trPr>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550,001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0"/>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6"/>
        </w:trPr>
        <w:tc>
          <w:tcPr>
            <w:tcW w:w="70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Times New Roman" w:cs="Times New Roman" w:eastAsia="Times New Roman" w:hAnsi="Times New Roman"/>
                <w:sz w:val="14"/>
                <w:szCs w:val="14"/>
                <w:color w:val="auto"/>
              </w:rPr>
              <w:t>19,658,055</w:t>
            </w:r>
          </w:p>
        </w:tc>
        <w:tc>
          <w:tcPr>
            <w:tcW w:w="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1"/>
                <w:szCs w:val="11"/>
                <w:color w:val="auto"/>
                <w:w w:val="71"/>
              </w:rPr>
              <w:t>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(6,034)</w:t>
            </w:r>
          </w:p>
        </w:tc>
        <w:tc>
          <w:tcPr>
            <w:tcW w:w="3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(6,005)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0" w:space="480"/>
            <w:col w:w="4980"/>
          </w:cols>
          <w:pgMar w:left="320" w:top="45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See accompanying notes to these financial statements.</w:t>
      </w:r>
    </w:p>
    <w:p>
      <w:pPr>
        <w:spacing w:after="0" w:line="1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80"/>
          </w:cols>
          <w:pgMar w:left="320" w:top="455" w:right="499" w:bottom="1440" w:gutter="0" w:footer="0" w:header="0"/>
          <w:type w:val="continuous"/>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80" w:type="dxa"/>
            <w:vAlign w:val="bottom"/>
          </w:tcPr>
          <w:p>
            <w:pPr>
              <w:spacing w:after="0"/>
              <w:rPr>
                <w:sz w:val="15"/>
                <w:szCs w:val="15"/>
                <w:color w:val="auto"/>
              </w:rPr>
            </w:pPr>
          </w:p>
        </w:tc>
        <w:tc>
          <w:tcPr>
            <w:tcW w:w="1840" w:type="dxa"/>
            <w:vAlign w:val="bottom"/>
            <w:gridSpan w:val="9"/>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(1,319)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8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18"/>
                <w:szCs w:val="18"/>
                <w:i w:val="1"/>
                <w:iCs w:val="1"/>
                <w:color w:val="auto"/>
              </w:rPr>
              <w:t>(Note 5)</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Amortization of operating lease right-of-use asset </w:t>
            </w:r>
            <w:r>
              <w:rPr>
                <w:rFonts w:ascii="Times New Roman" w:cs="Times New Roman" w:eastAsia="Times New Roman" w:hAnsi="Times New Roman"/>
                <w:sz w:val="18"/>
                <w:szCs w:val="18"/>
                <w:i w:val="1"/>
                <w:iCs w:val="1"/>
                <w:color w:val="auto"/>
              </w:rPr>
              <w:t>(Note 10(a))</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xml:space="preserve">Change in fair value of derivative liabilities </w:t>
            </w:r>
            <w:r>
              <w:rPr>
                <w:rFonts w:ascii="Times New Roman" w:cs="Times New Roman" w:eastAsia="Times New Roman" w:hAnsi="Times New Roman"/>
                <w:sz w:val="18"/>
                <w:szCs w:val="18"/>
                <w:i w:val="1"/>
                <w:iCs w:val="1"/>
                <w:color w:val="auto"/>
              </w:rPr>
              <w:t>(Note 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related party interest expense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extinguishment of convertible notes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18"/>
                <w:szCs w:val="18"/>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40" w:type="dxa"/>
            <w:vAlign w:val="bottom"/>
          </w:tcPr>
          <w:p>
            <w:pPr>
              <w:spacing w:after="0"/>
              <w:rPr>
                <w:sz w:val="18"/>
                <w:szCs w:val="18"/>
                <w:color w:val="auto"/>
              </w:rPr>
            </w:pPr>
          </w:p>
        </w:tc>
        <w:tc>
          <w:tcPr>
            <w:tcW w:w="8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0"/>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(1,183)</w:t>
            </w: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1"/>
              </w:rPr>
              <w:t>(3,673)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8"/>
                <w:szCs w:val="18"/>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Proceeds from issuance of Series A Preferred Stock, net of issuance costs </w:t>
            </w:r>
            <w:r>
              <w:rPr>
                <w:rFonts w:ascii="Times New Roman" w:cs="Times New Roman" w:eastAsia="Times New Roman" w:hAnsi="Times New Roman"/>
                <w:sz w:val="18"/>
                <w:szCs w:val="18"/>
                <w:i w:val="1"/>
                <w:iCs w:val="1"/>
                <w:color w:val="auto"/>
              </w:rPr>
              <w:t>(Note 4)</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3,564</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Proceeds from issuance of Series B Preferred Stock, net of issuance costs </w:t>
            </w:r>
            <w:r>
              <w:rPr>
                <w:rFonts w:ascii="Times New Roman" w:cs="Times New Roman" w:eastAsia="Times New Roman" w:hAnsi="Times New Roman"/>
                <w:sz w:val="18"/>
                <w:szCs w:val="18"/>
                <w:i w:val="1"/>
                <w:iCs w:val="1"/>
                <w:color w:val="auto"/>
              </w:rPr>
              <w:t>(Note 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6"/>
              </w:rPr>
              <w:t>57,456</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Proceeds from issuance of convertible notes, net of issuance costs </w:t>
            </w:r>
            <w:r>
              <w:rPr>
                <w:rFonts w:ascii="Times New Roman" w:cs="Times New Roman" w:eastAsia="Times New Roman" w:hAnsi="Times New Roman"/>
                <w:sz w:val="18"/>
                <w:szCs w:val="18"/>
                <w:i w:val="1"/>
                <w:iCs w:val="1"/>
                <w:color w:val="auto"/>
              </w:rPr>
              <w:t>(Note 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30"/>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59,445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2,374</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55,597</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beginning of year</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end of year</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57,972</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2,355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57,952</w:t>
            </w:r>
          </w:p>
        </w:tc>
        <w:tc>
          <w:tcPr>
            <w:tcW w:w="0" w:type="dxa"/>
            <w:vAlign w:val="bottom"/>
          </w:tcPr>
          <w:p>
            <w:pPr>
              <w:spacing w:after="0"/>
              <w:rPr>
                <w:sz w:val="1"/>
                <w:szCs w:val="1"/>
                <w:color w:val="auto"/>
              </w:rPr>
            </w:pPr>
          </w:p>
        </w:tc>
      </w:tr>
      <w:tr>
        <w:trPr>
          <w:trHeight w:val="216"/>
        </w:trPr>
        <w:tc>
          <w:tcPr>
            <w:tcW w:w="9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57,972</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Noncash Investing and Financing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operating lease liability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91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Settlement of derivative liabilities upon conversion of convertible notes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xml:space="preserve">Additions of property and equipment in accounts payable and other accrued liabilities </w:t>
            </w:r>
            <w:r>
              <w:rPr>
                <w:rFonts w:ascii="Times New Roman" w:cs="Times New Roman" w:eastAsia="Times New Roman" w:hAnsi="Times New Roman"/>
                <w:sz w:val="18"/>
                <w:szCs w:val="18"/>
                <w:i w:val="1"/>
                <w:iCs w:val="1"/>
                <w:color w:val="auto"/>
              </w:rPr>
              <w:t>(Note 3(b))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91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Series B Preferred Stock issuance costs in accounts payable and other accrued 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xml:space="preserve">Conversion of convertible notes to Series B Preferred Stock </w:t>
            </w:r>
            <w:r>
              <w:rPr>
                <w:rFonts w:ascii="Times New Roman" w:cs="Times New Roman" w:eastAsia="Times New Roman" w:hAnsi="Times New Roman"/>
                <w:sz w:val="18"/>
                <w:szCs w:val="18"/>
                <w:i w:val="1"/>
                <w:iCs w:val="1"/>
                <w:color w:val="auto"/>
              </w:rPr>
              <w:t>(Note 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03" w:lineRule="exact"/>
        <w:rPr>
          <w:sz w:val="20"/>
          <w:szCs w:val="20"/>
          <w:color w:val="auto"/>
        </w:rPr>
      </w:pPr>
    </w:p>
    <w:p>
      <w:pPr>
        <w:ind w:left="120" w:right="38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1. DESCRIPTION OF BUSINESS AND PRESENTATION OF FINANCIAL STATEMENTS </w:t>
      </w:r>
      <w:r>
        <w:rPr>
          <w:rFonts w:ascii="Times New Roman" w:cs="Times New Roman" w:eastAsia="Times New Roman" w:hAnsi="Times New Roman"/>
          <w:sz w:val="18"/>
          <w:szCs w:val="18"/>
          <w:b w:val="1"/>
          <w:bCs w:val="1"/>
          <w:i w:val="1"/>
          <w:iCs w:val="1"/>
          <w:color w:val="auto"/>
        </w:rPr>
        <w:t>(a) Description of Business</w:t>
      </w:r>
    </w:p>
    <w:p>
      <w:pPr>
        <w:jc w:val="both"/>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Tarsus Pharmaceuticals, Inc. (“Tarsus” or the “Company”) is a late clinical-stage biopharmaceutical company focused on the development and commercialization of novel therapeutic candidates to address large market opportunities initially in ophthalmic conditions where there are limited treatment alternatives.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Risks and Liquidity</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Company has no revenue and incurred losses and negative cash flows from operations since inception, resulting in an accumulated deficit of $6.0 million as of December 31, 2019. The Company’s cash and cash equivalents was $2.4 million and $58.0 million as of December 31, 2018 and 2019, respectively, and has historically financed its operations primarily through equity capital raises. The Company believes that existing capital resources will be sufficient to meet projected operating requirements for at least 12 months from the date of issuance of the accompanying financial statements, though expects to incur operating losses for the foreseeable future.</w:t>
      </w:r>
    </w:p>
    <w:p>
      <w:pPr>
        <w:spacing w:after="0" w:line="183"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Company’s operations have consisted primarily of its organization, securing financing, in-licensing intellectual property, and conducting preclinical and clinical studies. The Company faces risks associated with early-stage biotechnology companies whose product candidates are in development that require significant additional research and development efforts, including extensive preclinical and clinical testing and regulatory approval prior to commercialization. These efforts require the Company to expend large amounts of additional capital to complete research and development, achieve research and development objectives, defend intellectual property rights, and recruit and retain skilled personnel, including key members of management.</w:t>
      </w:r>
    </w:p>
    <w:p>
      <w:pPr>
        <w:spacing w:after="0" w:line="187"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Further, adequate funding may not be available on acceptable terms, or at all. The Company’s potential inability to raise capital when needed could have a negative impact on its financial condition and ability to pursue planned business strategies. If the Company is unable to raise additional funds as required, it may need to delay, reduce, or terminate some or all its development programs and clinical trials. The Company may also be required to sell or license its rights to product candidates in certain territories or indications that it would otherwise prefer to develop and commercialize on its own.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Operating Segment</w:t>
      </w:r>
    </w:p>
    <w:p>
      <w:pPr>
        <w:spacing w:after="0" w:line="229"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To date, the Company has operated and managed its business and financial information on an aggregate basis for the purposes of evaluating financial performance and the allocation of resources. Accordingly, the Company’s management determined that it operates in one reportable operating segment that is focused exclusively on developing pharmaceutical products.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55" w:right="47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Emerging Growth Company Status</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USE OF ESTIMATES</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and with the rules and regulations of the Securities and Exchange Commission (“SEC”) requires management to make informed estimates and assumptions that affect the amounts reported in these financial statements and accompanying notes. These amounts may materially differ from the amounts ultimately realized and reported due to the inherent uncertainty of any estimate or assumption. On an on-going basis, management evaluates its most critical estimates and assumptions, including those related to the (i) fair value of stock awards and periodic expense recognition of stock-based compensation, (ii) the realization of income tax assets and estimates of tax liabilities, (iii) expense accruals related to research and development activities, including clinical trials, and (iv) valuation of convertible notes, derivative instruments, and preferred stock.</w:t>
      </w:r>
    </w:p>
    <w:p>
      <w:pPr>
        <w:spacing w:after="0" w:line="189" w:lineRule="exact"/>
        <w:rPr>
          <w:sz w:val="20"/>
          <w:szCs w:val="20"/>
          <w:color w:val="auto"/>
        </w:rPr>
      </w:pPr>
    </w:p>
    <w:p>
      <w:pPr>
        <w:ind w:left="120" w:right="520" w:firstLine="881"/>
        <w:spacing w:after="0" w:line="282" w:lineRule="auto"/>
        <w:rPr>
          <w:sz w:val="20"/>
          <w:szCs w:val="20"/>
          <w:color w:val="auto"/>
        </w:rPr>
      </w:pPr>
      <w:r>
        <w:rPr>
          <w:rFonts w:ascii="Times New Roman" w:cs="Times New Roman" w:eastAsia="Times New Roman" w:hAnsi="Times New Roman"/>
          <w:sz w:val="18"/>
          <w:szCs w:val="18"/>
          <w:color w:val="auto"/>
        </w:rPr>
        <w:t>Accounting policies and estimates that most significantly impact the presented amounts within these financial statements are further described below:</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 Cash and Cash Equivalents</w:t>
      </w:r>
    </w:p>
    <w:p>
      <w:pPr>
        <w:spacing w:after="0" w:line="229" w:lineRule="exact"/>
        <w:rPr>
          <w:sz w:val="20"/>
          <w:szCs w:val="20"/>
          <w:color w:val="auto"/>
        </w:rPr>
      </w:pPr>
    </w:p>
    <w:p>
      <w:pPr>
        <w:ind w:left="120" w:right="260" w:firstLine="881"/>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bank deposits and highly liquid investments, including money market fund accounts, with original maturities of three months or less from the purchase date.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(ii) Restricted Cash</w:t>
      </w:r>
    </w:p>
    <w:p>
      <w:pPr>
        <w:spacing w:after="0" w:line="22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Restricted cash represents cash held as collateral for the Company’s corporate credit card program. Any cash that is legally or contractually restricted from immediate use is classified as restricted cash.</w:t>
      </w:r>
    </w:p>
    <w:p>
      <w:pPr>
        <w:spacing w:after="0" w:line="162"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 xml:space="preserve">In November 2016, the Financial Accounting Standards Board (“FASB”) issued Accounting Standards Update (“ASU”) No. 2016-18, </w:t>
      </w:r>
      <w:r>
        <w:rPr>
          <w:rFonts w:ascii="Times New Roman" w:cs="Times New Roman" w:eastAsia="Times New Roman" w:hAnsi="Times New Roman"/>
          <w:sz w:val="18"/>
          <w:szCs w:val="18"/>
          <w:i w:val="1"/>
          <w:iCs w:val="1"/>
          <w:color w:val="auto"/>
        </w:rPr>
        <w:t xml:space="preserve">Statement of Cash Flows (Topic 230): Restricted Cash </w:t>
      </w:r>
      <w:r>
        <w:rPr>
          <w:rFonts w:ascii="Times New Roman" w:cs="Times New Roman" w:eastAsia="Times New Roman" w:hAnsi="Times New Roman"/>
          <w:sz w:val="18"/>
          <w:szCs w:val="18"/>
          <w:color w:val="auto"/>
        </w:rPr>
        <w:t>(“ASU 2016-18”), which requires companies to include restricted cash and restricted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in cash and cash equivalents when reconciling beginning-of-period and end-of-period total amounts shown on the statement of cash flows. The Company early adopted ASU 2016-18 on January 1, 2018, as reflected in the accompanying Statements of Cash Flows.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(iii) Concentration of Credit Risk and Other Risks and Uncertainties</w:t>
      </w:r>
    </w:p>
    <w:p>
      <w:pPr>
        <w:spacing w:after="0" w:line="229"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in deposits at financial institutions that are in excess of federally insured limits.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20"/>
          </w:cols>
          <w:pgMar w:left="320" w:top="455" w:right="55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4" w:lineRule="exact"/>
        <w:rPr>
          <w:sz w:val="20"/>
          <w:szCs w:val="20"/>
          <w:color w:val="auto"/>
        </w:rPr>
      </w:pPr>
    </w:p>
    <w:p>
      <w:pPr>
        <w:jc w:val="both"/>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a pandemic related to the global novel coronavirus disease 2019 (“COVID-19”) outbreak. The Company’s operations have not been significantly impacted by the COVID-19 pandemic. The Company has been carefully monitoring the potential impact COVID-19 may have on the Company’s business. However, the Company cannot at this time predict the specific extent, duration, or full impact that the COVID-19 outbreak will have on its financial condition and operations, including ongoing and planned clinical trials.</w:t>
      </w:r>
    </w:p>
    <w:p>
      <w:pPr>
        <w:spacing w:after="0" w:line="180" w:lineRule="exact"/>
        <w:rPr>
          <w:sz w:val="20"/>
          <w:szCs w:val="20"/>
          <w:color w:val="auto"/>
        </w:rPr>
      </w:pPr>
    </w:p>
    <w:p>
      <w:pPr>
        <w:ind w:left="120" w:right="260" w:firstLine="881"/>
        <w:spacing w:after="0" w:line="258" w:lineRule="auto"/>
        <w:rPr>
          <w:sz w:val="20"/>
          <w:szCs w:val="20"/>
          <w:color w:val="auto"/>
        </w:rPr>
      </w:pPr>
      <w:r>
        <w:rPr>
          <w:rFonts w:ascii="Times New Roman" w:cs="Times New Roman" w:eastAsia="Times New Roman" w:hAnsi="Times New Roman"/>
          <w:sz w:val="18"/>
          <w:szCs w:val="18"/>
          <w:color w:val="auto"/>
        </w:rPr>
        <w:t>The Company’s results of operations involve numerous risks and uncertainties. Factors that could affect the Company’s operating results and cause actual results to vary materially from expectations include, but are not limited to, uncertainty of results of clinical trials, uncertainty of regulatory approval of the Company’s potential product candidates, including TP-03 for ophthalmic conditions and TP-04 for treatment of skin conditions, uncertainty of market acceptance of its product candidates, competition from substitute products and larger companies, securing and protecting proprietary technology, strategic relationships and dependence on key individuals and sole source suppliers.</w:t>
      </w:r>
    </w:p>
    <w:p>
      <w:pPr>
        <w:spacing w:after="0" w:line="183"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is denied approval, approval is delayed or the Company is unable to maintain approval for any product candidate, it could have a materially adverse impact on the business.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(iv) Property and Equipment</w:t>
      </w:r>
    </w:p>
    <w:p>
      <w:pPr>
        <w:spacing w:after="0" w:line="229" w:lineRule="exact"/>
        <w:rPr>
          <w:sz w:val="20"/>
          <w:szCs w:val="20"/>
          <w:color w:val="auto"/>
        </w:rPr>
      </w:pPr>
    </w:p>
    <w:p>
      <w:pPr>
        <w:ind w:left="120" w:right="140" w:firstLine="881"/>
        <w:spacing w:after="0" w:line="254" w:lineRule="auto"/>
        <w:rPr>
          <w:sz w:val="20"/>
          <w:szCs w:val="20"/>
          <w:color w:val="auto"/>
        </w:rPr>
      </w:pPr>
      <w:r>
        <w:rPr>
          <w:rFonts w:ascii="Times New Roman" w:cs="Times New Roman" w:eastAsia="Times New Roman" w:hAnsi="Times New Roman"/>
          <w:sz w:val="18"/>
          <w:szCs w:val="18"/>
          <w:color w:val="auto"/>
        </w:rPr>
        <w:t>Property and equipment is stated at historical cost and is depreciated on a straight-line basis over an estimated useful life that corresponds with its designated asset category. Leasehold improvements are amortized on a straight-line basis over the shorter of the remaining lease term or the estimated useful lives of related improvements. The Company evaluates the recoverability of “long-lived assets” (which includes property and equipment) whenever events or changes in circumstances in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There were no events or changes in business circumstances during the years ended December 31, 2018 and 2019 that indicated the carrying amounts of any long-lived assets were not fully recoverable.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 Derivative Instruments</w:t>
      </w:r>
    </w:p>
    <w:p>
      <w:pPr>
        <w:spacing w:after="0" w:line="229"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 xml:space="preserve">The convertible notes issued in May 2019, August 2019, and October 2019 contained embedded derivative instruments, representing “contingent redemption options”. The contingent redemption options met the requirements for separate accounting and were accounted for as a single derivative instrument for each tranche of the convertible notes. The derivative instruments were recorded at fair value at inception and were subject to remeasurement to fair value, with any changes in estimated fair value recognized as a component of “other (expense) income” in the Statements of Operations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 Research and Development Costs</w:t>
      </w:r>
    </w:p>
    <w:p>
      <w:pPr>
        <w:spacing w:after="0" w:line="22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or as certain upfront or milestone payments become contractually due to licensors upon the achievement of clinical or regulatory events. These expenses also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00"/>
          </w:cols>
          <w:pgMar w:left="320" w:top="455" w:right="47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 Prior to receiving invoices from its vendors, the Company accrues expense for pre-clinical studies and clinical trial activities performed by these third parties. This is typically based upon estimates of the proportion of work completed over the term of the individual study or trial, as well as patient enrollment and dosing events in accordance with agreements established with clinical research organizations (CROs) and clinical trial or pre-clinical study sites.</w:t>
      </w:r>
    </w:p>
    <w:p>
      <w:pPr>
        <w:spacing w:after="0" w:line="187" w:lineRule="exact"/>
        <w:rPr>
          <w:sz w:val="20"/>
          <w:szCs w:val="20"/>
          <w:color w:val="auto"/>
        </w:rPr>
      </w:pPr>
    </w:p>
    <w:p>
      <w:pPr>
        <w:ind w:left="120" w:right="160" w:firstLine="881"/>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entered, and may continue to enter into, license agreements to access and utilize intellectual property for drug development. In each case, the Company evaluates if the assets acquired in a transaction represent the acquisition of an asset or a business, as defined under applicable GAAP. The Company’s only executed in-license agreement (see </w:t>
      </w:r>
      <w:r>
        <w:rPr>
          <w:rFonts w:ascii="Times New Roman" w:cs="Times New Roman" w:eastAsia="Times New Roman" w:hAnsi="Times New Roman"/>
          <w:sz w:val="18"/>
          <w:szCs w:val="18"/>
          <w:i w:val="1"/>
          <w:iCs w:val="1"/>
          <w:color w:val="auto"/>
        </w:rPr>
        <w:t>Note 10(b)</w:t>
      </w:r>
      <w:r>
        <w:rPr>
          <w:rFonts w:ascii="Times New Roman" w:cs="Times New Roman" w:eastAsia="Times New Roman" w:hAnsi="Times New Roman"/>
          <w:sz w:val="18"/>
          <w:szCs w:val="18"/>
          <w:color w:val="auto"/>
        </w:rPr>
        <w:t>) was evaluated and determined to represent an asset acquisition. Because this asset had not yet received regulatory approval and has no alternative future use, its fair value was immediately recognized as research and development expense. In addition, any future milestone payments made before product approval (that do not meet the definition of a derivative) will also be immediately recognized as research and development expense when paid or becomes payable, provided there is no alternative future use of the rights in other research and development projects.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(vii) Stock-Based Compensation</w:t>
      </w:r>
    </w:p>
    <w:p>
      <w:pPr>
        <w:spacing w:after="0" w:line="229"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Stock-based compensation expense is recognized for all equity awards granted to employees, consultants, and members of the Company’s Board of Directors and is recognized at fair value. For stock-based awards that vest subject to the satisfaction of a service requirement, the fair value measurement date is the date of grant and the related expense is recognized on a straight-line basis over each award’s actual or implied vesting period. For stock-based awards that vest subject to a performance condition, the Company recognizes compensation cost if and when it concludes that it is probable that the performance condition will be achieved and the related expense is recognized on an accelerated attribution method. As applicable, the Company reverses previously recognized expense for forfeitures of unvested awards in the period of occurrence. The Company uses the Black-Scholes option pricing model to estimate the fair value of stock-based awards as of the date of grant.</w:t>
      </w:r>
    </w:p>
    <w:p>
      <w:pPr>
        <w:spacing w:after="0" w:line="18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The measurement of the fair value of stock-based awards and recognition of stock-based compensation expense requires assumptions to be estimated by management that involve inherent uncertainties and the application of management’s judgment, including (a) the fair value of the Company’s common stock on the date of the option grant, (b) the expected term of the stock option until its exercise by the recipient, (c) stock price volatility over the expected term, (d) the prevailing risk-free interest rate over the expected term, and (e) expected dividend payments over the expected term.</w:t>
      </w:r>
    </w:p>
    <w:p>
      <w:pPr>
        <w:spacing w:after="0" w:line="183"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Management estimates the expected term of awarded stock options utilizing the “simplified method” for awards as the Company does not yet have sufficient exercise history since its November 2016 formation. Further, the Company is privately-held and therefore lacks company-specific historical and implied volatility information of its stock. Accordingly, management estimates this expected volatility using that of its designated peer-group of publicly-traded companies for a look-back period, as of the date of grant, that corresponds with the expected term of the awarded stock option. The Company estimates the risk-free interest rate based upon the U.S. Department of the Treasury yield curve in effect at award grant for time periods that correspond with the expected term of the awarded stock option. The Company’s expected dividend yield is zero because it has never paid cash dividends and does not expect to for the foreseeable future.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80"/>
          </w:cols>
          <w:pgMar w:left="320" w:top="455" w:right="49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4" w:lineRule="exact"/>
        <w:rPr>
          <w:sz w:val="20"/>
          <w:szCs w:val="20"/>
          <w:color w:val="auto"/>
        </w:rPr>
      </w:pPr>
    </w:p>
    <w:p>
      <w:pPr>
        <w:ind w:left="120" w:right="160" w:firstLine="881"/>
        <w:spacing w:after="0" w:line="256" w:lineRule="auto"/>
        <w:rPr>
          <w:sz w:val="20"/>
          <w:szCs w:val="20"/>
          <w:color w:val="auto"/>
        </w:rPr>
      </w:pPr>
      <w:r>
        <w:rPr>
          <w:rFonts w:ascii="Times New Roman" w:cs="Times New Roman" w:eastAsia="Times New Roman" w:hAnsi="Times New Roman"/>
          <w:sz w:val="18"/>
          <w:szCs w:val="18"/>
          <w:color w:val="auto"/>
        </w:rPr>
        <w:t>Given the absence of a public trading market, the Company’s Board of Directors, with input from management, considered numerous objective and subjective factors to determine the fair value of its common stock. The factors included: (i) third-party valuations of the Company’s common stock; (ii) the Company’s stage of development; (iii) the status of research and development efforts; (iv) the rights, preferences and privileges of the Company’s preferred stock relative to common stock; (v) the Company’s operating results and financial condition, including the Company’s levels of available capital resources; (vi) equity market conditions affecting comparable public companies; (vii) general U.S. market conditions; and (viii) the lack of current marketability of the Company’s common stock.</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(viii) Income Taxes</w:t>
      </w:r>
    </w:p>
    <w:p>
      <w:pPr>
        <w:spacing w:after="0" w:line="229" w:lineRule="exact"/>
        <w:rPr>
          <w:sz w:val="20"/>
          <w:szCs w:val="20"/>
          <w:color w:val="auto"/>
        </w:rPr>
      </w:pPr>
    </w:p>
    <w:p>
      <w:pPr>
        <w:ind w:left="120" w:right="200" w:firstLine="881"/>
        <w:spacing w:after="0" w:line="255"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w:t>
      </w:r>
    </w:p>
    <w:p>
      <w:pPr>
        <w:spacing w:after="0" w:line="18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to reduce deferred tax assets, because based upon a weighting of positive and negative factors, it is more likely than not that these deferred tax assets will not be realized. If/when the Company were to determine that deferred tax assets are realizable, an adjustment to the corresponding valuation allowance would increase the net income in the period that such determination was made.</w:t>
      </w:r>
    </w:p>
    <w:p>
      <w:pPr>
        <w:spacing w:after="0" w:line="176"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In the event that the Company is assessed interest and/or penalties from taxing authorities that have not been previously accrued, such amounts would be included as a component of “income tax expense” within the Statements of Operations in the period the notice was received. To date there have been no interest or penalties charged.</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(ix) Preferred Stock</w:t>
      </w:r>
    </w:p>
    <w:p>
      <w:pPr>
        <w:spacing w:after="0" w:line="229"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The Company classifies preferred stock outside of stockholders’ deficit on the accompanying balance sheets. The requirements of a deemed liquidation event, as defined within its amended and restated certificate of incorporation filed in 2019 (the “2019 Amended and Restated Certificate of Incorporation”) are not entirely within the Company’s control. In the event of such a deemed liquidation event, the proceeds from the event are distributed in accordance with the liquidation preferences, provided that the holders of preferred stock have not converted their shares into common stock. The Company records the issuance of preferred stock at the issuance price less related issuance costs. The Company has not adjusted the carrying value of outstanding preferred stock to its liquidation preference because a deemed liquidation event is not probable of occurring as of the end of the reporting period.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 Net Loss per Share Attributable to Common Stockholders</w:t>
      </w:r>
    </w:p>
    <w:p>
      <w:pPr>
        <w:spacing w:after="0" w:line="22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by the weighted-average number of shares of common stock outstanding for the period, without the consideration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potential dilutive shares of common stock. Diluted net loss per share is computed by dividing the net loss by the weighted-average number of common share equivalents outstanding for the period determined using the treasury-stock method and if-converted method, as applicable. Basic and diluted net loss per share attributable to common stockholders is presented in conformity with the two-class method required for participating securities. The Company’s participating securities include preferred stock, unvested common stock to founders, and unvested common stock awards issued upon early exercise of certain stock options. The Company’s participating securities do not have a contractual obligation to share in the Company’s losses. As such, the net loss was attributed entirely to common stockholders. Shares of common stock subject to repurchase by the Company are excluded from the weighted-average shares. Due to net losses in all periods presented, all otherwise potentially dilutive securities are antidilutive. Accordingly, basic net loss per share equals diluted net loss per share for all period presented in the accompanying financial statements.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(xi) Unaudited Pro forma Net Loss Per Share Attributable to Common Stockholders</w:t>
      </w:r>
    </w:p>
    <w:p>
      <w:pPr>
        <w:spacing w:after="0" w:line="22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attributable to common stockholders has been computed to give effect to the automatic conversion of all outstanding preferred stock into shares of common stock using the if-converted method immediately prior to the closing of a qualifying initial public offering (“IPO”)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as though such IPO had occurred as of the beginning of the period or the date of issuance, if later. The unaudited pro forma net loss per share does not include the shares expected to be sold and related proceeds to be received from the IPO of Tarsus’ common stock.</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(xii) Fair Value Measurements</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212" w:lineRule="exact"/>
        <w:rPr>
          <w:sz w:val="20"/>
          <w:szCs w:val="20"/>
          <w:color w:val="auto"/>
        </w:rPr>
      </w:pPr>
    </w:p>
    <w:p>
      <w:pPr>
        <w:ind w:left="1420" w:right="100" w:hanging="319"/>
        <w:spacing w:after="0" w:line="284" w:lineRule="auto"/>
        <w:tabs>
          <w:tab w:leader="none" w:pos="14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 that are publicly accessible at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85" w:lineRule="exact"/>
        <w:rPr>
          <w:rFonts w:ascii="Times New Roman" w:cs="Times New Roman" w:eastAsia="Times New Roman" w:hAnsi="Times New Roman"/>
          <w:sz w:val="18"/>
          <w:szCs w:val="18"/>
          <w:color w:val="auto"/>
        </w:rPr>
      </w:pPr>
    </w:p>
    <w:p>
      <w:pPr>
        <w:ind w:left="1420" w:right="220" w:hanging="319"/>
        <w:spacing w:after="0" w:line="267" w:lineRule="auto"/>
        <w:tabs>
          <w:tab w:leader="none" w:pos="14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prices that are based on inputs not quoted on active markets, but that are corroborated by market data.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may include quoted prices for similar assets or liabilities or quoted market prices in markets that are not active to the general public.</w:t>
      </w:r>
    </w:p>
    <w:p>
      <w:pPr>
        <w:spacing w:after="0" w:line="200" w:lineRule="exact"/>
        <w:rPr>
          <w:rFonts w:ascii="Times New Roman" w:cs="Times New Roman" w:eastAsia="Times New Roman" w:hAnsi="Times New Roman"/>
          <w:sz w:val="18"/>
          <w:szCs w:val="18"/>
          <w:color w:val="auto"/>
        </w:rPr>
      </w:pPr>
    </w:p>
    <w:p>
      <w:pPr>
        <w:ind w:left="1420" w:right="100" w:hanging="319"/>
        <w:spacing w:after="0" w:line="284" w:lineRule="auto"/>
        <w:tabs>
          <w:tab w:leader="none" w:pos="14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160" w:lineRule="exact"/>
        <w:rPr>
          <w:sz w:val="20"/>
          <w:szCs w:val="20"/>
          <w:color w:val="auto"/>
        </w:rPr>
      </w:pPr>
    </w:p>
    <w:p>
      <w:pPr>
        <w:ind w:left="120" w:right="900" w:firstLine="881"/>
        <w:spacing w:after="0" w:line="312" w:lineRule="auto"/>
        <w:rPr>
          <w:sz w:val="20"/>
          <w:szCs w:val="20"/>
          <w:color w:val="auto"/>
        </w:rPr>
      </w:pPr>
      <w:r>
        <w:rPr>
          <w:rFonts w:ascii="Times New Roman" w:cs="Times New Roman" w:eastAsia="Times New Roman" w:hAnsi="Times New Roman"/>
          <w:sz w:val="17"/>
          <w:szCs w:val="17"/>
          <w:color w:val="auto"/>
        </w:rPr>
        <w:t>The carrying amounts for financial instruments consisting of cash and cash equivalents, accounts payable and accrued liabilities approximate fair value due to their short maturities. Derivative instruments are carried at fair value based on unobservable market inputs.</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(xiii) Comprehensive Loss</w:t>
      </w:r>
    </w:p>
    <w:p>
      <w:pPr>
        <w:spacing w:after="0" w:line="229"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Comprehensive loss represents all changes in stockholders’ deficit, except those resulting from distributions to stockholders. For all periods presented, comprehensive loss was the same as reported net loss.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(xiv) Recently Issued or Effective Accounting Standards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Recently issued or effective accounting pronouncements that impact, or may have an impact, on the Company’s financial statements have been discussed within the footnote to which each relates. Other recent accounting pronouncements not disclosed in these financial statements have been determined by the Company’s management to have no impact, or an immaterial impact, on its current and expected future financial position, results of operations, or cash flows.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BALANCE SHEET ACCOUNT DETAIL</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composition of selected financial statement captions that comprise the accompanying balance sheets are summarized below:</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Property and Equipment, net of Accumulated Depreciation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consists of the following:</w:t>
      </w:r>
    </w:p>
    <w:p>
      <w:pPr>
        <w:spacing w:after="0" w:line="246" w:lineRule="exact"/>
        <w:rPr>
          <w:sz w:val="20"/>
          <w:szCs w:val="20"/>
          <w:color w:val="auto"/>
        </w:rPr>
      </w:pPr>
    </w:p>
    <w:tbl>
      <w:tblPr>
        <w:tblLayout w:type="fixed"/>
        <w:tblInd w:w="16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40" w:firstLine="881"/>
        <w:spacing w:after="0" w:line="282" w:lineRule="auto"/>
        <w:rPr>
          <w:sz w:val="20"/>
          <w:szCs w:val="20"/>
          <w:color w:val="auto"/>
        </w:rPr>
      </w:pPr>
      <w:r>
        <w:rPr>
          <w:rFonts w:ascii="Times New Roman" w:cs="Times New Roman" w:eastAsia="Times New Roman" w:hAnsi="Times New Roman"/>
          <w:sz w:val="18"/>
          <w:szCs w:val="18"/>
          <w:color w:val="auto"/>
        </w:rPr>
        <w:t>Depreciation expense (included within “total operating expenses” in the accompanying Statements of Operations) for the years ended December 31, 2018 and 2019 was $1 thousand and $37 thousand, respectively.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Accounts Payable and Other Accrued Liabilities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“Accounts payable and other accrued liabilities” consists of the following:</w:t>
      </w:r>
    </w:p>
    <w:p>
      <w:pPr>
        <w:spacing w:after="0" w:line="246" w:lineRule="exact"/>
        <w:rPr>
          <w:sz w:val="20"/>
          <w:szCs w:val="20"/>
          <w:color w:val="auto"/>
        </w:rPr>
      </w:pPr>
    </w:p>
    <w:tbl>
      <w:tblPr>
        <w:tblLayout w:type="fixed"/>
        <w:tblInd w:w="166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9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$175</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$456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repurchase from its founders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8"/>
                <w:szCs w:val="18"/>
                <w:color w:val="auto"/>
              </w:rPr>
            </w:pP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176</w:t>
            </w:r>
          </w:p>
        </w:tc>
        <w:tc>
          <w:tcPr>
            <w:tcW w:w="5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520</w:t>
            </w:r>
          </w:p>
        </w:tc>
        <w:tc>
          <w:tcPr>
            <w:tcW w:w="6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STOCKHOLDERS’ EQUITY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Stock</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Under the December 2019 Amended and Restated Certificate of Incorporation, the Company is authorized to issue two classes of stock: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and preferred. The total number of shares authorized for</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60"/>
          </w:cols>
          <w:pgMar w:left="320" w:top="455" w:right="51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issuance is 103 million of common shares and 61.7 million of preferred shares, of which 11.7 million shares are designated as Series A Preferred Stock and 50 million shares are designated as Series B Preferred Stock.</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Overview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Issuance</w:t>
      </w:r>
    </w:p>
    <w:p>
      <w:pPr>
        <w:spacing w:after="0" w:line="229"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In March and May 2018, the Company executed a private placement Series A Stock Purchase Agreement and issued 11.7 million shares of Series A Preferred Stock at $0.312 per share for net proceeds of $3.6 million, after issuance costs of $0.1 million.</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42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420" w:type="dxa"/>
            <w:vAlign w:val="bottom"/>
          </w:tcPr>
          <w:p>
            <w:pPr>
              <w:spacing w:after="0"/>
              <w:rPr>
                <w:sz w:val="13"/>
                <w:szCs w:val="13"/>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0" w:type="dxa"/>
            <w:vAlign w:val="bottom"/>
          </w:tcPr>
          <w:p>
            <w:pPr>
              <w:spacing w:after="0"/>
              <w:rPr>
                <w:sz w:val="1"/>
                <w:szCs w:val="1"/>
                <w:color w:val="auto"/>
              </w:rPr>
            </w:pPr>
          </w:p>
        </w:tc>
      </w:tr>
      <w:tr>
        <w:trPr>
          <w:trHeight w:val="148"/>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2420" w:type="dxa"/>
            <w:vAlign w:val="bottom"/>
            <w:vMerge w:val="restart"/>
          </w:tcPr>
          <w:p>
            <w:pPr>
              <w:spacing w:after="0"/>
              <w:rPr>
                <w:sz w:val="12"/>
                <w:szCs w:val="12"/>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Issue</w:t>
            </w:r>
          </w:p>
        </w:tc>
        <w:tc>
          <w:tcPr>
            <w:tcW w:w="0" w:type="dxa"/>
            <w:vAlign w:val="bottom"/>
          </w:tcPr>
          <w:p>
            <w:pPr>
              <w:spacing w:after="0"/>
              <w:rPr>
                <w:sz w:val="1"/>
                <w:szCs w:val="1"/>
                <w:color w:val="auto"/>
              </w:rPr>
            </w:pPr>
          </w:p>
        </w:tc>
      </w:tr>
      <w:tr>
        <w:trPr>
          <w:trHeight w:val="180"/>
        </w:trPr>
        <w:tc>
          <w:tcPr>
            <w:tcW w:w="152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420" w:type="dxa"/>
            <w:vAlign w:val="bottom"/>
          </w:tcPr>
          <w:p>
            <w:pPr>
              <w:spacing w:after="0"/>
              <w:rPr>
                <w:sz w:val="15"/>
                <w:szCs w:val="15"/>
                <w:color w:val="auto"/>
              </w:rPr>
            </w:pPr>
          </w:p>
        </w:tc>
        <w:tc>
          <w:tcPr>
            <w:tcW w:w="76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420" w:type="dxa"/>
            <w:vAlign w:val="bottom"/>
          </w:tcPr>
          <w:p>
            <w:pPr>
              <w:spacing w:after="0"/>
              <w:rPr>
                <w:sz w:val="15"/>
                <w:szCs w:val="15"/>
                <w:color w:val="auto"/>
              </w:rPr>
            </w:pPr>
          </w:p>
        </w:tc>
        <w:tc>
          <w:tcPr>
            <w:tcW w:w="6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A Preferred Stock</w:t>
            </w:r>
          </w:p>
        </w:tc>
        <w:tc>
          <w:tcPr>
            <w:tcW w:w="9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8"/>
              </w:rPr>
              <w:t>12,820,512</w:t>
            </w:r>
          </w:p>
        </w:tc>
        <w:tc>
          <w:tcPr>
            <w:tcW w:w="4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11,698,716</w:t>
            </w: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$ 3,564</w:t>
            </w: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3,650</w:t>
            </w: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$ 0.312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Issuance</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Company executed a private placement Series B Stock Purchase Agreement of 47.6 million shares of Series B Preferred Stock at $1.2104 per share for net proceeds of $57.4 million, after issuance costs of $0.2 million. Concurrently, convertible notes issued in May, August, and October 2019 for aggregate proceeds of $2.0 million were converted based on principal and accrued interest, and the Company issued 2.0 million shares of Series B Preferred Stock at its contractual conversion price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Net</w:t>
            </w:r>
          </w:p>
        </w:tc>
        <w:tc>
          <w:tcPr>
            <w:tcW w:w="420" w:type="dxa"/>
            <w:vAlign w:val="bottom"/>
          </w:tcPr>
          <w:p>
            <w:pPr>
              <w:spacing w:after="0"/>
              <w:rPr>
                <w:sz w:val="13"/>
                <w:szCs w:val="13"/>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420" w:type="dxa"/>
            <w:vAlign w:val="bottom"/>
          </w:tcPr>
          <w:p>
            <w:pPr>
              <w:spacing w:after="0"/>
              <w:rPr>
                <w:sz w:val="13"/>
                <w:szCs w:val="13"/>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0" w:type="dxa"/>
            <w:vAlign w:val="bottom"/>
          </w:tcPr>
          <w:p>
            <w:pPr>
              <w:spacing w:after="0"/>
              <w:rPr>
                <w:sz w:val="1"/>
                <w:szCs w:val="1"/>
                <w:color w:val="auto"/>
              </w:rPr>
            </w:pPr>
          </w:p>
        </w:tc>
      </w:tr>
      <w:tr>
        <w:trPr>
          <w:trHeight w:val="148"/>
        </w:trPr>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420" w:type="dxa"/>
            <w:vAlign w:val="bottom"/>
          </w:tcPr>
          <w:p>
            <w:pPr>
              <w:spacing w:after="0"/>
              <w:rPr>
                <w:sz w:val="12"/>
                <w:szCs w:val="12"/>
                <w:color w:val="auto"/>
              </w:rPr>
            </w:pPr>
          </w:p>
        </w:tc>
        <w:tc>
          <w:tcPr>
            <w:tcW w:w="94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Issue</w:t>
            </w:r>
          </w:p>
        </w:tc>
        <w:tc>
          <w:tcPr>
            <w:tcW w:w="0" w:type="dxa"/>
            <w:vAlign w:val="bottom"/>
          </w:tcPr>
          <w:p>
            <w:pPr>
              <w:spacing w:after="0"/>
              <w:rPr>
                <w:sz w:val="1"/>
                <w:szCs w:val="1"/>
                <w:color w:val="auto"/>
              </w:rPr>
            </w:pPr>
          </w:p>
        </w:tc>
      </w:tr>
      <w:tr>
        <w:trPr>
          <w:trHeight w:val="160"/>
        </w:trPr>
        <w:tc>
          <w:tcPr>
            <w:tcW w:w="3660" w:type="dxa"/>
            <w:vAlign w:val="bottom"/>
            <w:gridSpan w:val="3"/>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ind w:right="57"/>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420" w:type="dxa"/>
            <w:vAlign w:val="bottom"/>
          </w:tcPr>
          <w:p>
            <w:pPr>
              <w:spacing w:after="0"/>
              <w:rPr>
                <w:sz w:val="13"/>
                <w:szCs w:val="13"/>
                <w:color w:val="auto"/>
              </w:rPr>
            </w:pPr>
          </w:p>
        </w:tc>
        <w:tc>
          <w:tcPr>
            <w:tcW w:w="8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bottom w:val="single" w:sz="8" w:color="CCEEFF"/>
            </w:tcBorders>
            <w:shd w:val="clear" w:color="auto" w:fill="000000"/>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A Preferred Stock</w:t>
            </w:r>
          </w:p>
        </w:tc>
        <w:tc>
          <w:tcPr>
            <w:tcW w:w="9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8"/>
              </w:rPr>
              <w:t>11,698,716</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11,698,716</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3,564</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3,650</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50,000,000</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49,578,623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59,838</w:t>
            </w:r>
          </w:p>
        </w:tc>
        <w:tc>
          <w:tcPr>
            <w:tcW w:w="6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61,698,716</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61,277,339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63,402</w:t>
            </w:r>
          </w:p>
        </w:tc>
        <w:tc>
          <w:tcPr>
            <w:tcW w:w="6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Provisions of Series A and Series B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 and Mandatory Conversion</w:t>
      </w:r>
    </w:p>
    <w:p>
      <w:pPr>
        <w:spacing w:after="0" w:line="229" w:lineRule="exact"/>
        <w:rPr>
          <w:sz w:val="20"/>
          <w:szCs w:val="20"/>
          <w:color w:val="auto"/>
        </w:rPr>
      </w:pPr>
    </w:p>
    <w:p>
      <w:pPr>
        <w:ind w:left="120" w:right="160" w:firstLine="881"/>
        <w:spacing w:after="0" w:line="255" w:lineRule="auto"/>
        <w:rPr>
          <w:sz w:val="20"/>
          <w:szCs w:val="20"/>
          <w:color w:val="auto"/>
        </w:rPr>
      </w:pPr>
      <w:r>
        <w:rPr>
          <w:rFonts w:ascii="Times New Roman" w:cs="Times New Roman" w:eastAsia="Times New Roman" w:hAnsi="Times New Roman"/>
          <w:sz w:val="18"/>
          <w:szCs w:val="18"/>
          <w:color w:val="auto"/>
        </w:rPr>
        <w:t>Each share of Series A and Series B Preferred Stock is convertible into common shares determined by dividing the original issuance price by the conversion price and at the sole option of the holder on a one-to-one basis. The conversion price will be adjusted for stock splits, distributions, dividends, noncash distributions, share purchase rights, and capital reorganizations. In addition, subject to customary exceptions, the conversion price for each series of preferred stock will be reduced upon the issuance or sale of common shares or instruments convertible or exercisable into common shares, for consideration or with an exercise price that is less than the conversion price applicable to such series. Such reduction may result in recognition of a deemed dividend to preferred stockholders if the resulting conversion price is less than the fair value per share of common stock as of the date preferred stock was issued.</w:t>
      </w:r>
    </w:p>
    <w:p>
      <w:pPr>
        <w:spacing w:after="0" w:line="189" w:lineRule="exact"/>
        <w:rPr>
          <w:sz w:val="20"/>
          <w:szCs w:val="20"/>
          <w:color w:val="auto"/>
        </w:rPr>
      </w:pPr>
    </w:p>
    <w:p>
      <w:pPr>
        <w:jc w:val="both"/>
        <w:ind w:left="120" w:right="360" w:firstLine="881"/>
        <w:spacing w:after="0" w:line="266" w:lineRule="auto"/>
        <w:rPr>
          <w:sz w:val="20"/>
          <w:szCs w:val="20"/>
          <w:color w:val="auto"/>
        </w:rPr>
      </w:pPr>
      <w:r>
        <w:rPr>
          <w:rFonts w:ascii="Times New Roman" w:cs="Times New Roman" w:eastAsia="Times New Roman" w:hAnsi="Times New Roman"/>
          <w:sz w:val="18"/>
          <w:szCs w:val="18"/>
          <w:color w:val="auto"/>
        </w:rPr>
        <w:t>Mandatory conversion into common shares will occur upon either (i) the closing of a Qualified Public Offering, which is defined in the December 2019 Amended and Restated Certificate of Incorporation to include the sale of common stock in a firm commitment underwritten public offering on Form S-1, the public offering</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55" w:right="49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price of which is at least $3.03 per share and that results in at least $60 million of proceeds, or (ii) by vote or written consent or agreement of the holders of a majority of the then-outstanding shares of Series A and Series B Preferred Stock, voting together as a single class on an as-converted basis.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 xml:space="preserve">In the event of any Liquidation Event (as defined in the December 2019 Amended and Restated Certificate of Incorporation), the holders of Series A and B Preferred Stock are first entitled to proceeds or assets available for distribution that are in preference of any distribution to common stockholders (the “Liquidation Preference”); provided, however, that if the holders of Series A and Series B Preferred Stock would receive greater proceeds in a Liquidation Event as a result of their conversion to common stock such shares of Series A and/or Series B Preferred Stock shall be deemed to have automatically thus converted. This Liquidation Preference is equal to the </w:t>
      </w:r>
      <w:r>
        <w:rPr>
          <w:rFonts w:ascii="Times New Roman" w:cs="Times New Roman" w:eastAsia="Times New Roman" w:hAnsi="Times New Roman"/>
          <w:sz w:val="18"/>
          <w:szCs w:val="18"/>
          <w:i w:val="1"/>
          <w:iCs w:val="1"/>
          <w:color w:val="auto"/>
        </w:rPr>
        <w:t>sum of</w:t>
      </w:r>
      <w:r>
        <w:rPr>
          <w:rFonts w:ascii="Times New Roman" w:cs="Times New Roman" w:eastAsia="Times New Roman" w:hAnsi="Times New Roman"/>
          <w:sz w:val="18"/>
          <w:szCs w:val="18"/>
          <w:color w:val="auto"/>
        </w:rPr>
        <w:t xml:space="preserve"> (i) the original issue price of Series A and Series B Preferred Stock ($0.312 and $1.2104 per share, respectively) for each outstanding share of Series A and Series B Preferred Stock and (ii) any declared but unpaid dividends for each outstanding share of Series A and Series B Preferred Stock. If the proceeds from the Liquidation Event are less than the Liquidation Preference, then all available proceeds will be distributed ratably to the holders of Series A and Series B Preferred Stock in proportion to the preferential amount each is otherwise entitled to receive. After the distributions described above have been paid in full, the remaining assets of the Company will be distributed among the holders of common stock pro rata based on the number of shares held by each holder.</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holder of each share of preferred stock has the right to one vote for each share of common stock into which such preferred stock could then be converted, and with respect to such vote, such holder has full voting rights and powers equal to the voting rights and powers of the holders of common stock. So long as the majority of the Series A Preferred Stock originally issued remains outstanding, its holders are additionally entitled to elect one director (“Series A Director”). So long as at least 10 million shares of Series B Preferred Stock remain outstanding, its holders are entitled to elect two directors (each a “Series B Director”). The holders of outstanding common stock are entitled to elect three directors. The holders of preferred stock and common stock (voting together as a single class and on an as-converted basis) are entitled to elect any of the Company’s remaining directors.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The holders of Preferred Stock are entitled to receive dividends, when, as and if declared by the Board of Directors at the applicable dividend rate set forth in the December 2019 Amended and Restated Certificate of Incorporation ($0.03 and $0.10 per annum for each share of Series A and Series B Preferred Stock, respectively), prior and in preference to any declaration or payment of any cash dividend on the common stock. The Company cannot declare, pay, or set aside any dividends on shares of any class or series of capital stock unless the Series A and Series B Preferred Stockholders first receive a dividend in an amount equal to the greater of (i) applicable dividend rate, or (ii) the dividend payable to such other class or series of capital stock. No cash dividends have been declared to date.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229"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The Series A and Series B Preferred Stock are not redeemable at the option of its holder under the terms of the December 2019 Amended and Restated Certificate of Incorporation. Upon certain change in control events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are outside of the Company’s control, including its liquidation, sale or transfer of control, the preferred stock is contingently redeemable.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Overview and Reserve for Future Issuance</w:t>
      </w:r>
    </w:p>
    <w:p>
      <w:pPr>
        <w:spacing w:after="0" w:line="229" w:lineRule="exact"/>
        <w:rPr>
          <w:sz w:val="20"/>
          <w:szCs w:val="20"/>
          <w:color w:val="auto"/>
        </w:rPr>
      </w:pPr>
    </w:p>
    <w:p>
      <w:pPr>
        <w:ind w:left="120" w:right="280" w:firstLine="881"/>
        <w:spacing w:after="0" w:line="266" w:lineRule="auto"/>
        <w:rPr>
          <w:sz w:val="20"/>
          <w:szCs w:val="20"/>
          <w:color w:val="auto"/>
        </w:rPr>
      </w:pPr>
      <w:r>
        <w:rPr>
          <w:rFonts w:ascii="Times New Roman" w:cs="Times New Roman" w:eastAsia="Times New Roman" w:hAnsi="Times New Roman"/>
          <w:sz w:val="18"/>
          <w:szCs w:val="18"/>
          <w:color w:val="auto"/>
        </w:rPr>
        <w:t>Common stockholders have one vote for each share of common stock held and are entitled to receive any dividends declared by the Company’s Board of Directors when legally available for distribution, subject to the dividend rights of the holders of Series A and Series B preferred stock discussed above. For the years ended December 31, 2018 and 2019, no dividends were declared.</w:t>
      </w:r>
    </w:p>
    <w:p>
      <w:pPr>
        <w:spacing w:after="0" w:line="176" w:lineRule="exact"/>
        <w:rPr>
          <w:sz w:val="20"/>
          <w:szCs w:val="20"/>
          <w:color w:val="auto"/>
        </w:rPr>
      </w:pPr>
    </w:p>
    <w:p>
      <w:pPr>
        <w:jc w:val="both"/>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As of December 31, 2018 and 2019, the Company had 19.9 million and 19.7 million common shares issued, respectively. At December 31, 2018 and 2019, the Company had 12.4 million and 15.7 million common shares outstanding, respectively. The following shares of common stock were reserved for issuance:</w:t>
      </w:r>
    </w:p>
    <w:p>
      <w:pPr>
        <w:spacing w:after="0" w:line="196" w:lineRule="exact"/>
        <w:rPr>
          <w:sz w:val="20"/>
          <w:szCs w:val="20"/>
          <w:color w:val="auto"/>
        </w:rPr>
      </w:pPr>
    </w:p>
    <w:tbl>
      <w:tblPr>
        <w:tblLayout w:type="fixed"/>
        <w:tblInd w:w="166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6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outstanding</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11,698,716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61,277,339</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issued and outstanding under the 2016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1,983,543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2,207,154</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available for future grant under the 2016 Plan</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563,457</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15,975,661</w:t>
            </w:r>
          </w:p>
        </w:tc>
        <w:tc>
          <w:tcPr>
            <w:tcW w:w="8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14,245,716</w:t>
            </w: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79,460,154</w:t>
            </w: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Adoption of ASU 2017-11</w:t>
      </w:r>
    </w:p>
    <w:p>
      <w:pPr>
        <w:spacing w:after="0" w:line="227"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 xml:space="preserve">In July 2017, the FASB issued ASU No. 2017-11, </w:t>
      </w:r>
      <w:r>
        <w:rPr>
          <w:rFonts w:ascii="Times New Roman" w:cs="Times New Roman" w:eastAsia="Times New Roman" w:hAnsi="Times New Roman"/>
          <w:sz w:val="18"/>
          <w:szCs w:val="18"/>
          <w:i w:val="1"/>
          <w:iCs w:val="1"/>
          <w:color w:val="auto"/>
        </w:rPr>
        <w:t>Earnings Per Share (Topic 260); Distinguishing Liabilities from Equity (Topic 480);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Times New Roman" w:cs="Times New Roman" w:eastAsia="Times New Roman" w:hAnsi="Times New Roman"/>
          <w:sz w:val="18"/>
          <w:szCs w:val="18"/>
          <w:color w:val="auto"/>
        </w:rPr>
        <w:t>. This ASU simplifies the accounting for certain financial instruments with “down round” features,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 in an equity-linked financial instrument (or embedded feature) that provides a downward adjustment of the current exercise price based on the price of future equity offerings. This update requires companies to disregard the down round feature when assessing whether the instrument is “indexed to its own stock” for purposes of determining liability or equity classification. For public business entities, this ASU became effective for fiscal years beginning after December 15, 2018. The Company adopted </w:t>
      </w:r>
      <w:r>
        <w:rPr>
          <w:rFonts w:ascii="Times New Roman" w:cs="Times New Roman" w:eastAsia="Times New Roman" w:hAnsi="Times New Roman"/>
          <w:sz w:val="18"/>
          <w:szCs w:val="18"/>
          <w:i w:val="1"/>
          <w:iCs w:val="1"/>
          <w:color w:val="auto"/>
        </w:rPr>
        <w:t>ASU 2017-11</w:t>
      </w:r>
      <w:r>
        <w:rPr>
          <w:rFonts w:ascii="Times New Roman" w:cs="Times New Roman" w:eastAsia="Times New Roman" w:hAnsi="Times New Roman"/>
          <w:sz w:val="18"/>
          <w:szCs w:val="18"/>
          <w:color w:val="auto"/>
        </w:rPr>
        <w:t xml:space="preserve"> effective January 1, 2019 and applied this guidance in presenting Series A and Series B Preferred Stock on the accompanying Balance Sheets.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2016 Stock Plan</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Company has one active stockholder-approved stock-based compensation plan (the “2016 Plan”), adopted in December 2016, which permits the grant of incentive stock options, nonqualified stock options, stock awards and certain other awards to its employees, members of its Board of Directors, and consultants.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4" w:lineRule="exact"/>
        <w:rPr>
          <w:sz w:val="20"/>
          <w:szCs w:val="20"/>
          <w:color w:val="auto"/>
        </w:rPr>
      </w:pPr>
    </w:p>
    <w:p>
      <w:pPr>
        <w:jc w:val="both"/>
        <w:ind w:left="120" w:right="100" w:firstLine="881"/>
        <w:spacing w:after="0" w:line="282" w:lineRule="auto"/>
        <w:rPr>
          <w:sz w:val="20"/>
          <w:szCs w:val="20"/>
          <w:color w:val="auto"/>
        </w:rPr>
      </w:pPr>
      <w:r>
        <w:rPr>
          <w:rFonts w:ascii="Times New Roman" w:cs="Times New Roman" w:eastAsia="Times New Roman" w:hAnsi="Times New Roman"/>
          <w:sz w:val="18"/>
          <w:szCs w:val="18"/>
          <w:color w:val="auto"/>
        </w:rPr>
        <w:t>The stated maximum availability of common stock under the 2016 Plan is 19.8 million shares. As of December 31, 2019, the Company had 16.0 million shares of common stock available for issuance under the 2016 Plan.</w:t>
      </w:r>
    </w:p>
    <w:p>
      <w:pPr>
        <w:spacing w:after="0" w:line="162" w:lineRule="exact"/>
        <w:rPr>
          <w:sz w:val="20"/>
          <w:szCs w:val="20"/>
          <w:color w:val="auto"/>
        </w:rPr>
      </w:pPr>
    </w:p>
    <w:p>
      <w:pPr>
        <w:jc w:val="both"/>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Stock-based awards are governed by agreements between the Company and the recipients. Incentive stock options and nonqualified stock options may be granted under the 2016 Plan at an exercise price of not less than 100% of the fair market value of common stock on the respective date of grant. For ten-percent stockholders, the exercise price may not be less than 110% of its fair market value at grant. The grant date is the date the terms of the award are formally approved by the Company’s Board of Directors. It is the Company’s policy that before stock is issued through the exercise of stock options, it must first receive all required cash proceeds for such shares.</w:t>
      </w:r>
    </w:p>
    <w:p>
      <w:pPr>
        <w:spacing w:after="0" w:line="183"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Through December 31, 2019, all awards issued under the 2016 Plan were in the form of stock options. These option agreements have service and/or performance conditions for vesting, unless immediately vested on the date of grant. Stock options granted typically have one to four-year service conditions for full vesting. The performance conditions for vesting are explicitly stated in each option agreement and are associated with clinical, business development, or operational milestones.</w:t>
      </w:r>
    </w:p>
    <w:p>
      <w:pPr>
        <w:spacing w:after="0" w:line="180" w:lineRule="exact"/>
        <w:rPr>
          <w:sz w:val="20"/>
          <w:szCs w:val="20"/>
          <w:color w:val="auto"/>
        </w:rPr>
      </w:pPr>
    </w:p>
    <w:p>
      <w:pPr>
        <w:jc w:val="both"/>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Stock options must generally be exercised, if at all, no later than 10 years from the date of grant. Upon termination of employment, vested stock options may be exercised within 12 months after the date of termination upon death; six months after the date of termination upon disability; and three months after the date of termination for all other separations.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Adoption of ASU 2018-07</w:t>
      </w:r>
    </w:p>
    <w:p>
      <w:pPr>
        <w:spacing w:after="0" w:line="227" w:lineRule="exact"/>
        <w:rPr>
          <w:sz w:val="20"/>
          <w:szCs w:val="20"/>
          <w:color w:val="auto"/>
        </w:rPr>
      </w:pPr>
    </w:p>
    <w:p>
      <w:pPr>
        <w:ind w:left="120" w:right="160" w:firstLine="881"/>
        <w:spacing w:after="0" w:line="273" w:lineRule="auto"/>
        <w:rPr>
          <w:sz w:val="20"/>
          <w:szCs w:val="20"/>
          <w:color w:val="auto"/>
        </w:rPr>
      </w:pPr>
      <w:r>
        <w:rPr>
          <w:rFonts w:ascii="Times New Roman" w:cs="Times New Roman" w:eastAsia="Times New Roman" w:hAnsi="Times New Roman"/>
          <w:sz w:val="17"/>
          <w:szCs w:val="17"/>
          <w:color w:val="auto"/>
        </w:rPr>
        <w:t>In June 2018, the FASB issued ASU No. 2018-07</w:t>
      </w:r>
      <w:r>
        <w:rPr>
          <w:rFonts w:ascii="Times New Roman" w:cs="Times New Roman" w:eastAsia="Times New Roman" w:hAnsi="Times New Roman"/>
          <w:sz w:val="17"/>
          <w:szCs w:val="17"/>
          <w:i w:val="1"/>
          <w:iCs w:val="1"/>
          <w:color w:val="auto"/>
        </w:rPr>
        <w:t>, Compensation-Stock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718): Improvements to Nonemployee Share-Based Payment Accounting</w:t>
      </w:r>
      <w:r>
        <w:rPr>
          <w:rFonts w:ascii="Times New Roman" w:cs="Times New Roman" w:eastAsia="Times New Roman" w:hAnsi="Times New Roman"/>
          <w:sz w:val="17"/>
          <w:szCs w:val="17"/>
          <w:color w:val="auto"/>
        </w:rPr>
        <w:t xml:space="preserve">. This standard is intended to reduce the cost and complexity and to improve financial reporting for nonemployee share-based payments. The ASU expands the scope of </w:t>
      </w:r>
      <w:r>
        <w:rPr>
          <w:rFonts w:ascii="Times New Roman" w:cs="Times New Roman" w:eastAsia="Times New Roman" w:hAnsi="Times New Roman"/>
          <w:sz w:val="17"/>
          <w:szCs w:val="17"/>
          <w:i w:val="1"/>
          <w:iCs w:val="1"/>
          <w:color w:val="auto"/>
        </w:rPr>
        <w:t>Topic 718</w:t>
      </w:r>
      <w:r>
        <w:rPr>
          <w:rFonts w:ascii="Times New Roman" w:cs="Times New Roman" w:eastAsia="Times New Roman" w:hAnsi="Times New Roman"/>
          <w:sz w:val="17"/>
          <w:szCs w:val="17"/>
          <w:color w:val="auto"/>
        </w:rPr>
        <w:t xml:space="preserve"> to include share-based payments issued to nonemployees for goods or services. Consequently, the accounting for share-based payments to nonemployees and employees is substantially aligned; the Company has issued and outstanding stock options to both employees and non-employee consultants. The standard is effective for fiscal years beginning after December 15, 2019. Early adoption is permitted, but no earlier than a company’s adoption date of </w:t>
      </w:r>
      <w:r>
        <w:rPr>
          <w:rFonts w:ascii="Times New Roman" w:cs="Times New Roman" w:eastAsia="Times New Roman" w:hAnsi="Times New Roman"/>
          <w:sz w:val="17"/>
          <w:szCs w:val="17"/>
          <w:i w:val="1"/>
          <w:iCs w:val="1"/>
          <w:color w:val="auto"/>
        </w:rPr>
        <w:t>Topic 606, Revenue Recognition</w:t>
      </w:r>
      <w:r>
        <w:rPr>
          <w:rFonts w:ascii="Times New Roman" w:cs="Times New Roman" w:eastAsia="Times New Roman" w:hAnsi="Times New Roman"/>
          <w:sz w:val="17"/>
          <w:szCs w:val="17"/>
          <w:color w:val="auto"/>
        </w:rPr>
        <w:t xml:space="preserve">. The Company early adopted </w:t>
      </w:r>
      <w:r>
        <w:rPr>
          <w:rFonts w:ascii="Times New Roman" w:cs="Times New Roman" w:eastAsia="Times New Roman" w:hAnsi="Times New Roman"/>
          <w:sz w:val="17"/>
          <w:szCs w:val="17"/>
          <w:i w:val="1"/>
          <w:iCs w:val="1"/>
          <w:color w:val="auto"/>
        </w:rPr>
        <w:t>ASU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2018-17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Topic 606 </w:t>
      </w:r>
      <w:r>
        <w:rPr>
          <w:rFonts w:ascii="Times New Roman" w:cs="Times New Roman" w:eastAsia="Times New Roman" w:hAnsi="Times New Roman"/>
          <w:sz w:val="17"/>
          <w:szCs w:val="17"/>
          <w:color w:val="auto"/>
        </w:rPr>
        <w:t>on January 1, 2018 and there was no material impact on the accompanying financial statements from these adopted standards.</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Summary</w:t>
      </w:r>
    </w:p>
    <w:p>
      <w:pPr>
        <w:spacing w:after="0" w:line="22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recorded in the accompanying statements of operations based on the assigned department of the award recipient. Stock-based compensation expense for the years ended December 31, 2018 and 2019 was as follows:</w:t>
      </w:r>
    </w:p>
    <w:p>
      <w:pPr>
        <w:spacing w:after="0" w:line="182"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9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7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720" w:type="dxa"/>
            <w:vAlign w:val="bottom"/>
            <w:gridSpan w:val="2"/>
          </w:tcPr>
          <w:p>
            <w:pPr>
              <w:jc w:val="right"/>
              <w:ind w:right="2562"/>
              <w:spacing w:after="0"/>
              <w:rPr>
                <w:sz w:val="20"/>
                <w:szCs w:val="20"/>
                <w:color w:val="auto"/>
              </w:rPr>
            </w:pPr>
            <w:r>
              <w:rPr>
                <w:rFonts w:ascii="Times New Roman" w:cs="Times New Roman" w:eastAsia="Times New Roman" w:hAnsi="Times New Roman"/>
                <w:sz w:val="18"/>
                <w:szCs w:val="18"/>
                <w:color w:val="auto"/>
              </w:rPr>
              <w:t>F-17</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 of Stock Options</w:t>
      </w:r>
    </w:p>
    <w:p>
      <w:pPr>
        <w:spacing w:after="0" w:line="22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The fair value of granted stock options was estimated as of the date of grant using the Black-Scholes option-pricing model, based on the following inputs:</w:t>
      </w:r>
    </w:p>
    <w:p>
      <w:pPr>
        <w:spacing w:after="0" w:line="182" w:lineRule="exact"/>
        <w:rPr>
          <w:sz w:val="20"/>
          <w:szCs w:val="20"/>
          <w:color w:val="auto"/>
        </w:rPr>
      </w:pPr>
    </w:p>
    <w:tbl>
      <w:tblPr>
        <w:tblLayout w:type="fixed"/>
        <w:tblInd w:w="166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20" w:type="dxa"/>
            <w:vAlign w:val="bottom"/>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6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178"/>
        </w:trPr>
        <w:tc>
          <w:tcPr>
            <w:tcW w:w="36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Exercise price (estimated fair value per</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34"/>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 on grant date)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7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spacing w:after="0"/>
              <w:rPr>
                <w:sz w:val="20"/>
                <w:szCs w:val="20"/>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 (a)</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5.68 to 6.25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 to 6.25</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(b)</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 to 2.5%</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(c)</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8"/>
              </w:rPr>
              <w:t>77.8% to 83.2%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82.5% to 89.4%</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 (d)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grant-date fair value per</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7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spacing w:after="0"/>
              <w:rPr>
                <w:sz w:val="20"/>
                <w:szCs w:val="20"/>
                <w:color w:val="auto"/>
              </w:rPr>
            </w:pPr>
          </w:p>
        </w:tc>
      </w:tr>
    </w:tbl>
    <w:p>
      <w:pPr>
        <w:spacing w:after="0" w:line="218" w:lineRule="exact"/>
        <w:rPr>
          <w:sz w:val="20"/>
          <w:szCs w:val="20"/>
          <w:color w:val="auto"/>
        </w:rPr>
      </w:pPr>
    </w:p>
    <w:p>
      <w:pPr>
        <w:ind w:left="2200" w:right="1360" w:hanging="437"/>
        <w:spacing w:after="0" w:line="234" w:lineRule="auto"/>
        <w:tabs>
          <w:tab w:leader="none" w:pos="22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Determined using the “simplified method” under applicable GAAP (</w:t>
      </w:r>
      <w:r>
        <w:rPr>
          <w:rFonts w:ascii="Times New Roman" w:cs="Times New Roman" w:eastAsia="Times New Roman" w:hAnsi="Times New Roman"/>
          <w:sz w:val="14"/>
          <w:szCs w:val="14"/>
          <w:i w:val="1"/>
          <w:iCs w:val="1"/>
          <w:color w:val="auto"/>
        </w:rPr>
        <w:t>SAB 107);</w:t>
      </w:r>
      <w:r>
        <w:rPr>
          <w:rFonts w:ascii="Times New Roman" w:cs="Times New Roman" w:eastAsia="Times New Roman" w:hAnsi="Times New Roman"/>
          <w:sz w:val="14"/>
          <w:szCs w:val="14"/>
          <w:color w:val="auto"/>
        </w:rPr>
        <w:t xml:space="preserve"> the maximum contractual term of issued stock options is 10 years.</w:t>
      </w:r>
    </w:p>
    <w:p>
      <w:pPr>
        <w:spacing w:after="0" w:line="1" w:lineRule="exact"/>
        <w:rPr>
          <w:rFonts w:ascii="Times New Roman" w:cs="Times New Roman" w:eastAsia="Times New Roman" w:hAnsi="Times New Roman"/>
          <w:sz w:val="14"/>
          <w:szCs w:val="14"/>
          <w:color w:val="auto"/>
        </w:rPr>
      </w:pPr>
    </w:p>
    <w:p>
      <w:pPr>
        <w:ind w:left="2200" w:right="1620" w:hanging="437"/>
        <w:spacing w:after="0" w:line="221" w:lineRule="auto"/>
        <w:tabs>
          <w:tab w:leader="none" w:pos="22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the U.S. Treasury yields in effect during the period which the options were granted (for a period equaling the stock options’ expected term).</w:t>
      </w:r>
    </w:p>
    <w:p>
      <w:pPr>
        <w:ind w:left="2200" w:right="1460" w:hanging="437"/>
        <w:spacing w:after="0" w:line="221" w:lineRule="auto"/>
        <w:tabs>
          <w:tab w:leader="none" w:pos="22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Measured using the volatility of the stock price for the Company’s designated peer group of publicly-traded companies for a period equal to the expected option term.</w:t>
      </w:r>
    </w:p>
    <w:p>
      <w:pPr>
        <w:ind w:left="2200" w:hanging="437"/>
        <w:spacing w:after="0"/>
        <w:tabs>
          <w:tab w:leader="none" w:pos="22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Tarsus does not expect to declare any cash dividends in the foreseeable future.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Stock option activity during the years ended December 31, 2018 and 2019 was as follows: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480" w:type="dxa"/>
            <w:vAlign w:val="bottom"/>
          </w:tcPr>
          <w:p>
            <w:pPr>
              <w:spacing w:after="0"/>
              <w:rPr>
                <w:sz w:val="12"/>
                <w:szCs w:val="12"/>
                <w:color w:val="auto"/>
              </w:rPr>
            </w:pPr>
          </w:p>
        </w:tc>
        <w:tc>
          <w:tcPr>
            <w:tcW w:w="90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480" w:type="dxa"/>
            <w:vAlign w:val="bottom"/>
            <w:gridSpan w:val="2"/>
          </w:tcPr>
          <w:p>
            <w:pPr>
              <w:spacing w:after="0"/>
              <w:rPr>
                <w:sz w:val="15"/>
                <w:szCs w:val="15"/>
                <w:color w:val="auto"/>
              </w:rPr>
            </w:pPr>
          </w:p>
        </w:tc>
        <w:tc>
          <w:tcPr>
            <w:tcW w:w="960" w:type="dxa"/>
            <w:vAlign w:val="bottom"/>
            <w:gridSpan w:val="3"/>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Price/Share</w:t>
            </w:r>
          </w:p>
        </w:tc>
        <w:tc>
          <w:tcPr>
            <w:tcW w:w="500" w:type="dxa"/>
            <w:vAlign w:val="bottom"/>
          </w:tcPr>
          <w:p>
            <w:pPr>
              <w:spacing w:after="0"/>
              <w:rPr>
                <w:sz w:val="15"/>
                <w:szCs w:val="15"/>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2017</w:t>
            </w:r>
          </w:p>
        </w:tc>
        <w:tc>
          <w:tcPr>
            <w:tcW w:w="128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622,500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1,361,043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 December 31, 2018</w:t>
            </w:r>
          </w:p>
        </w:tc>
        <w:tc>
          <w:tcPr>
            <w:tcW w:w="1100" w:type="dxa"/>
            <w:vAlign w:val="bottom"/>
          </w:tcPr>
          <w:p>
            <w:pPr>
              <w:spacing w:after="0"/>
              <w:rPr>
                <w:sz w:val="20"/>
                <w:szCs w:val="20"/>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1,983,543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6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37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218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100" w:type="dxa"/>
            <w:vAlign w:val="bottom"/>
          </w:tcPr>
          <w:p>
            <w:pPr>
              <w:spacing w:after="0"/>
              <w:rPr>
                <w:sz w:val="18"/>
                <w:szCs w:val="18"/>
                <w:color w:val="auto"/>
              </w:rPr>
            </w:pPr>
          </w:p>
        </w:tc>
        <w:tc>
          <w:tcPr>
            <w:tcW w:w="10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(5,833)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2019</w:t>
            </w:r>
          </w:p>
        </w:tc>
        <w:tc>
          <w:tcPr>
            <w:tcW w:w="1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2,207,154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 December 31, 2019</w:t>
            </w:r>
          </w:p>
        </w:tc>
        <w:tc>
          <w:tcPr>
            <w:tcW w:w="1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935,207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5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4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 December 31, 2019</w:t>
            </w:r>
          </w:p>
        </w:tc>
        <w:tc>
          <w:tcPr>
            <w:tcW w:w="1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1,271,947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8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F-18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55" w:right="77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7715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6" w:lineRule="exact"/>
        <w:rPr>
          <w:sz w:val="20"/>
          <w:szCs w:val="20"/>
          <w:color w:val="auto"/>
        </w:rPr>
      </w:pPr>
    </w:p>
    <w:p>
      <w:pPr>
        <w:ind w:left="540" w:right="120" w:hanging="424"/>
        <w:spacing w:after="0" w:line="244" w:lineRule="auto"/>
        <w:tabs>
          <w:tab w:leader="none" w:pos="5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total </w:t>
      </w:r>
      <w:r>
        <w:rPr>
          <w:rFonts w:ascii="Times New Roman" w:cs="Times New Roman" w:eastAsia="Times New Roman" w:hAnsi="Times New Roman"/>
          <w:sz w:val="14"/>
          <w:szCs w:val="14"/>
          <w:i w:val="1"/>
          <w:iCs w:val="1"/>
          <w:color w:val="auto"/>
        </w:rPr>
        <w:t>difference</w:t>
      </w:r>
      <w:r>
        <w:rPr>
          <w:rFonts w:ascii="Times New Roman" w:cs="Times New Roman" w:eastAsia="Times New Roman" w:hAnsi="Times New Roman"/>
          <w:sz w:val="14"/>
          <w:szCs w:val="14"/>
          <w:color w:val="auto"/>
        </w:rPr>
        <w:t xml:space="preserve"> between the estimated stock price fair value as of December 31, 2019 and the stock option exercise price,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the number of in-the-money options as of December 31, 2019. The amount of any intrinsic value will change in relation to any increases or decreases in the then-determined fair value of the Company’s common stock.</w:t>
      </w:r>
    </w:p>
    <w:p>
      <w:pPr>
        <w:spacing w:after="0" w:line="3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total grant-date fair value of options that vested during the years ended December 31, 2018 and 2019 was $33 thousand in each year.</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stock option grants as of December 31, 2019:</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80" w:type="dxa"/>
            <w:vAlign w:val="bottom"/>
          </w:tcPr>
          <w:p>
            <w:pPr>
              <w:spacing w:after="0"/>
              <w:rPr>
                <w:sz w:val="10"/>
                <w:szCs w:val="10"/>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482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4820" w:type="dxa"/>
            <w:vAlign w:val="bottom"/>
            <w:gridSpan w:val="2"/>
            <w:vMerge w:val="continue"/>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$0.0001</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1,584,654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1,089,624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2,207,154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1,712,124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20" w:firstLine="881"/>
        <w:spacing w:after="0" w:line="282" w:lineRule="auto"/>
        <w:rPr>
          <w:sz w:val="20"/>
          <w:szCs w:val="20"/>
          <w:color w:val="auto"/>
        </w:rPr>
      </w:pPr>
      <w:r>
        <w:rPr>
          <w:rFonts w:ascii="Times New Roman" w:cs="Times New Roman" w:eastAsia="Times New Roman" w:hAnsi="Times New Roman"/>
          <w:sz w:val="18"/>
          <w:szCs w:val="18"/>
          <w:color w:val="auto"/>
        </w:rPr>
        <w:t>As of December 31, 2019, there was unrecognized compensation expense of $46 thousand related to unvested stock options, which the Company expects to recognize over a weighted average period of 2.1 years.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Feature of Certain Stock Options</w:t>
      </w:r>
    </w:p>
    <w:p>
      <w:pPr>
        <w:spacing w:after="0" w:line="229"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The 2016 Plan permits certain option holders to exercise awarded options prior to vesting. Upon early exercise, the options become subject to a restricted stock agreement and remain subject to the same vesting provisions in the corresponding stock option award and unvested options are subject to repurchase by the Company upon termination at the same price exercised. These unvested shares are reported as issued, but not outstanding while subject to repurchase by the Company and are also excluded from the basic and diluted net loss per share calculation until the repurchase right lapses upon vesting.</w:t>
      </w:r>
    </w:p>
    <w:p>
      <w:pPr>
        <w:spacing w:after="0" w:line="183"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The Company initially records a liability for these early exercises that is subsequently reclassified into stockholders’ equity on a pro rata basis as vesting occurs. During the year ended December 31, 2019, the Company repurchased 200,000 of unvested common stock options from a former consultant in connection with termination of his consulting agreement; there were no such repurchases in 2018. As of December 31, 2018 and 2019, all stock options with early exercise features were either vested or immaterial if early exercised and the Company reported no corresponding liability in the accompanying Balance Sheets.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Issued to Founders</w:t>
      </w:r>
    </w:p>
    <w:p>
      <w:pPr>
        <w:spacing w:after="0" w:line="22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In January 2017, the Company issued 18 million shares of restricted common stock to founders, all which vest under service conditions. The shares were issued under the terms of the respective Stock Purchase Agreement. Unvested shares are subject to repurchase by the Company at the original purchase price per share upon the holder’s termination of the relationship with the Company. The restricted shares are not deemed to be outstanding for accounting purposes until vested and are therefore excluded from reported shares outstanding and from the basic and diluted net loss per share calculation until the repurchase right lapses and are no longer</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the repurchase feature. One-third of the 18 million shares of restricted common stock were vested on the issuance date and the remaining</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12 million shares vest monthly thereafter. During the years ended December 31, 2018 and 2019, 4.0 million and 3.7 million shares of restricted common stock, vested, respectively. As of December 31, 2019, no shares of this restricted stock issuance remain unvested.</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NET LOSS PER SHARE</w:t>
      </w:r>
    </w:p>
    <w:p>
      <w:pPr>
        <w:spacing w:after="0" w:line="229" w:lineRule="exact"/>
        <w:rPr>
          <w:sz w:val="20"/>
          <w:szCs w:val="20"/>
          <w:color w:val="auto"/>
        </w:rPr>
      </w:pPr>
    </w:p>
    <w:p>
      <w:pPr>
        <w:ind w:left="120" w:right="300" w:firstLine="881"/>
        <w:spacing w:after="0" w:line="282" w:lineRule="auto"/>
        <w:rPr>
          <w:sz w:val="20"/>
          <w:szCs w:val="20"/>
          <w:color w:val="auto"/>
        </w:rPr>
      </w:pPr>
      <w:r>
        <w:rPr>
          <w:rFonts w:ascii="Times New Roman" w:cs="Times New Roman" w:eastAsia="Times New Roman" w:hAnsi="Times New Roman"/>
          <w:sz w:val="18"/>
          <w:szCs w:val="18"/>
          <w:color w:val="auto"/>
        </w:rPr>
        <w:t>Net loss per share attributable to common stockholders was computed by dividing net loss by the weighted-average number of common shares outstanding for the years ended December 31, 2018 and 2019:</w:t>
      </w:r>
    </w:p>
    <w:p>
      <w:pPr>
        <w:spacing w:after="0" w:line="182" w:lineRule="exact"/>
        <w:rPr>
          <w:sz w:val="20"/>
          <w:szCs w:val="20"/>
          <w:color w:val="auto"/>
        </w:rPr>
      </w:pPr>
    </w:p>
    <w:tbl>
      <w:tblPr>
        <w:tblLayout w:type="fixed"/>
        <w:tblInd w:w="166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6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2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shares—basic and diluted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13,068,854</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17,728,991</w:t>
            </w:r>
          </w:p>
        </w:tc>
        <w:tc>
          <w:tcPr>
            <w:tcW w:w="120" w:type="dxa"/>
            <w:vAlign w:val="bottom"/>
          </w:tcPr>
          <w:p>
            <w:pPr>
              <w:spacing w:after="0"/>
              <w:rPr>
                <w:sz w:val="18"/>
                <w:szCs w:val="18"/>
                <w:color w:val="auto"/>
              </w:rPr>
            </w:pPr>
          </w:p>
        </w:tc>
      </w:tr>
      <w:tr>
        <w:trPr>
          <w:trHeight w:val="198"/>
        </w:trPr>
        <w:tc>
          <w:tcPr>
            <w:tcW w:w="4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(0.26)</w:t>
            </w:r>
          </w:p>
        </w:tc>
      </w:tr>
    </w:tbl>
    <w:p>
      <w:pPr>
        <w:spacing w:after="0" w:line="198"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The following outstanding potentially dilutive securities were excluded from the calculation of diluted net loss per share attributable to common stockholders because their impact under the “treasury stock method” and “if-converted method” would have been anti-dilutive for the periods presented:</w:t>
      </w:r>
    </w:p>
    <w:p>
      <w:pPr>
        <w:spacing w:after="0" w:line="196" w:lineRule="exact"/>
        <w:rPr>
          <w:sz w:val="20"/>
          <w:szCs w:val="20"/>
          <w:color w:val="auto"/>
        </w:rPr>
      </w:pPr>
    </w:p>
    <w:tbl>
      <w:tblPr>
        <w:tblLayout w:type="fixed"/>
        <w:tblInd w:w="166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5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Borders>
              <w:top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40" w:type="dxa"/>
            <w:vAlign w:val="bottom"/>
            <w:tcBorders>
              <w:top w:val="single" w:sz="8" w:color="auto"/>
            </w:tcBorders>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unexercised - vested and unvested</w:t>
            </w:r>
          </w:p>
        </w:tc>
        <w:tc>
          <w:tcPr>
            <w:tcW w:w="16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1,983,543</w:t>
            </w:r>
          </w:p>
        </w:tc>
        <w:tc>
          <w:tcPr>
            <w:tcW w:w="3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2,207,154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Series A and Series B Preferred Stock, outstanding</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8,974,357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14,279,521</w:t>
            </w: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repurchase from its founders</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3,666,667</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early-exercised and unvested</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781,946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31,945</w:t>
            </w: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693,902</w:t>
            </w:r>
          </w:p>
        </w:tc>
        <w:tc>
          <w:tcPr>
            <w:tcW w:w="80" w:type="dxa"/>
            <w:vAlign w:val="bottom"/>
            <w:shd w:val="clear" w:color="auto" w:fill="CCEEFF"/>
          </w:tcPr>
          <w:p>
            <w:pPr>
              <w:spacing w:after="0"/>
              <w:rPr>
                <w:sz w:val="18"/>
                <w:szCs w:val="18"/>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15,406,513</w:t>
            </w:r>
          </w:p>
        </w:tc>
        <w:tc>
          <w:tcPr>
            <w:tcW w:w="3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17,212,522</w:t>
            </w:r>
          </w:p>
        </w:tc>
        <w:tc>
          <w:tcPr>
            <w:tcW w:w="8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2680" w:type="dxa"/>
            <w:vAlign w:val="bottom"/>
            <w:gridSpan w:val="2"/>
          </w:tcPr>
          <w:p>
            <w:pPr>
              <w:jc w:val="right"/>
              <w:ind w:right="2197"/>
              <w:spacing w:after="0"/>
              <w:rPr>
                <w:sz w:val="20"/>
                <w:szCs w:val="20"/>
                <w:color w:val="auto"/>
              </w:rPr>
            </w:pPr>
            <w:r>
              <w:rPr>
                <w:rFonts w:ascii="Times New Roman" w:cs="Times New Roman" w:eastAsia="Times New Roman" w:hAnsi="Times New Roman"/>
                <w:sz w:val="18"/>
                <w:szCs w:val="18"/>
                <w:color w:val="auto"/>
              </w:rPr>
              <w:t>F-20</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UNAUDITED PRO FORMA NET LOSS PER SHARE</w:t>
      </w:r>
    </w:p>
    <w:p>
      <w:pPr>
        <w:spacing w:after="0" w:line="229" w:lineRule="exact"/>
        <w:rPr>
          <w:sz w:val="20"/>
          <w:szCs w:val="20"/>
          <w:color w:val="auto"/>
        </w:rPr>
      </w:pPr>
    </w:p>
    <w:p>
      <w:pPr>
        <w:ind w:left="120" w:right="82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unaudited pro forma basic and diluted net loss per share attributable to common stockholders for the year ended December 31, 2019:</w:t>
      </w:r>
    </w:p>
    <w:p>
      <w:pPr>
        <w:spacing w:after="0" w:line="17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6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Borders>
              <w:bottom w:val="single" w:sz="8" w:color="CCEEFF"/>
            </w:tcBorders>
          </w:tcPr>
          <w:p>
            <w:pPr>
              <w:spacing w:after="0"/>
              <w:rPr>
                <w:sz w:val="12"/>
                <w:szCs w:val="12"/>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(4,670)</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64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 used in computing net loss per</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 attributable to common stockholders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17,728,991</w:t>
            </w:r>
          </w:p>
        </w:tc>
        <w:tc>
          <w:tcPr>
            <w:tcW w:w="120" w:type="dxa"/>
            <w:vAlign w:val="bottom"/>
          </w:tcPr>
          <w:p>
            <w:pPr>
              <w:spacing w:after="0"/>
              <w:rPr>
                <w:sz w:val="20"/>
                <w:szCs w:val="20"/>
                <w:color w:val="auto"/>
              </w:rPr>
            </w:pPr>
          </w:p>
        </w:tc>
      </w:tr>
      <w:tr>
        <w:trPr>
          <w:trHeight w:val="196"/>
        </w:trPr>
        <w:tc>
          <w:tcPr>
            <w:tcW w:w="646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Pro forma adjustment to reflect assumed conversion of Series A and Series B</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6"/>
        </w:trPr>
        <w:tc>
          <w:tcPr>
            <w:tcW w:w="6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Preferred Stock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14,279,521</w:t>
            </w:r>
          </w:p>
        </w:tc>
        <w:tc>
          <w:tcPr>
            <w:tcW w:w="120" w:type="dxa"/>
            <w:vAlign w:val="bottom"/>
            <w:shd w:val="clear" w:color="auto" w:fill="CCEEFF"/>
          </w:tcPr>
          <w:p>
            <w:pPr>
              <w:spacing w:after="0"/>
              <w:rPr>
                <w:sz w:val="20"/>
                <w:szCs w:val="20"/>
                <w:color w:val="auto"/>
              </w:rPr>
            </w:pPr>
          </w:p>
        </w:tc>
      </w:tr>
      <w:tr>
        <w:trPr>
          <w:trHeight w:val="205"/>
        </w:trPr>
        <w:tc>
          <w:tcPr>
            <w:tcW w:w="646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Weighted-average shares of common stock used in computing pro forma net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per share attributable to common stockholders, basic and diluted</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32,008,512</w:t>
            </w:r>
          </w:p>
        </w:tc>
        <w:tc>
          <w:tcPr>
            <w:tcW w:w="120" w:type="dxa"/>
            <w:vAlign w:val="bottom"/>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6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229" w:lineRule="exact"/>
        <w:rPr>
          <w:sz w:val="20"/>
          <w:szCs w:val="20"/>
          <w:color w:val="auto"/>
        </w:rPr>
      </w:pPr>
    </w:p>
    <w:p>
      <w:pPr>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summarizes certain financial instruments measured at fair value that are included within the accompanying balance sheets, and their designation among the three fair value measurement categories (see </w:t>
      </w:r>
      <w:r>
        <w:rPr>
          <w:rFonts w:ascii="Times New Roman" w:cs="Times New Roman" w:eastAsia="Times New Roman" w:hAnsi="Times New Roman"/>
          <w:sz w:val="18"/>
          <w:szCs w:val="18"/>
          <w:i w:val="1"/>
          <w:iCs w:val="1"/>
          <w:color w:val="auto"/>
        </w:rPr>
        <w:t>Note 2(xi)</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7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6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57,952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57,952</w:t>
            </w:r>
          </w:p>
        </w:tc>
        <w:tc>
          <w:tcPr>
            <w:tcW w:w="60" w:type="dxa"/>
            <w:vAlign w:val="bottom"/>
          </w:tcPr>
          <w:p>
            <w:pPr>
              <w:spacing w:after="0"/>
              <w:rPr>
                <w:sz w:val="19"/>
                <w:szCs w:val="19"/>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57,952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57,952</w:t>
            </w:r>
          </w:p>
        </w:tc>
        <w:tc>
          <w:tcPr>
            <w:tcW w:w="60" w:type="dxa"/>
            <w:vAlign w:val="bottom"/>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4"/>
        </w:trPr>
        <w:tc>
          <w:tcPr>
            <w:tcW w:w="7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3"/>
        </w:trPr>
        <w:tc>
          <w:tcPr>
            <w:tcW w:w="7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6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60" w:type="dxa"/>
            <w:vAlign w:val="bottom"/>
          </w:tcPr>
          <w:p>
            <w:pPr>
              <w:spacing w:after="0"/>
              <w:rPr>
                <w:sz w:val="19"/>
                <w:szCs w:val="19"/>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2,355</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2,355</w:t>
            </w: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w:t>
      </w:r>
    </w:p>
    <w:p>
      <w:pPr>
        <w:spacing w:after="0" w:line="229" w:lineRule="exact"/>
        <w:rPr>
          <w:sz w:val="20"/>
          <w:szCs w:val="20"/>
          <w:color w:val="auto"/>
        </w:rPr>
      </w:pPr>
    </w:p>
    <w:p>
      <w:pPr>
        <w:ind w:left="120" w:right="580" w:firstLine="881"/>
        <w:spacing w:after="0" w:line="282" w:lineRule="auto"/>
        <w:rPr>
          <w:sz w:val="20"/>
          <w:szCs w:val="20"/>
          <w:color w:val="auto"/>
        </w:rPr>
      </w:pPr>
      <w:r>
        <w:rPr>
          <w:rFonts w:ascii="Times New Roman" w:cs="Times New Roman" w:eastAsia="Times New Roman" w:hAnsi="Times New Roman"/>
          <w:sz w:val="18"/>
          <w:szCs w:val="18"/>
          <w:color w:val="auto"/>
        </w:rPr>
        <w:t xml:space="preserve">Money market fund holdings are included in cash and cash equivalents on the accompanying balance sheets and are classified within </w:t>
      </w: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of the fair value hierarchy because of its readily-available market prices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active markets that are publicly accessible at the measurement date. These money market funds are invested in U.S. Treasury, bills, notes, and other obligations issued or guaranteed as to principal and interest by the U.S. Government or its agencies.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 – Derivative Liabilities</w:t>
      </w:r>
    </w:p>
    <w:p>
      <w:pPr>
        <w:spacing w:after="0" w:line="229"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sets forth a summary of the changes in fair value of the bifurcated derivative liability associated with the convertible promissory notes issued and settled during 2019 to certain related parties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The measurement of the derivative liabilities represents a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financial instrument:</w:t>
      </w:r>
    </w:p>
    <w:p>
      <w:pPr>
        <w:spacing w:after="0" w:line="184"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2018</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derivative liability upon issuance of May 2019 Notes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fair value of derivative liability upon issuance of August 2019 Notes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derivative liability upon issuance of October 2019 Notes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Revaluation of derivative liabilities included in other income (expense), net within the</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Statement of Operations for the year ended December 31, 2019</w:t>
            </w: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derivative liabilities through conversion of all Notes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2019</w:t>
            </w:r>
          </w:p>
        </w:tc>
        <w:tc>
          <w:tcPr>
            <w:tcW w:w="7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firstLine="881"/>
        <w:spacing w:after="0" w:line="261" w:lineRule="auto"/>
        <w:rPr>
          <w:sz w:val="20"/>
          <w:szCs w:val="20"/>
          <w:color w:val="auto"/>
        </w:rPr>
      </w:pPr>
      <w:r>
        <w:rPr>
          <w:rFonts w:ascii="Times New Roman" w:cs="Times New Roman" w:eastAsia="Times New Roman" w:hAnsi="Times New Roman"/>
          <w:sz w:val="18"/>
          <w:szCs w:val="18"/>
          <w:color w:val="auto"/>
        </w:rPr>
        <w:t>The fair values of the derivative liabilities presented above were estimated at the date of issuance and at subsequent balance sheet dates using a two-step approach to valuation. Management utilized a probability-weighted valuation method and then compared the instrument’s</w:t>
      </w: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value with-and-without the derivative features in order to estimate their combined fair value, using unobservable inputs, which are classified as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within the fair value hierarchy. The significant inputs not included in the market and thus represents a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measurement in the valuation approach included the probability of achieving a settlement that provides the note holders the rights or the obligations to receive cash or a variable number of shares upon the completion of a then-future capital transaction. The convertible notes were issued and settled in full during the year ended December 31, 2019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CONVERTIBLE PROMISSORY NOTES PAYABLE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 of Notes and Conversion in December 2019</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In May 2019, the Company entered into a Note Purchase Agreement (the “May 2019 Purchase Agreement”) with its co-founders and certain other related parties (the “Note Holders”). Under the terms of the May 2019 Purchase Agreement, the Company received cash proceeds of $0.5 million and issued $0.5 million of convertible promissory notes (the “May 2019 Notes”) with a stated maturity of December 2020. These notes bore interest at a rate of 8.0% per annum, compounded annually, and payable at maturity. In the event of a qualified equity financing, the outstanding principal of the May 2019 Notes plus all accrued and previously unpaid interest would, at the option of the holder, either (i) automatically convert into shares of stock issued in the qualified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equity financing based on a conversion price equal to 90% of the issuance price paid by these new investors, or (ii) be repaid in full.</w:t>
      </w:r>
    </w:p>
    <w:p>
      <w:pPr>
        <w:spacing w:after="0" w:line="225" w:lineRule="exact"/>
        <w:rPr>
          <w:sz w:val="20"/>
          <w:szCs w:val="20"/>
          <w:color w:val="auto"/>
        </w:rPr>
      </w:pPr>
    </w:p>
    <w:p>
      <w:pPr>
        <w:jc w:val="both"/>
        <w:ind w:left="120" w:right="140" w:firstLine="881"/>
        <w:spacing w:after="0" w:line="312" w:lineRule="auto"/>
        <w:rPr>
          <w:sz w:val="20"/>
          <w:szCs w:val="20"/>
          <w:color w:val="auto"/>
        </w:rPr>
      </w:pPr>
      <w:r>
        <w:rPr>
          <w:rFonts w:ascii="Times New Roman" w:cs="Times New Roman" w:eastAsia="Times New Roman" w:hAnsi="Times New Roman"/>
          <w:sz w:val="17"/>
          <w:szCs w:val="17"/>
          <w:color w:val="auto"/>
        </w:rPr>
        <w:t>In August 2019, the Company amended and restated the May 2019 Purchase Agreement with the Note Holders and received an additional $0.5 million of proceeds and issued new $0.5 million convertible promissory notes to the same parties (the “August 2019 Notes”) with identical terms.</w:t>
      </w:r>
    </w:p>
    <w:p>
      <w:pPr>
        <w:spacing w:after="0" w:line="140" w:lineRule="exact"/>
        <w:rPr>
          <w:sz w:val="20"/>
          <w:szCs w:val="20"/>
          <w:color w:val="auto"/>
        </w:rPr>
      </w:pPr>
    </w:p>
    <w:p>
      <w:pPr>
        <w:ind w:left="120" w:right="420" w:firstLine="881"/>
        <w:spacing w:after="0" w:line="261" w:lineRule="auto"/>
        <w:rPr>
          <w:sz w:val="20"/>
          <w:szCs w:val="20"/>
          <w:color w:val="auto"/>
        </w:rPr>
      </w:pPr>
      <w:r>
        <w:rPr>
          <w:rFonts w:ascii="Times New Roman" w:cs="Times New Roman" w:eastAsia="Times New Roman" w:hAnsi="Times New Roman"/>
          <w:sz w:val="18"/>
          <w:szCs w:val="18"/>
          <w:color w:val="auto"/>
        </w:rPr>
        <w:t>In October 2019, the Company entered into a new Note Purchase Agreement (the “October 2019 Purchase Agreement”) with the Note Holders. Under the terms of the October 2019 Purchase Agreement, the Company received proceeds of $1.0 million and issued $1.0 million of convertible promissory notes (the “October 2019 Notes,” collectively with the May 2019 Notes and the August 2019 Notes, the “Notes”) with a conversion price equal to 80% of the issuance price in a qualified equity financing.</w:t>
      </w:r>
    </w:p>
    <w:p>
      <w:pPr>
        <w:spacing w:after="0" w:line="178" w:lineRule="exact"/>
        <w:rPr>
          <w:sz w:val="20"/>
          <w:szCs w:val="20"/>
          <w:color w:val="auto"/>
        </w:rPr>
      </w:pPr>
    </w:p>
    <w:p>
      <w:pPr>
        <w:ind w:left="120" w:right="240" w:firstLine="881"/>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Company completed an issuance of Series B Preferred Stock (see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Upon this issuance, the $2.0 million of Note principal value, along with accrued interest, were converted into 2.0 million shares of Series B Preferred Stock under its contractual terms. The Company recorded “loss on extinguishment of convertible notes” (non-cash) of $0.3 million within “other income (expense)” in the accompanying Statements of Operations for the year ended December 31, 2019.</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and its Accounting</w:t>
      </w:r>
    </w:p>
    <w:p>
      <w:pPr>
        <w:spacing w:after="0" w:line="22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The Notes allowed for redemption upon a qualified equity financing that was determined to be a contingent redemption feature that was not closely related to the Notes and was thus was required to be bifurcated as a derivative liability on the balance sheet. Based on the features of this derivative, the Company accounted for it as an implied discount in presenting the carrying value of these Notes. This discount was accreted over the term to maturity of the Notes using the effective interest method, resulting in aggregate interest expense recognition (non-cash) of $0.1 million for the year ended December 31, 2019.</w:t>
      </w:r>
    </w:p>
    <w:p>
      <w:pPr>
        <w:spacing w:after="0" w:line="183"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Changes in the embedded derivatives’ fair value at each reporting period were recognized in the accompanying statement of operations within “changes in fair value of derivative liabilities,” resulting in incremental “other expense” recognition (non-cash) of $0.1 million for the year ended December 31, 2019.</w:t>
      </w:r>
    </w:p>
    <w:p>
      <w:pPr>
        <w:spacing w:after="0" w:line="172" w:lineRule="exact"/>
        <w:rPr>
          <w:sz w:val="20"/>
          <w:szCs w:val="20"/>
          <w:color w:val="auto"/>
        </w:rPr>
      </w:pPr>
    </w:p>
    <w:p>
      <w:pPr>
        <w:ind w:left="380" w:hanging="264"/>
        <w:spacing w:after="0"/>
        <w:tabs>
          <w:tab w:leader="none" w:pos="3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&amp; CONTINGENCIES</w:t>
      </w:r>
    </w:p>
    <w:p>
      <w:pPr>
        <w:spacing w:after="0" w:line="225"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Facility Leases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 xml:space="preserve">In the ordinary course of business, the Company enters lease agreements with unaffiliated parties for the use of office and laboratory facilities and office equipment. As of December 31, 2019, the Company had one active facility lease in Irvine, California, that commenced on March 1, 2019 and expires April 30, 2022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This lease has a renewal option at the end of term, for which the Company was not reasonably certain to exercise at the lease commencement. As such, the renewal option was not included in the lease term used to calculate the right-of-use lease asset and lease liability. Prior to March 1, 2019, the Company did not have any material lease arrangements.</w:t>
      </w:r>
    </w:p>
    <w:p>
      <w:pPr>
        <w:spacing w:after="0" w:line="183" w:lineRule="exact"/>
        <w:rPr>
          <w:sz w:val="20"/>
          <w:szCs w:val="20"/>
          <w:color w:val="auto"/>
        </w:rPr>
      </w:pPr>
    </w:p>
    <w:p>
      <w:pPr>
        <w:ind w:left="120" w:right="280" w:firstLine="881"/>
        <w:spacing w:after="0" w:line="282" w:lineRule="auto"/>
        <w:rPr>
          <w:sz w:val="20"/>
          <w:szCs w:val="20"/>
          <w:color w:val="auto"/>
        </w:rPr>
      </w:pPr>
      <w:r>
        <w:rPr>
          <w:rFonts w:ascii="Times New Roman" w:cs="Times New Roman" w:eastAsia="Times New Roman" w:hAnsi="Times New Roman"/>
          <w:sz w:val="18"/>
          <w:szCs w:val="18"/>
          <w:color w:val="auto"/>
        </w:rPr>
        <w:t>The Irvine facility lease has minimum annual rent, payable monthly, and carries fixed annual rent increases. Under the arrangement, real estate taxes, certain operating expenses, and common area maintenance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00"/>
          </w:cols>
          <w:pgMar w:left="320" w:top="455" w:right="47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are reimbursable to the lessor. These amounts are expensed as incurred, as they are variable in nature and therefore excluded from the measurement of the reported right-of-use asset and liability discussed below. During the years ended December 31, 2018 and 2019, the Company had no sublease arrangements with it as lessor.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Lease Standard, Topic 842</w:t>
      </w:r>
    </w:p>
    <w:p>
      <w:pPr>
        <w:spacing w:after="0" w:line="227" w:lineRule="exact"/>
        <w:rPr>
          <w:sz w:val="20"/>
          <w:szCs w:val="20"/>
          <w:color w:val="auto"/>
        </w:rPr>
      </w:pPr>
    </w:p>
    <w:p>
      <w:pPr>
        <w:ind w:left="120" w:firstLine="881"/>
        <w:spacing w:after="0" w:line="271" w:lineRule="auto"/>
        <w:rPr>
          <w:sz w:val="20"/>
          <w:szCs w:val="20"/>
          <w:color w:val="auto"/>
        </w:rPr>
      </w:pPr>
      <w:r>
        <w:rPr>
          <w:rFonts w:ascii="Times New Roman" w:cs="Times New Roman" w:eastAsia="Times New Roman" w:hAnsi="Times New Roman"/>
          <w:sz w:val="17"/>
          <w:szCs w:val="17"/>
          <w:color w:val="auto"/>
        </w:rPr>
        <w:t>Beginning January 1, 2019, the Company adopted ASU 2016-02</w:t>
      </w:r>
      <w:r>
        <w:rPr>
          <w:rFonts w:ascii="Times New Roman" w:cs="Times New Roman" w:eastAsia="Times New Roman" w:hAnsi="Times New Roman"/>
          <w:sz w:val="17"/>
          <w:szCs w:val="17"/>
          <w:i w:val="1"/>
          <w:iCs w:val="1"/>
          <w:color w:val="auto"/>
        </w:rPr>
        <w:t>, Leases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842</w:t>
      </w:r>
      <w:r>
        <w:rPr>
          <w:rFonts w:ascii="Times New Roman" w:cs="Times New Roman" w:eastAsia="Times New Roman" w:hAnsi="Times New Roman"/>
          <w:sz w:val="17"/>
          <w:szCs w:val="17"/>
          <w:color w:val="auto"/>
        </w:rPr>
        <w:t>”). Under this new lease accounting standard, the Company recognized a right-of-use asset and lease liability on the accompanying Balance Sheets for all material leases. Management elected the “modified retrospective approach” with an effective transition date of January 1, 2018 upon adoption and the available practical expedients. The Company also elected to (1) not separate “lease components” from “non-lease components” in the measurement of minimum payments for its leases and</w:t>
      </w:r>
    </w:p>
    <w:p>
      <w:pPr>
        <w:spacing w:after="0" w:line="1" w:lineRule="exact"/>
        <w:rPr>
          <w:sz w:val="20"/>
          <w:szCs w:val="20"/>
          <w:color w:val="auto"/>
        </w:rPr>
      </w:pPr>
    </w:p>
    <w:p>
      <w:pPr>
        <w:ind w:left="120" w:hanging="4"/>
        <w:spacing w:after="0" w:line="260" w:lineRule="auto"/>
        <w:tabs>
          <w:tab w:leader="none" w:pos="37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recognize a lease asset and liability for a term of 12 months or less. Lease expense is recognized on a straight-line basis over the expected term of the lease. In March 2019, the Company capitalized a right-of-use asset of $0.2 million along with an accompanying $0.2 million lease liability.</w:t>
      </w:r>
    </w:p>
    <w:p>
      <w:pPr>
        <w:spacing w:after="0" w:line="181"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As part of applying Topic 842, the Company determines if an arrangement is or contains a lease and the classification of that lease at contract execution. The classification of leases as “operating” or “finance” leases along with the initial measurement and recognition of the associated right-of-use assets and lease liabilities is performed at the lease commencement date. The measurement of lease liabilities is based on the present value of future lease payments over the lease term. Since an implicit rate for the operating lease for the Company’s Irvine facility was not determinable and was not implicit in the lease, the Company calculated an estimated incremental borrowing rate based upon what it would have to pay to borrow on a collateralized bases over a similar term and amount equal to the lease payments in a similar economic environment. The right-of-use lease asset is based on the corresponding lease liability and adjusted for (i) applicable payments made at or before the commencement date, (ii) initial direct costs incurred, and (iii) tenant incentives provided by the lessor.</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Lease Expense</w:t>
      </w:r>
    </w:p>
    <w:p>
      <w:pPr>
        <w:spacing w:after="0" w:line="229"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The liability associated with each lease is amortized over the respective lease term using the effective interest rate method. The Company’s right-of-use asset is amortized over the lease term on a straight-line basis to lease expense, as reported on an allocated basis within “research and development” and “general and administrative” expenses on the accompanying Statements of Operations. For the year ended December 31, 2019, the Company recognized $0.1 million for lease expense. There were no variable lease payments, including non-lease components such as common area maintenance fees, recognized as lease expense for the year ended December 31, 2019.</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Weighted-Average Remaining Lease Term and Applied Discount Rate</w:t>
      </w:r>
    </w:p>
    <w:p>
      <w:pPr>
        <w:spacing w:after="0" w:line="229" w:lineRule="exact"/>
        <w:rPr>
          <w:sz w:val="20"/>
          <w:szCs w:val="20"/>
          <w:color w:val="auto"/>
        </w:rPr>
      </w:pPr>
    </w:p>
    <w:p>
      <w:pPr>
        <w:jc w:val="both"/>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The Company has one active lease as of December 31, 2019 for its Irvine office and laboratory facility, with a remaining lease term of two years and four months. The estimated incremental borrowing rate of 10% is utilized to present value future minimum lease payments since an implicit interest rate is not readily determinable in this lease.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Contractual Lease Payments as of December 31, 2019</w:t>
      </w:r>
    </w:p>
    <w:p>
      <w:pPr>
        <w:spacing w:after="0" w:line="22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The below table summarizes the (i) minimum lease payments over the next five years and thereafter, (ii) lease arrangement imputed interest, and (iii) present value of future lease payments:</w:t>
      </w:r>
    </w:p>
    <w:p>
      <w:pPr>
        <w:spacing w:after="0" w:line="17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Leases - future payments</w:t>
            </w: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69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2"/>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2020</w:t>
            </w:r>
          </w:p>
        </w:tc>
        <w:tc>
          <w:tcPr>
            <w:tcW w:w="47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lease payments, undiscounted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operating lease payments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In-License Agreement for Lotilaner</w:t>
      </w:r>
    </w:p>
    <w:p>
      <w:pPr>
        <w:spacing w:after="0" w:line="229"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 xml:space="preserve">In January 2019, the Company entered into a license agreement with Elanco Tiergesundheit AG (“Elanco”), granting the Company worldwide development and marketing rights (including sublicense rights) for lotilaner for the treatment or cure of any eye or skin disease or condition in humans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(the “Field”). Under this agreement, the Company has sole responsibility for development, regulatory, and commercialization activities for lotilaner in the Field.</w:t>
      </w:r>
    </w:p>
    <w:p>
      <w:pPr>
        <w:spacing w:after="0" w:line="180" w:lineRule="exact"/>
        <w:rPr>
          <w:sz w:val="20"/>
          <w:szCs w:val="20"/>
          <w:color w:val="auto"/>
        </w:rPr>
      </w:pPr>
    </w:p>
    <w:p>
      <w:pPr>
        <w:ind w:left="120" w:right="140" w:firstLine="881"/>
        <w:spacing w:after="0" w:line="256" w:lineRule="auto"/>
        <w:rPr>
          <w:sz w:val="20"/>
          <w:szCs w:val="20"/>
          <w:color w:val="auto"/>
        </w:rPr>
      </w:pPr>
      <w:r>
        <w:rPr>
          <w:rFonts w:ascii="Times New Roman" w:cs="Times New Roman" w:eastAsia="Times New Roman" w:hAnsi="Times New Roman"/>
          <w:sz w:val="18"/>
          <w:szCs w:val="18"/>
          <w:color w:val="auto"/>
        </w:rPr>
        <w:t>The Company paid Elanco an upfront $1.0 million at contract execution which is reported within “research and development” expense within the accompanying statements of operations for the year ended December 31, 2019. The Company agreed to make further payments to Elanco upon achievement of various clinical milestones for an aggregate maximum of $6.0 million and various sales milestones for an aggregate maximum of $79.0 million. In addition, the Company is obligated to pay contractual royalties to Elanco in the single digits of its future net sales. If the Company receives payments from sublicensees, it is obligated to pay Elanco a variable percentage in the low to mid double-digits of such proceeds, except for territories in which the Company achieved regulatory approval prior to sublicense execution.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Employment Agreement</w:t>
      </w:r>
    </w:p>
    <w:p>
      <w:pPr>
        <w:spacing w:after="0" w:line="229"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The Company entered into an employment agreement with its Chief Executive Officer in September 2018. This agreement provides for the payment of certain benefits upon his separation of employment under specified circumstances, such as in connection with a change in control event or other significant transaction.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Contingencies</w:t>
      </w:r>
    </w:p>
    <w:p>
      <w:pPr>
        <w:spacing w:after="0" w:line="229" w:lineRule="exact"/>
        <w:rPr>
          <w:sz w:val="20"/>
          <w:szCs w:val="20"/>
          <w:color w:val="auto"/>
        </w:rPr>
      </w:pPr>
    </w:p>
    <w:p>
      <w:pPr>
        <w:jc w:val="both"/>
        <w:ind w:left="120" w:right="360" w:firstLine="881"/>
        <w:spacing w:after="0" w:line="312" w:lineRule="auto"/>
        <w:rPr>
          <w:sz w:val="20"/>
          <w:szCs w:val="20"/>
          <w:color w:val="auto"/>
        </w:rPr>
      </w:pPr>
      <w:r>
        <w:rPr>
          <w:rFonts w:ascii="Times New Roman" w:cs="Times New Roman" w:eastAsia="Times New Roman" w:hAnsi="Times New Roman"/>
          <w:sz w:val="17"/>
          <w:szCs w:val="17"/>
          <w:color w:val="auto"/>
        </w:rPr>
        <w:t>From time to time, the Company may be subject to various litigation and related matters arising in the ordinary course of business. The Company is currently not aware of any such matters where there is at least a reasonable probability that a material loss has been or will be incurred.</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00"/>
          </w:cols>
          <w:pgMar w:left="320" w:top="455" w:right="47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Indemnities and Guarantees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is indefinite and does not provide for any limitation of maximum payments. The Company has not been obligated to make any such payments to date and no liabilities have been recorded for this contingency in the accompanying balance sheets.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120" w:right="260" w:firstLine="881"/>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was computed by applying the statutory federal income tax rate in each period to the pretax loss for the years ended December 31, 2018 and 2019, and as adjusted for certain classes of transactions, as summarized below:</w:t>
      </w:r>
    </w:p>
    <w:p>
      <w:pPr>
        <w:spacing w:after="0" w:line="182"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tax benefit at statutory rate</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(277)</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(981)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interest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Significant components of the deferred tax assets and liabilities at December 31, 2018 and 2019, are presented below:</w:t>
      </w:r>
    </w:p>
    <w:p>
      <w:pPr>
        <w:spacing w:after="0" w:line="233"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8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Total deferred tax assets before valuation allowance</w:t>
            </w:r>
          </w:p>
        </w:tc>
        <w:tc>
          <w:tcPr>
            <w:tcW w:w="238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500" w:type="dxa"/>
            <w:vAlign w:val="bottom"/>
            <w:gridSpan w:val="3"/>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(1,338)</w:t>
            </w: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00" w:type="dxa"/>
            <w:vAlign w:val="bottom"/>
            <w:gridSpan w:val="2"/>
          </w:tcPr>
          <w:p>
            <w:pPr>
              <w:jc w:val="right"/>
              <w:ind w:right="2337"/>
              <w:spacing w:after="0"/>
              <w:rPr>
                <w:sz w:val="20"/>
                <w:szCs w:val="20"/>
                <w:color w:val="auto"/>
              </w:rPr>
            </w:pPr>
            <w:r>
              <w:rPr>
                <w:rFonts w:ascii="Times New Roman" w:cs="Times New Roman" w:eastAsia="Times New Roman" w:hAnsi="Times New Roman"/>
                <w:sz w:val="18"/>
                <w:szCs w:val="18"/>
                <w:color w:val="auto"/>
              </w:rPr>
              <w:t>F-26</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4"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The Company maintains a full valuation allowance against its net deferred tax assets due to the uncertainty that such assets will be realized and evaluates the recoverability of its deferred tax assets on at least an annual basis. The Company has determined that its deferred tax assets, with the exception of amounts supported by the reversal of taxable temporary differences, are not realizable. Consequently, the Company has recorded a valuation allowance on deferred tax assets of $0.4 million and $1.3 million at December 31, 2018 and 2019, respectively</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At December 31, 2019, the Company has federal and California net operating loss carryforwards of approximately $4.2 million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 million, respectively. As a result of the Tax Cuts and Jobs Act of 2017 (the Tax Act), for U.S. income tax purposes, net operating losses generated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December 31, 2017 can be carried forward for up to 20 years, while net operating losses generated after December 31, 2017 can be carried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forward indefinitely, but are limited to 80% utilization against taxable income. The Company’s total federal net operating loss of $4.2 million includes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$45 thousand that will begin to expire in 2037 and $4.1 million that will not expire but will only be able to be offset 80% of future taxable income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within each year. The California net operating losses will begin to expire in 2037. At December 31, 2019, the Company had federal and California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research and development tax credits of $0.1 million each. The federal research and development tax credits begin to expire in 2037 unless previously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utilized, and the California credit carryforwards are available indefinitely.</w:t>
      </w:r>
    </w:p>
    <w:p>
      <w:pPr>
        <w:spacing w:after="0" w:line="207"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The Internal Revenue Code (IRC) Sections 382 and 383 limit annual use of NOL and research and development credit carryforwards in the event a cumulative change in ownership of more than 50% occurs within a three-year period. The Company has not yet completed an ownership change analysis. If a requisite ownership change occurs,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Due to the existence of the valuation allowance, limitations created by future ownership changes, if any, will not impact the Company’s effective tax rate.</w:t>
      </w:r>
    </w:p>
    <w:p>
      <w:pPr>
        <w:spacing w:after="0" w:line="187"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the changes to the gross unrecognized tax benefits for the years ended December 31, 2018 and 2019:</w:t>
      </w:r>
    </w:p>
    <w:p>
      <w:pPr>
        <w:spacing w:after="0" w:line="246"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Additions related to current year positions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881"/>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California. All tax years from inception are subject to examination by federal and state tax authorities. The Company’s practice is to recognize interest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55" w:right="47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(all tabular amounts presented in thousands, except share, per share, per unit, and number of years)</w:t>
      </w:r>
    </w:p>
    <w:p>
      <w:pPr>
        <w:spacing w:after="0" w:line="23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penalties related to income tax matters in income tax expense. No interest or penalties related to income tax matters have been incurred at December 31, 2018 and 2019 and the years then ended. Further, the Company is not currently under examination by any federal, state, or local tax authority.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ind w:left="120" w:right="220" w:firstLine="881"/>
        <w:spacing w:after="0" w:line="266" w:lineRule="auto"/>
        <w:rPr>
          <w:sz w:val="20"/>
          <w:szCs w:val="20"/>
          <w:color w:val="auto"/>
        </w:rPr>
      </w:pPr>
      <w:r>
        <w:rPr>
          <w:rFonts w:ascii="Times New Roman" w:cs="Times New Roman" w:eastAsia="Times New Roman" w:hAnsi="Times New Roman"/>
          <w:sz w:val="18"/>
          <w:szCs w:val="18"/>
          <w:color w:val="auto"/>
        </w:rPr>
        <w:t>Subsequent events have been evaluated for recognition and measurement purposes through August 7, 2020, which is the date that the financial statements were available to be issued. Except as described below, the Company has concluded that no events or transactions have occurred that require disclosure.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Office Leases</w:t>
      </w:r>
    </w:p>
    <w:p>
      <w:pPr>
        <w:spacing w:after="0" w:line="229"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In May 2020, the Company entered two new facility leases in Irvine, California for expanded administrative and laboratory space. These adjacent suites each have commencement dates of August 2020. The future minimum lease payments aggregate $0.9 million.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80"/>
          </w:cols>
          <w:pgMar w:left="320" w:top="455" w:right="49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Through and including , 2020,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361315</wp:posOffset>
            </wp:positionV>
            <wp:extent cx="3162935" cy="7112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16293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5"/>
          <w:szCs w:val="25"/>
          <w:b w:val="1"/>
          <w:bCs w:val="1"/>
          <w:color w:val="auto"/>
        </w:rPr>
        <w:t>Tarsus Pharmaceuticals, Inc.</w:t>
      </w:r>
    </w:p>
    <w:p>
      <w:pPr>
        <w:spacing w:after="0" w:line="22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949960</wp:posOffset>
            </wp:positionV>
            <wp:extent cx="1405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88265</wp:posOffset>
            </wp:positionV>
            <wp:extent cx="1405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315"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9"/>
          <w:szCs w:val="29"/>
          <w:b w:val="1"/>
          <w:bCs w:val="1"/>
          <w:color w:val="auto"/>
        </w:rPr>
        <w:t>Jefferies</w:t>
      </w:r>
    </w:p>
    <w:p>
      <w:pPr>
        <w:spacing w:after="0" w:line="30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9"/>
          <w:szCs w:val="29"/>
          <w:b w:val="1"/>
          <w:bCs w:val="1"/>
          <w:color w:val="auto"/>
        </w:rPr>
        <w:t>Raymond James</w:t>
      </w:r>
    </w:p>
    <w:p>
      <w:pPr>
        <w:spacing w:after="0" w:line="32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LifeSci Capital</w:t>
      </w:r>
    </w:p>
    <w:p>
      <w:pPr>
        <w:spacing w:after="0" w:line="30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Ladenburg Thalmann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660"/>
          </w:cols>
          <w:pgMar w:left="320" w:top="455" w:right="91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220" w:firstLine="881"/>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costs and expenses, other than underwriting discounts and commissions, payable in connection with this offering. All amounts are estimates except the SEC registration fee, the Financial Industry Regulatory Authority, Inc., or FINRA, filing fee and the Nasdaq Global Market listing fee. Except as otherwise noted, all the expenses below will be paid by us.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Global Market listing fee</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2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180" w:type="dxa"/>
            <w:vAlign w:val="bottom"/>
            <w:gridSpan w:val="2"/>
          </w:tcPr>
          <w:p>
            <w:pPr>
              <w:spacing w:after="0"/>
              <w:rPr>
                <w:sz w:val="11"/>
                <w:szCs w:val="11"/>
                <w:color w:val="auto"/>
              </w:rPr>
            </w:pPr>
          </w:p>
        </w:tc>
        <w:tc>
          <w:tcPr>
            <w:tcW w:w="2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be completed by amendment.</w:t>
            </w:r>
          </w:p>
        </w:tc>
        <w:tc>
          <w:tcPr>
            <w:tcW w:w="2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180"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207" w:lineRule="exact"/>
        <w:rPr>
          <w:sz w:val="20"/>
          <w:szCs w:val="20"/>
          <w:color w:val="auto"/>
        </w:rPr>
      </w:pPr>
    </w:p>
    <w:p>
      <w:pPr>
        <w:ind w:left="1420" w:hanging="319"/>
        <w:spacing w:after="0"/>
        <w:tabs>
          <w:tab w:leader="none" w:pos="14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52" w:lineRule="exact"/>
        <w:rPr>
          <w:rFonts w:ascii="Times New Roman" w:cs="Times New Roman" w:eastAsia="Times New Roman" w:hAnsi="Times New Roman"/>
          <w:sz w:val="18"/>
          <w:szCs w:val="18"/>
          <w:color w:val="auto"/>
        </w:rPr>
      </w:pPr>
    </w:p>
    <w:p>
      <w:pPr>
        <w:ind w:left="1420" w:right="660" w:hanging="319"/>
        <w:spacing w:after="0" w:line="282" w:lineRule="auto"/>
        <w:tabs>
          <w:tab w:leader="none" w:pos="14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unlawful payments of dividends or unlawful stock repurchases or redemptions as provided in Section 174 of the Delaware General Corporation Law; or</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any improper personal benefit.</w:t>
      </w:r>
    </w:p>
    <w:p>
      <w:pPr>
        <w:spacing w:after="0" w:line="225"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80"/>
          </w:cols>
          <w:pgMar w:left="320" w:top="455" w:right="49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83"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87"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Reference is made to the underwriting agreement contained in Exhibit 1.1 to this registration statement, indemnifying our directors and officers against limited liabilities. In addition, Section 2.8 of our amended and restated investors’ rights agreement, or the IRA contained in Exhibit 4.2 to this registration statement provides for indemnification of certain of our stockholders against liabilities described in our IRA.</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currently carry and intend to continue to carry liability insurance for our directors and officers.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ind w:left="120" w:right="520" w:firstLine="881"/>
        <w:spacing w:after="0" w:line="266" w:lineRule="auto"/>
        <w:rPr>
          <w:sz w:val="20"/>
          <w:szCs w:val="20"/>
          <w:color w:val="auto"/>
        </w:rPr>
      </w:pPr>
      <w:r>
        <w:rPr>
          <w:rFonts w:ascii="Times New Roman" w:cs="Times New Roman" w:eastAsia="Times New Roman" w:hAnsi="Times New Roman"/>
          <w:sz w:val="18"/>
          <w:szCs w:val="18"/>
          <w:color w:val="auto"/>
        </w:rPr>
        <w:t>The following list sets forth information regarding all unregistered securities sold by us since January 1, 2017.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76" w:lineRule="exact"/>
        <w:rPr>
          <w:sz w:val="20"/>
          <w:szCs w:val="20"/>
          <w:color w:val="auto"/>
        </w:rPr>
      </w:pPr>
    </w:p>
    <w:p>
      <w:pPr>
        <w:jc w:val="both"/>
        <w:ind w:left="1000" w:right="240" w:firstLine="808"/>
        <w:spacing w:after="0" w:line="266" w:lineRule="auto"/>
        <w:tabs>
          <w:tab w:leader="none" w:pos="219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2017 through March 2018, we issued and sold to our directors, officers, employees, consultants and other service providers an aggregate of 19,890,000 shares of Common Stock at a price per share of $0.0001 for an aggregate purchase price of $1,989.</w:t>
      </w:r>
    </w:p>
    <w:p>
      <w:pPr>
        <w:spacing w:after="0" w:line="175" w:lineRule="exact"/>
        <w:rPr>
          <w:rFonts w:ascii="Times New Roman" w:cs="Times New Roman" w:eastAsia="Times New Roman" w:hAnsi="Times New Roman"/>
          <w:sz w:val="18"/>
          <w:szCs w:val="18"/>
          <w:color w:val="auto"/>
        </w:rPr>
      </w:pPr>
    </w:p>
    <w:p>
      <w:pPr>
        <w:ind w:left="1000" w:right="140" w:firstLine="808"/>
        <w:spacing w:after="0" w:line="266" w:lineRule="auto"/>
        <w:tabs>
          <w:tab w:leader="none" w:pos="22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2017 through April 2020, we granted to our directors, officers, employees, consultants and other service providers stock options to purchase an aggregate of 8,727,355 shares of common stock upon the exercise of options under our 2016 Stock Plan at exercise prices per share ranging from $0.0001 to $0.27, for an aggregate exercise price of approximately $1.4 million.</w:t>
      </w:r>
    </w:p>
    <w:p>
      <w:pPr>
        <w:spacing w:after="0" w:line="175" w:lineRule="exact"/>
        <w:rPr>
          <w:rFonts w:ascii="Times New Roman" w:cs="Times New Roman" w:eastAsia="Times New Roman" w:hAnsi="Times New Roman"/>
          <w:sz w:val="18"/>
          <w:szCs w:val="18"/>
          <w:color w:val="auto"/>
        </w:rPr>
      </w:pPr>
    </w:p>
    <w:p>
      <w:pPr>
        <w:ind w:left="1000" w:right="160" w:firstLine="808"/>
        <w:spacing w:after="0" w:line="282" w:lineRule="auto"/>
        <w:tabs>
          <w:tab w:leader="none" w:pos="219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2018 and May 2018, we issued and sold an aggregate of 11,698,716 shares of our Series A Preferred Stock at a purchase price of $0.312 per share for aggregate proceeds of approximately $3.6 million.</w:t>
      </w:r>
    </w:p>
    <w:p>
      <w:pPr>
        <w:spacing w:after="0" w:line="161" w:lineRule="exact"/>
        <w:rPr>
          <w:rFonts w:ascii="Times New Roman" w:cs="Times New Roman" w:eastAsia="Times New Roman" w:hAnsi="Times New Roman"/>
          <w:sz w:val="18"/>
          <w:szCs w:val="18"/>
          <w:color w:val="auto"/>
        </w:rPr>
      </w:pPr>
    </w:p>
    <w:p>
      <w:pPr>
        <w:ind w:left="1000" w:firstLine="808"/>
        <w:spacing w:after="0" w:line="282" w:lineRule="auto"/>
        <w:tabs>
          <w:tab w:leader="none" w:pos="22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2019, August 2019 and November 2019, we issued and sold convertible promissory notes in an aggregate principal amount of approximately $2.0 million at face value (the “Notes”).</w:t>
      </w:r>
    </w:p>
    <w:p>
      <w:pPr>
        <w:spacing w:after="0" w:line="161" w:lineRule="exact"/>
        <w:rPr>
          <w:rFonts w:ascii="Times New Roman" w:cs="Times New Roman" w:eastAsia="Times New Roman" w:hAnsi="Times New Roman"/>
          <w:sz w:val="18"/>
          <w:szCs w:val="18"/>
          <w:color w:val="auto"/>
        </w:rPr>
      </w:pPr>
    </w:p>
    <w:p>
      <w:pPr>
        <w:ind w:left="1000" w:right="300" w:firstLine="808"/>
        <w:spacing w:after="0" w:line="266" w:lineRule="auto"/>
        <w:tabs>
          <w:tab w:leader="none" w:pos="219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we issued and sold an aggregate of 49,578,623 shares of our Series B Preferred Stock at a purchase price of $1.2104 per share for aggregate proceeds of approximately $59.6 million (of which approximately $57.6 million was cash and approximately $2.0 million was cancellation of outstanding indebtedness in connection with the conversion of the Notes).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60"/>
          </w:cols>
          <w:pgMar w:left="320" w:top="455" w:right="51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881"/>
        <w:spacing w:after="0" w:line="272" w:lineRule="auto"/>
        <w:rPr>
          <w:sz w:val="20"/>
          <w:szCs w:val="20"/>
          <w:color w:val="auto"/>
        </w:rPr>
      </w:pPr>
      <w:r>
        <w:rPr>
          <w:rFonts w:ascii="Times New Roman" w:cs="Times New Roman" w:eastAsia="Times New Roman" w:hAnsi="Times New Roman"/>
          <w:sz w:val="17"/>
          <w:szCs w:val="17"/>
          <w:color w:val="auto"/>
        </w:rPr>
        <w:t>The offers, sales and issuances of the securities described in Items (a) and (b) above were exempt from registration under the Securities Act under either (1) Rule 701 in that the transactions were under compensatory benefit plans and contracts relating to compensation as provided under Rule 701 or (2) Section 4(a)(2) of the Securities Act or Regulation D promulgated thereunder as transactions by an issuer not involving any public offering.</w:t>
      </w:r>
    </w:p>
    <w:p>
      <w:pPr>
        <w:spacing w:after="0" w:line="2" w:lineRule="exact"/>
        <w:rPr>
          <w:sz w:val="20"/>
          <w:szCs w:val="20"/>
          <w:color w:val="auto"/>
        </w:rPr>
      </w:pPr>
    </w:p>
    <w:p>
      <w:pPr>
        <w:jc w:val="both"/>
        <w:ind w:left="120" w:right="180"/>
        <w:spacing w:after="0" w:line="253" w:lineRule="auto"/>
        <w:rPr>
          <w:sz w:val="20"/>
          <w:szCs w:val="20"/>
          <w:color w:val="auto"/>
        </w:rPr>
      </w:pPr>
      <w:r>
        <w:rPr>
          <w:rFonts w:ascii="Times New Roman" w:cs="Times New Roman" w:eastAsia="Times New Roman" w:hAnsi="Times New Roman"/>
          <w:sz w:val="18"/>
          <w:szCs w:val="18"/>
          <w:color w:val="auto"/>
        </w:rPr>
        <w:t>The recipients of such securities were the registrant’s directors, officers, employees, consultants or other service providers and received the securities under our 2016 Stock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89" w:lineRule="exact"/>
        <w:rPr>
          <w:sz w:val="20"/>
          <w:szCs w:val="20"/>
          <w:color w:val="auto"/>
        </w:rPr>
      </w:pPr>
    </w:p>
    <w:p>
      <w:pPr>
        <w:ind w:left="120" w:firstLine="881"/>
        <w:spacing w:after="0" w:line="277" w:lineRule="auto"/>
        <w:rPr>
          <w:sz w:val="20"/>
          <w:szCs w:val="20"/>
          <w:color w:val="auto"/>
        </w:rPr>
      </w:pPr>
      <w:r>
        <w:rPr>
          <w:rFonts w:ascii="Times New Roman" w:cs="Times New Roman" w:eastAsia="Times New Roman" w:hAnsi="Times New Roman"/>
          <w:sz w:val="17"/>
          <w:szCs w:val="17"/>
          <w:color w:val="auto"/>
        </w:rPr>
        <w:t>The offers, sales and issuances of the securities described in Items (c), (d) and (e) above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7" w:lineRule="exact"/>
        <w:rPr>
          <w:sz w:val="20"/>
          <w:szCs w:val="20"/>
          <w:color w:val="auto"/>
        </w:rPr>
      </w:pPr>
    </w:p>
    <w:p>
      <w:pPr>
        <w:ind w:left="1260" w:hanging="263"/>
        <w:spacing w:after="0"/>
        <w:tabs>
          <w:tab w:leader="none" w:pos="1260" w:val="left"/>
        </w:tabs>
        <w:numPr>
          <w:ilvl w:val="0"/>
          <w:numId w:val="1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following exhibits are included herein or incorporated herein by reference: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0" w:type="dxa"/>
            <w:vAlign w:val="bottom"/>
            <w:vMerge w:val="restart"/>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2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Amended and Restated Certificate of Incorporation of Registrant, as currently in effect.</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Registrant, to be effective upon completion of this offering.</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Bylaws of Registrant, as currently in effect.</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Amended and Restated Bylaws of Registrant, to be effective upon completion of this offering.</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Registrant’s common stock certificate.</w:t>
            </w:r>
          </w:p>
        </w:tc>
        <w:tc>
          <w:tcPr>
            <w:tcW w:w="0" w:type="dxa"/>
            <w:vAlign w:val="bottom"/>
          </w:tcPr>
          <w:p>
            <w:pPr>
              <w:spacing w:after="0"/>
              <w:rPr>
                <w:sz w:val="1"/>
                <w:szCs w:val="1"/>
                <w:color w:val="auto"/>
              </w:rPr>
            </w:pPr>
          </w:p>
        </w:tc>
      </w:tr>
      <w:tr>
        <w:trPr>
          <w:trHeight w:val="306"/>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w w:val="99"/>
              </w:rPr>
              <w:t>Amended and Restated Investors’ Rights Agreement, dated December 13, 2019, by and among the Registrant and the other parties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thereto.</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Opinion of Gunderson Dettmer Stough Villeneuve Franklin &amp; Hachigian, LLP.</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10.1*</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each of its directors and executive officers.</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10.2*</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Tarsus Therapeutics, Inc. 2016 Stock Plan, as amended, and forms of agreements thereunder.</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10.3*</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Tarsus Therapeutics, Inc. 2020 Equity Incentive Plan and form of agreements thereunder.</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10.4*</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Tarsus Therapeutics, Inc. 2020 Employee Stock Purchase Plan.</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10.5*</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Office Lease, dated May 28, 2020, between the Registrant and Discovery Business Center LLC.</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10.6*</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Offer Letter, dated September 14, 2018, between the Registrant and Bobak Azamian, M.D., Ph.D.</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10.7*</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Offer Letter, dated March 15, 2020, between the Registrant and Leo M. Greenstein.</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10.8*</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Offer Letter, dated June 4, 2020, , between the Registrant and Seshadri Neervannan, Ph.D.</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10.9*</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Offer Letter, dated October 29, 2018, between the Registrant and Mark Holdbrook.</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10.10*</w:t>
            </w:r>
          </w:p>
        </w:tc>
        <w:tc>
          <w:tcPr>
            <w:tcW w:w="10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License Agreement, dated January 31, 2019, between the Registrant and Elanco Tiergesundheit AG.</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000" w:type="dxa"/>
            <w:vAlign w:val="bottom"/>
            <w:gridSpan w:val="3"/>
          </w:tcPr>
          <w:p>
            <w:pPr>
              <w:ind w:left="4860"/>
              <w:spacing w:after="0"/>
              <w:rPr>
                <w:sz w:val="20"/>
                <w:szCs w:val="20"/>
                <w:color w:val="auto"/>
              </w:rPr>
            </w:pPr>
            <w:r>
              <w:rPr>
                <w:rFonts w:ascii="Times New Roman" w:cs="Times New Roman" w:eastAsia="Times New Roman" w:hAnsi="Times New Roman"/>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2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3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2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2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82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99"/>
              </w:rPr>
              <w:t>Consent of Gunderson Dettmer Stough Villeneuve Franklin &amp; Hachigian, LLP (contained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82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23" w:lineRule="exact"/>
        <w:rPr>
          <w:rFonts w:ascii="Times New Roman" w:cs="Times New Roman" w:eastAsia="Times New Roman" w:hAnsi="Times New Roman"/>
          <w:sz w:val="18"/>
          <w:szCs w:val="18"/>
          <w:color w:val="auto"/>
        </w:rPr>
      </w:pPr>
    </w:p>
    <w:p>
      <w:pPr>
        <w:ind w:left="120" w:right="480" w:firstLine="877"/>
        <w:spacing w:after="0" w:line="284" w:lineRule="auto"/>
        <w:tabs>
          <w:tab w:leader="none" w:pos="1391" w:val="left"/>
        </w:tabs>
        <w:numPr>
          <w:ilvl w:val="1"/>
          <w:numId w:val="1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All schedules have been omitted because the information required to be presented in them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or is shown in the financial statements or related notes.</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120" w:right="720" w:firstLine="881"/>
        <w:spacing w:after="0" w:line="312" w:lineRule="auto"/>
        <w:rPr>
          <w:sz w:val="20"/>
          <w:szCs w:val="20"/>
          <w:color w:val="auto"/>
        </w:rPr>
      </w:pPr>
      <w:r>
        <w:rPr>
          <w:rFonts w:ascii="Times New Roman" w:cs="Times New Roman" w:eastAsia="Times New Roman" w:hAnsi="Times New Roman"/>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40"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52" w:lineRule="exact"/>
        <w:rPr>
          <w:sz w:val="20"/>
          <w:szCs w:val="20"/>
          <w:color w:val="auto"/>
        </w:rPr>
      </w:pPr>
    </w:p>
    <w:p>
      <w:pPr>
        <w:ind w:left="1420" w:right="80" w:hanging="427"/>
        <w:spacing w:after="0" w:line="261" w:lineRule="auto"/>
        <w:tabs>
          <w:tab w:leader="none" w:pos="14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as amended, the information omitted from the form of prospectus filed as part of this registration statement in reliance upon Rule 430A and contained in a form of prospectus filed by the registrant pursuant to Rule 424(b)(1) or (4) or 497(h) under the Securities Act of 1933, as amended, shall be deemed to be part of this registration statement as of the time it was declared effective.</w:t>
      </w:r>
    </w:p>
    <w:p>
      <w:pPr>
        <w:spacing w:after="0" w:line="206" w:lineRule="exact"/>
        <w:rPr>
          <w:rFonts w:ascii="Times New Roman" w:cs="Times New Roman" w:eastAsia="Times New Roman" w:hAnsi="Times New Roman"/>
          <w:sz w:val="18"/>
          <w:szCs w:val="18"/>
          <w:color w:val="auto"/>
        </w:rPr>
      </w:pPr>
    </w:p>
    <w:p>
      <w:pPr>
        <w:ind w:left="1420" w:right="380" w:hanging="427"/>
        <w:spacing w:after="0" w:line="266" w:lineRule="auto"/>
        <w:tabs>
          <w:tab w:leader="none" w:pos="14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455" w:right="47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w:t>
      </w:r>
    </w:p>
    <w:p>
      <w:pPr>
        <w:spacing w:after="0" w:line="27" w:lineRule="exact"/>
        <w:rPr>
          <w:sz w:val="20"/>
          <w:szCs w:val="20"/>
          <w:color w:val="auto"/>
        </w:rPr>
      </w:pPr>
    </w:p>
    <w:p>
      <w:pPr>
        <w:ind w:left="120"/>
        <w:spacing w:after="0"/>
        <w:tabs>
          <w:tab w:leader="none" w:pos="8720" w:val="left"/>
          <w:tab w:leader="none" w:pos="9720" w:val="left"/>
        </w:tabs>
        <w:rPr>
          <w:sz w:val="20"/>
          <w:szCs w:val="20"/>
          <w:color w:val="auto"/>
        </w:rPr>
      </w:pPr>
      <w:r>
        <w:rPr>
          <w:rFonts w:ascii="Times New Roman" w:cs="Times New Roman" w:eastAsia="Times New Roman" w:hAnsi="Times New Roman"/>
          <w:sz w:val="18"/>
          <w:szCs w:val="18"/>
          <w:color w:val="auto"/>
        </w:rPr>
        <w:t>signed on its behalf by the undersigned, thereunto duly authorized, in the City of Irvine, State of California, on this</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8"/>
          <w:szCs w:val="18"/>
          <w:color w:val="auto"/>
        </w:rPr>
        <w:t>, 2020.</w:t>
      </w:r>
    </w:p>
    <w:p>
      <w:pPr>
        <w:spacing w:after="0" w:line="2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Bobak Azamian, M.D., Ph.D.</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Bobak Azamian and Leo M. Greenstein, and each of them, as his or her true and lawful attorney-in-fact and agent with full power of substitution, for him or her in any and all capacities, to sign any and all amendments to this registration statement (including post-effective amendments) and any registration statement related thereto filed pursuant to Rule 462(b) increasing the number of securities for which registration is sought, and to file the same, with all exhibits thereto and other documents in connection therewith, with the SEC, granting unto said attorney-in-fact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his or her substitute, may lawfully do or cause to be done by virtue hereof.</w:t>
      </w:r>
    </w:p>
    <w:p>
      <w:pPr>
        <w:spacing w:after="0" w:line="192" w:lineRule="exact"/>
        <w:rPr>
          <w:sz w:val="20"/>
          <w:szCs w:val="20"/>
          <w:color w:val="auto"/>
        </w:rPr>
      </w:pPr>
    </w:p>
    <w:p>
      <w:pPr>
        <w:ind w:left="120" w:right="540" w:firstLine="88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780" w:type="dxa"/>
            <w:vAlign w:val="bottom"/>
          </w:tcPr>
          <w:p>
            <w:pPr>
              <w:spacing w:after="0"/>
              <w:rPr>
                <w:sz w:val="15"/>
                <w:szCs w:val="15"/>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425"/>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80" w:type="dxa"/>
            <w:vAlign w:val="bottom"/>
          </w:tcPr>
          <w:p>
            <w:pPr>
              <w:spacing w:after="0"/>
              <w:rPr>
                <w:sz w:val="24"/>
                <w:szCs w:val="24"/>
                <w:color w:val="auto"/>
              </w:rPr>
            </w:pP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Bobak Azamian, M.D., Ph.D.</w:t>
            </w: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80" w:type="dxa"/>
            <w:vAlign w:val="bottom"/>
          </w:tcPr>
          <w:p>
            <w:pPr>
              <w:spacing w:after="0"/>
              <w:rPr>
                <w:sz w:val="19"/>
                <w:szCs w:val="19"/>
                <w:color w:val="auto"/>
              </w:rPr>
            </w:pPr>
          </w:p>
        </w:tc>
      </w:tr>
      <w:tr>
        <w:trPr>
          <w:trHeight w:val="427"/>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 w:type="dxa"/>
            <w:vAlign w:val="bottom"/>
          </w:tcPr>
          <w:p>
            <w:pPr>
              <w:spacing w:after="0"/>
              <w:rPr>
                <w:sz w:val="24"/>
                <w:szCs w:val="24"/>
                <w:color w:val="auto"/>
              </w:rPr>
            </w:pPr>
          </w:p>
        </w:tc>
      </w:tr>
      <w:tr>
        <w:trPr>
          <w:trHeight w:val="176"/>
        </w:trPr>
        <w:tc>
          <w:tcPr>
            <w:tcW w:w="496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auto"/>
              </w:rPr>
              <w:t>Leo M. Greenstein</w:t>
            </w:r>
          </w:p>
        </w:tc>
        <w:tc>
          <w:tcPr>
            <w:tcW w:w="498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i w:val="1"/>
                <w:iCs w:val="1"/>
                <w:color w:val="auto"/>
              </w:rPr>
              <w:t>(Principal Financial Officer and</w:t>
            </w:r>
          </w:p>
        </w:tc>
        <w:tc>
          <w:tcPr>
            <w:tcW w:w="280" w:type="dxa"/>
            <w:vAlign w:val="bottom"/>
          </w:tcPr>
          <w:p>
            <w:pPr>
              <w:spacing w:after="0"/>
              <w:rPr>
                <w:sz w:val="15"/>
                <w:szCs w:val="15"/>
                <w:color w:val="auto"/>
              </w:rPr>
            </w:pPr>
          </w:p>
        </w:tc>
      </w:tr>
      <w:tr>
        <w:trPr>
          <w:trHeight w:val="236"/>
        </w:trPr>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80" w:type="dxa"/>
            <w:vAlign w:val="bottom"/>
          </w:tcPr>
          <w:p>
            <w:pPr>
              <w:spacing w:after="0"/>
              <w:rPr>
                <w:sz w:val="20"/>
                <w:szCs w:val="20"/>
                <w:color w:val="auto"/>
              </w:rPr>
            </w:pPr>
          </w:p>
        </w:tc>
      </w:tr>
      <w:tr>
        <w:trPr>
          <w:trHeight w:val="445"/>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w:t>
            </w:r>
          </w:p>
        </w:tc>
        <w:tc>
          <w:tcPr>
            <w:tcW w:w="280" w:type="dxa"/>
            <w:vAlign w:val="bottom"/>
          </w:tcPr>
          <w:p>
            <w:pPr>
              <w:spacing w:after="0"/>
              <w:rPr>
                <w:sz w:val="24"/>
                <w:szCs w:val="24"/>
                <w:color w:val="auto"/>
              </w:rPr>
            </w:pP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Ackermann, Ph.D.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27"/>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Bhaskar Chaudhuri, Ph.D.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27"/>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Andrew Goldberg, M.D.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27"/>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William J. Link, Ph.D.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27"/>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spacing w:after="0"/>
              <w:rPr>
                <w:sz w:val="24"/>
                <w:szCs w:val="24"/>
                <w:color w:val="auto"/>
              </w:rPr>
            </w:pP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Jason Tester</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60"/>
        </w:trPr>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II-5</w:t>
            </w:r>
          </w:p>
        </w:tc>
        <w:tc>
          <w:tcPr>
            <w:tcW w:w="2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decimal"/>
      <w:start w:val="1"/>
    </w:lvl>
  </w:abstractNum>
  <w:abstractNum w:abstractNumId="1">
    <w:nsid w:val="540A471C"/>
    <w:multiLevelType w:val="hybridMultilevel"/>
    <w:lvl w:ilvl="0">
      <w:lvlJc w:val="left"/>
      <w:lvlText w:val="•"/>
      <w:numFmt w:val="bullet"/>
      <w:start w:val="1"/>
    </w:lvl>
    <w:lvl w:ilvl="1">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lvl w:ilvl="1">
      <w:lvlJc w:val="left"/>
      <w:lvlText w:val="-"/>
      <w:numFmt w:val="bullet"/>
      <w:start w:val="1"/>
    </w:lvl>
  </w:abstractNum>
  <w:abstractNum w:abstractNumId="5">
    <w:nsid w:val="BF72B14"/>
    <w:multiLevelType w:val="hybridMultilevel"/>
    <w:lvl w:ilvl="0">
      <w:lvlJc w:val="left"/>
      <w:lvlText w:val="•"/>
      <w:numFmt w:val="bullet"/>
      <w:start w:val="1"/>
    </w:lvl>
    <w:lvl w:ilvl="1">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lvl w:ilvl="1">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lvl w:ilvl="1">
      <w:lvlJc w:val="left"/>
      <w:lvlText w:val="-"/>
      <w:numFmt w:val="bullet"/>
      <w:start w:val="1"/>
    </w:lvl>
  </w:abstractNum>
  <w:abstractNum w:abstractNumId="13">
    <w:nsid w:val="4962813B"/>
    <w:multiLevelType w:val="hybridMultilevel"/>
    <w:lvl w:ilvl="0">
      <w:lvlJc w:val="left"/>
      <w:lvlText w:val="(%1)"/>
      <w:numFmt w:val="decimal"/>
      <w:start w:val="1"/>
    </w:lvl>
    <w:lvl w:ilvl="1">
      <w:lvlJc w:val="left"/>
      <w:lvlText w:val="-"/>
      <w:numFmt w:val="bullet"/>
      <w:start w:val="1"/>
    </w:lvl>
  </w:abstractNum>
  <w:abstractNum w:abstractNumId="14">
    <w:nsid w:val="60B6DF70"/>
    <w:multiLevelType w:val="hybridMultilevel"/>
    <w:lvl w:ilvl="0">
      <w:lvlJc w:val="left"/>
      <w:lvlText w:val="(%1)"/>
      <w:numFmt w:val="decimal"/>
      <w:start w:val="2"/>
    </w:lvl>
  </w:abstractNum>
  <w:abstractNum w:abstractNumId="15">
    <w:nsid w:val="6A5EE64"/>
    <w:multiLevelType w:val="hybridMultilevel"/>
    <w:lvl w:ilvl="0">
      <w:lvlJc w:val="left"/>
      <w:lvlText w:val="(%1)"/>
      <w:numFmt w:val="decimal"/>
      <w:start w:val="3"/>
    </w:lvl>
    <w:lvl w:ilvl="1">
      <w:lvlJc w:val="left"/>
      <w:lvlText w:val="-"/>
      <w:numFmt w:val="bullet"/>
      <w:start w:val="1"/>
    </w:lvl>
  </w:abstractNum>
  <w:abstractNum w:abstractNumId="16">
    <w:nsid w:val="14330624"/>
    <w:multiLevelType w:val="hybridMultilevel"/>
    <w:lvl w:ilvl="0">
      <w:lvlJc w:val="left"/>
      <w:lvlText w:val="•"/>
      <w:numFmt w:val="bullet"/>
      <w:start w:val="1"/>
    </w:lvl>
    <w:lvl w:ilvl="1">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lvl w:ilvl="1">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lvl w:ilvl="1">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lvl w:ilvl="1">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lvl w:ilvl="1">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lvl w:ilvl="1">
      <w:lvlJc w:val="left"/>
      <w:lvlText w:val="-"/>
      <w:numFmt w:val="bullet"/>
      <w:start w:val="1"/>
    </w:lvl>
  </w:abstractNum>
  <w:abstractNum w:abstractNumId="30">
    <w:nsid w:val="3222E7CD"/>
    <w:multiLevelType w:val="hybridMultilevel"/>
    <w:lvl w:ilvl="0">
      <w:lvlJc w:val="left"/>
      <w:lvlText w:val="•"/>
      <w:numFmt w:val="bullet"/>
      <w:start w:val="1"/>
    </w:lvl>
    <w:lvl w:ilvl="1">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lvl w:ilvl="1">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lvl w:ilvl="1">
      <w:lvlJc w:val="left"/>
      <w:lvlText w:val="-"/>
      <w:numFmt w:val="bullet"/>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
      <w:numFmt w:val="bullet"/>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
      <w:numFmt w:val="bullet"/>
      <w:start w:val="1"/>
    </w:lvl>
    <w:lvl w:ilvl="1">
      <w:lvlJc w:val="left"/>
      <w:lvlText w:val="-"/>
      <w:numFmt w:val="bullet"/>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
      <w:numFmt w:val="bullet"/>
      <w:start w:val="1"/>
    </w:lvl>
    <w:lvl w:ilvl="1">
      <w:lvlJc w:val="left"/>
      <w:lvlText w:val="-"/>
      <w:numFmt w:val="bullet"/>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
      <w:numFmt w:val="bullet"/>
      <w:start w:val="1"/>
    </w:lvl>
    <w:lvl w:ilvl="1">
      <w:lvlJc w:val="left"/>
      <w:lvlText w:val="-"/>
      <w:numFmt w:val="bullet"/>
      <w:start w:val="1"/>
    </w:lvl>
  </w:abstractNum>
  <w:abstractNum w:abstractNumId="49">
    <w:nsid w:val="6AA78F7F"/>
    <w:multiLevelType w:val="hybridMultilevel"/>
    <w:lvl w:ilvl="0">
      <w:lvlJc w:val="left"/>
      <w:lvlText w:val="•"/>
      <w:numFmt w:val="bullet"/>
      <w:start w:val="1"/>
    </w:lvl>
  </w:abstractNum>
  <w:abstractNum w:abstractNumId="50">
    <w:nsid w:val="7672BD23"/>
    <w:multiLevelType w:val="hybridMultilevel"/>
    <w:lvl w:ilvl="0">
      <w:lvlJc w:val="left"/>
      <w:lvlText w:val="•"/>
      <w:numFmt w:val="bullet"/>
      <w:start w:val="1"/>
    </w:lvl>
  </w:abstractNum>
  <w:abstractNum w:abstractNumId="51">
    <w:nsid w:val="6FC75AF8"/>
    <w:multiLevelType w:val="hybridMultilevel"/>
    <w:lvl w:ilvl="0">
      <w:lvlJc w:val="left"/>
      <w:lvlText w:val="(%1)"/>
      <w:numFmt w:val="lowerRoman"/>
      <w:start w:val="6"/>
    </w:lvl>
  </w:abstractNum>
  <w:abstractNum w:abstractNumId="52">
    <w:nsid w:val="6A5F7029"/>
    <w:multiLevelType w:val="hybridMultilevel"/>
    <w:lvl w:ilvl="0">
      <w:lvlJc w:val="left"/>
      <w:lvlText w:val="(%1)"/>
      <w:numFmt w:val="lowerRoman"/>
      <w:start w:val="4"/>
    </w:lvl>
  </w:abstractNum>
  <w:abstractNum w:abstractNumId="53">
    <w:nsid w:val="7D5E18F8"/>
    <w:multiLevelType w:val="hybridMultilevel"/>
    <w:lvl w:ilvl="0">
      <w:lvlJc w:val="left"/>
      <w:lvlText w:val="•"/>
      <w:numFmt w:val="bullet"/>
      <w:start w:val="1"/>
    </w:lvl>
    <w:lvl w:ilvl="1">
      <w:lvlJc w:val="left"/>
      <w:lvlText w:val="-"/>
      <w:numFmt w:val="bullet"/>
      <w:start w:val="1"/>
    </w:lvl>
  </w:abstractNum>
  <w:abstractNum w:abstractNumId="54">
    <w:nsid w:val="5F3534A4"/>
    <w:multiLevelType w:val="hybridMultilevel"/>
    <w:lvl w:ilvl="0">
      <w:lvlJc w:val="left"/>
      <w:lvlText w:val="•"/>
      <w:numFmt w:val="bullet"/>
      <w:start w:val="1"/>
    </w:lvl>
    <w:lvl w:ilvl="1">
      <w:lvlJc w:val="left"/>
      <w:lvlText w:val="-"/>
      <w:numFmt w:val="bullet"/>
      <w:start w:val="1"/>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
      <w:numFmt w:val="bullet"/>
      <w:start w:val="1"/>
    </w:lvl>
    <w:lvl w:ilvl="1">
      <w:lvlJc w:val="left"/>
      <w:lvlText w:val="-"/>
      <w:numFmt w:val="bullet"/>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
      <w:numFmt w:val="bullet"/>
      <w:start w:val="1"/>
    </w:lvl>
  </w:abstractNum>
  <w:abstractNum w:abstractNumId="61">
    <w:nsid w:val="71C91298"/>
    <w:multiLevelType w:val="hybridMultilevel"/>
    <w:lvl w:ilvl="0">
      <w:lvlJc w:val="left"/>
      <w:lvlText w:val="•"/>
      <w:numFmt w:val="bullet"/>
      <w:start w:val="1"/>
    </w:lvl>
    <w:lvl w:ilvl="1">
      <w:lvlJc w:val="left"/>
      <w:lvlText w:val="-"/>
      <w:numFmt w:val="bullet"/>
      <w:start w:val="1"/>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
      <w:numFmt w:val="bullet"/>
      <w:start w:val="1"/>
    </w:lvl>
    <w:lvl w:ilvl="1">
      <w:lvlJc w:val="left"/>
      <w:lvlText w:val="-"/>
      <w:numFmt w:val="bullet"/>
      <w:start w:val="1"/>
    </w:lvl>
  </w:abstractNum>
  <w:abstractNum w:abstractNumId="64">
    <w:nsid w:val="1FBFE8E0"/>
    <w:multiLevelType w:val="hybridMultilevel"/>
    <w:lvl w:ilvl="0">
      <w:lvlJc w:val="left"/>
      <w:lvlText w:val="•"/>
      <w:numFmt w:val="bullet"/>
      <w:start w:val="1"/>
    </w:lvl>
  </w:abstractNum>
  <w:abstractNum w:abstractNumId="65">
    <w:nsid w:val="5092CA79"/>
    <w:multiLevelType w:val="hybridMultilevel"/>
    <w:lvl w:ilvl="0">
      <w:lvlJc w:val="left"/>
      <w:lvlText w:val="•"/>
      <w:numFmt w:val="bullet"/>
      <w:start w:val="1"/>
    </w:lvl>
    <w:lvl w:ilvl="1">
      <w:lvlJc w:val="left"/>
      <w:lvlText w:val="-"/>
      <w:numFmt w:val="bullet"/>
      <w:start w:val="1"/>
    </w:lvl>
  </w:abstractNum>
  <w:abstractNum w:abstractNumId="66">
    <w:nsid w:val="1D545C4D"/>
    <w:multiLevelType w:val="hybridMultilevel"/>
    <w:lvl w:ilvl="0">
      <w:lvlJc w:val="left"/>
      <w:lvlText w:val="•"/>
      <w:numFmt w:val="bullet"/>
      <w:start w:val="1"/>
    </w:lvl>
  </w:abstractNum>
  <w:abstractNum w:abstractNumId="67">
    <w:nsid w:val="59ADEA3D"/>
    <w:multiLevelType w:val="hybridMultilevel"/>
    <w:lvl w:ilvl="0">
      <w:lvlJc w:val="left"/>
      <w:lvlText w:val="$"/>
      <w:numFmt w:val="bullet"/>
      <w:start w:val="1"/>
    </w:lvl>
  </w:abstractNum>
  <w:abstractNum w:abstractNumId="68">
    <w:nsid w:val="288F1A34"/>
    <w:multiLevelType w:val="hybridMultilevel"/>
    <w:lvl w:ilvl="0">
      <w:lvlJc w:val="left"/>
      <w:lvlText w:val="•"/>
      <w:numFmt w:val="bullet"/>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
      <w:numFmt w:val="bullet"/>
      <w:start w:val="1"/>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
      <w:numFmt w:val="bullet"/>
      <w:start w:val="1"/>
    </w:lvl>
  </w:abstractNum>
  <w:abstractNum w:abstractNumId="73">
    <w:nsid w:val="1CA0C5FA"/>
    <w:multiLevelType w:val="hybridMultilevel"/>
    <w:lvl w:ilvl="0">
      <w:lvlJc w:val="left"/>
      <w:lvlText w:val="•"/>
      <w:numFmt w:val="bullet"/>
      <w:start w:val="1"/>
    </w:lvl>
  </w:abstractNum>
  <w:abstractNum w:abstractNumId="74">
    <w:nsid w:val="53584BCB"/>
    <w:multiLevelType w:val="hybridMultilevel"/>
    <w:lvl w:ilvl="0">
      <w:lvlJc w:val="left"/>
      <w:lvlText w:val="•"/>
      <w:numFmt w:val="bullet"/>
      <w:start w:val="1"/>
    </w:lvl>
    <w:lvl w:ilvl="1">
      <w:lvlJc w:val="left"/>
      <w:lvlText w:val="-"/>
      <w:numFmt w:val="bullet"/>
      <w:start w:val="1"/>
    </w:lvl>
  </w:abstractNum>
  <w:abstractNum w:abstractNumId="75">
    <w:nsid w:val="415E286C"/>
    <w:multiLevelType w:val="hybridMultilevel"/>
    <w:lvl w:ilvl="0">
      <w:lvlJc w:val="left"/>
      <w:lvlText w:val="$"/>
      <w:numFmt w:val="bullet"/>
      <w:start w:val="1"/>
    </w:lvl>
  </w:abstractNum>
  <w:abstractNum w:abstractNumId="76">
    <w:nsid w:val="7C58FD05"/>
    <w:multiLevelType w:val="hybridMultilevel"/>
    <w:lvl w:ilvl="0">
      <w:lvlJc w:val="left"/>
      <w:lvlText w:val="•"/>
      <w:numFmt w:val="bullet"/>
      <w:start w:val="1"/>
    </w:lvl>
  </w:abstractNum>
  <w:abstractNum w:abstractNumId="77">
    <w:nsid w:val="23D86AAC"/>
    <w:multiLevelType w:val="hybridMultilevel"/>
    <w:lvl w:ilvl="0">
      <w:lvlJc w:val="left"/>
      <w:lvlText w:val="•"/>
      <w:numFmt w:val="bullet"/>
      <w:start w:val="1"/>
    </w:lvl>
  </w:abstractNum>
  <w:abstractNum w:abstractNumId="78">
    <w:nsid w:val="45E6D486"/>
    <w:multiLevelType w:val="hybridMultilevel"/>
    <w:lvl w:ilvl="0">
      <w:lvlJc w:val="left"/>
      <w:lvlText w:val="•"/>
      <w:numFmt w:val="bullet"/>
      <w:start w:val="1"/>
    </w:lvl>
    <w:lvl w:ilvl="1">
      <w:lvlJc w:val="left"/>
      <w:lvlText w:val="-"/>
      <w:numFmt w:val="bullet"/>
      <w:start w:val="1"/>
    </w:lvl>
  </w:abstractNum>
  <w:abstractNum w:abstractNumId="79">
    <w:nsid w:val="5C10FE21"/>
    <w:multiLevelType w:val="hybridMultilevel"/>
    <w:lvl w:ilvl="0">
      <w:lvlJc w:val="left"/>
      <w:lvlText w:val="•"/>
      <w:numFmt w:val="bullet"/>
      <w:start w:val="1"/>
    </w:lvl>
  </w:abstractNum>
  <w:abstractNum w:abstractNumId="80">
    <w:nsid w:val="E7FFA2B"/>
    <w:multiLevelType w:val="hybridMultilevel"/>
    <w:lvl w:ilvl="0">
      <w:lvlJc w:val="left"/>
      <w:lvlText w:val="(%1)"/>
      <w:numFmt w:val="decimal"/>
      <w:start w:val="1"/>
    </w:lvl>
    <w:lvl w:ilvl="1">
      <w:lvlJc w:val="left"/>
      <w:lvlText w:val="-"/>
      <w:numFmt w:val="bullet"/>
      <w:start w:val="1"/>
    </w:lvl>
  </w:abstractNum>
  <w:abstractNum w:abstractNumId="81">
    <w:nsid w:val="3C5991AA"/>
    <w:multiLevelType w:val="hybridMultilevel"/>
    <w:lvl w:ilvl="0">
      <w:lvlJc w:val="left"/>
      <w:lvlText w:val="(%1)"/>
      <w:numFmt w:val="decimal"/>
      <w:start w:val="1"/>
    </w:lvl>
    <w:lvl w:ilvl="1">
      <w:lvlJc w:val="left"/>
      <w:lvlText w:val="-"/>
      <w:numFmt w:val="bullet"/>
      <w:start w:val="1"/>
    </w:lvl>
  </w:abstractNum>
  <w:abstractNum w:abstractNumId="82">
    <w:nsid w:val="4BD8591A"/>
    <w:multiLevelType w:val="hybridMultilevel"/>
    <w:lvl w:ilvl="0">
      <w:lvlJc w:val="left"/>
      <w:lvlText w:val="•"/>
      <w:numFmt w:val="bullet"/>
      <w:start w:val="1"/>
    </w:lvl>
  </w:abstractNum>
  <w:abstractNum w:abstractNumId="83">
    <w:nsid w:val="78DF6A55"/>
    <w:multiLevelType w:val="hybridMultilevel"/>
    <w:lvl w:ilvl="0">
      <w:lvlJc w:val="left"/>
      <w:lvlText w:val="•"/>
      <w:numFmt w:val="bullet"/>
      <w:start w:val="1"/>
    </w:lvl>
  </w:abstractNum>
  <w:abstractNum w:abstractNumId="84">
    <w:nsid w:val="39B7AAA2"/>
    <w:multiLevelType w:val="hybridMultilevel"/>
    <w:lvl w:ilvl="0">
      <w:lvlJc w:val="left"/>
      <w:lvlText w:val="(%1)"/>
      <w:numFmt w:val="lowerRoman"/>
      <w:start w:val="1"/>
    </w:lvl>
  </w:abstractNum>
  <w:abstractNum w:abstractNumId="85">
    <w:nsid w:val="2B0D8DBE"/>
    <w:multiLevelType w:val="hybridMultilevel"/>
    <w:lvl w:ilvl="0">
      <w:lvlJc w:val="left"/>
      <w:lvlText w:val="(%1)"/>
      <w:numFmt w:val="lowerRoman"/>
      <w:start w:val="3"/>
    </w:lvl>
  </w:abstractNum>
  <w:abstractNum w:abstractNumId="86">
    <w:nsid w:val="6C80EC70"/>
    <w:multiLevelType w:val="hybridMultilevel"/>
    <w:lvl w:ilvl="0">
      <w:lvlJc w:val="left"/>
      <w:lvlText w:val="•"/>
      <w:numFmt w:val="bullet"/>
      <w:start w:val="1"/>
    </w:lvl>
    <w:lvl w:ilvl="1">
      <w:lvlJc w:val="left"/>
      <w:lvlText w:val="-"/>
      <w:numFmt w:val="bullet"/>
      <w:start w:val="1"/>
    </w:lvl>
  </w:abstractNum>
  <w:abstractNum w:abstractNumId="87">
    <w:nsid w:val="379E21B5"/>
    <w:multiLevelType w:val="hybridMultilevel"/>
    <w:lvl w:ilvl="0">
      <w:lvlJc w:val="left"/>
      <w:lvlText w:val="•"/>
      <w:numFmt w:val="bullet"/>
      <w:start w:val="1"/>
    </w:lvl>
  </w:abstractNum>
  <w:abstractNum w:abstractNumId="88">
    <w:nsid w:val="69E373"/>
    <w:multiLevelType w:val="hybridMultilevel"/>
    <w:lvl w:ilvl="0">
      <w:lvlJc w:val="left"/>
      <w:lvlText w:val="(%1)"/>
      <w:numFmt w:val="decimal"/>
      <w:start w:val="1"/>
    </w:lvl>
  </w:abstractNum>
  <w:abstractNum w:abstractNumId="89">
    <w:nsid w:val="2C27173B"/>
    <w:multiLevelType w:val="hybridMultilevel"/>
    <w:lvl w:ilvl="0">
      <w:lvlJc w:val="left"/>
      <w:lvlText w:val="•"/>
      <w:numFmt w:val="bullet"/>
      <w:start w:val="1"/>
    </w:lvl>
  </w:abstractNum>
  <w:abstractNum w:abstractNumId="90">
    <w:nsid w:val="4C9B0904"/>
    <w:multiLevelType w:val="hybridMultilevel"/>
    <w:lvl w:ilvl="0">
      <w:lvlJc w:val="left"/>
      <w:lvlText w:val="•"/>
      <w:numFmt w:val="bullet"/>
      <w:start w:val="1"/>
    </w:lvl>
    <w:lvl w:ilvl="1">
      <w:lvlJc w:val="left"/>
      <w:lvlText w:val="-"/>
      <w:numFmt w:val="bullet"/>
      <w:start w:val="1"/>
    </w:lvl>
  </w:abstractNum>
  <w:abstractNum w:abstractNumId="91">
    <w:nsid w:val="6AA7B75C"/>
    <w:multiLevelType w:val="hybridMultilevel"/>
    <w:lvl w:ilvl="0">
      <w:lvlJc w:val="left"/>
      <w:lvlText w:val="•"/>
      <w:numFmt w:val="bullet"/>
      <w:start w:val="1"/>
    </w:lvl>
  </w:abstractNum>
  <w:abstractNum w:abstractNumId="92">
    <w:nsid w:val="1DF029D3"/>
    <w:multiLevelType w:val="hybridMultilevel"/>
    <w:lvl w:ilvl="0">
      <w:lvlJc w:val="left"/>
      <w:lvlText w:val="•"/>
      <w:numFmt w:val="bullet"/>
      <w:start w:val="1"/>
    </w:lvl>
  </w:abstractNum>
  <w:abstractNum w:abstractNumId="93">
    <w:nsid w:val="5675FF36"/>
    <w:multiLevelType w:val="hybridMultilevel"/>
    <w:lvl w:ilvl="0">
      <w:lvlJc w:val="left"/>
      <w:lvlText w:val="•"/>
      <w:numFmt w:val="bullet"/>
      <w:start w:val="1"/>
    </w:lvl>
  </w:abstractNum>
  <w:abstractNum w:abstractNumId="94">
    <w:nsid w:val="3DD15094"/>
    <w:multiLevelType w:val="hybridMultilevel"/>
    <w:lvl w:ilvl="0">
      <w:lvlJc w:val="left"/>
      <w:lvlText w:val="%1)"/>
      <w:numFmt w:val="decimal"/>
      <w:start w:val="1"/>
    </w:lvl>
    <w:lvl w:ilvl="1">
      <w:lvlJc w:val="left"/>
      <w:lvlText w:val="-"/>
      <w:numFmt w:val="bullet"/>
      <w:start w:val="1"/>
    </w:lvl>
  </w:abstractNum>
  <w:abstractNum w:abstractNumId="95">
    <w:nsid w:val="3DB012B3"/>
    <w:multiLevelType w:val="hybridMultilevel"/>
    <w:lvl w:ilvl="0">
      <w:lvlJc w:val="left"/>
      <w:lvlText w:val="•"/>
      <w:numFmt w:val="bullet"/>
      <w:start w:val="1"/>
    </w:lvl>
    <w:lvl w:ilvl="1">
      <w:lvlJc w:val="left"/>
      <w:lvlText w:val="-"/>
      <w:numFmt w:val="bullet"/>
      <w:start w:val="1"/>
    </w:lvl>
  </w:abstractNum>
  <w:abstractNum w:abstractNumId="96">
    <w:nsid w:val="2708C9AF"/>
    <w:multiLevelType w:val="hybridMultilevel"/>
    <w:lvl w:ilvl="0">
      <w:lvlJc w:val="left"/>
      <w:lvlText w:val="•"/>
      <w:numFmt w:val="bullet"/>
      <w:start w:val="1"/>
    </w:lvl>
  </w:abstractNum>
  <w:abstractNum w:abstractNumId="97">
    <w:nsid w:val="5B25ACE2"/>
    <w:multiLevelType w:val="hybridMultilevel"/>
    <w:lvl w:ilvl="0">
      <w:lvlJc w:val="left"/>
      <w:lvlText w:val="•"/>
      <w:numFmt w:val="bullet"/>
      <w:start w:val="1"/>
    </w:lvl>
  </w:abstractNum>
  <w:abstractNum w:abstractNumId="98">
    <w:nsid w:val="175DFCF0"/>
    <w:multiLevelType w:val="hybridMultilevel"/>
    <w:lvl w:ilvl="0">
      <w:lvlJc w:val="left"/>
      <w:lvlText w:val="•"/>
      <w:numFmt w:val="bullet"/>
      <w:start w:val="1"/>
    </w:lvl>
    <w:lvl w:ilvl="1">
      <w:lvlJc w:val="left"/>
      <w:lvlText w:val="-"/>
      <w:numFmt w:val="bullet"/>
      <w:start w:val="1"/>
    </w:lvl>
  </w:abstractNum>
  <w:abstractNum w:abstractNumId="99">
    <w:nsid w:val="4F97E3E4"/>
    <w:multiLevelType w:val="hybridMultilevel"/>
    <w:lvl w:ilvl="0">
      <w:lvlJc w:val="left"/>
      <w:lvlText w:val="•"/>
      <w:numFmt w:val="bullet"/>
      <w:start w:val="1"/>
    </w:lvl>
  </w:abstractNum>
  <w:abstractNum w:abstractNumId="100">
    <w:nsid w:val="53B0A9E"/>
    <w:multiLevelType w:val="hybridMultilevel"/>
    <w:lvl w:ilvl="0">
      <w:lvlJc w:val="left"/>
      <w:lvlText w:val="•"/>
      <w:numFmt w:val="bullet"/>
      <w:start w:val="1"/>
    </w:lvl>
  </w:abstractNum>
  <w:abstractNum w:abstractNumId="101">
    <w:nsid w:val="34FD6B4F"/>
    <w:multiLevelType w:val="hybridMultilevel"/>
    <w:lvl w:ilvl="0">
      <w:lvlJc w:val="left"/>
      <w:lvlText w:val="•"/>
      <w:numFmt w:val="bullet"/>
      <w:start w:val="1"/>
    </w:lvl>
    <w:lvl w:ilvl="1">
      <w:lvlJc w:val="left"/>
      <w:lvlText w:val="-"/>
      <w:numFmt w:val="bullet"/>
      <w:start w:val="1"/>
    </w:lvl>
  </w:abstractNum>
  <w:abstractNum w:abstractNumId="102">
    <w:nsid w:val="5915FF32"/>
    <w:multiLevelType w:val="hybridMultilevel"/>
    <w:lvl w:ilvl="0">
      <w:lvlJc w:val="left"/>
      <w:lvlText w:val="•"/>
      <w:numFmt w:val="bullet"/>
      <w:start w:val="1"/>
    </w:lvl>
  </w:abstractNum>
  <w:abstractNum w:abstractNumId="103">
    <w:nsid w:val="56438D15"/>
    <w:multiLevelType w:val="hybridMultilevel"/>
    <w:lvl w:ilvl="0">
      <w:lvlJc w:val="left"/>
      <w:lvlText w:val="•"/>
      <w:numFmt w:val="bullet"/>
      <w:start w:val="1"/>
    </w:lvl>
  </w:abstractNum>
  <w:abstractNum w:abstractNumId="104">
    <w:nsid w:val="519E3149"/>
    <w:multiLevelType w:val="hybridMultilevel"/>
    <w:lvl w:ilvl="0">
      <w:lvlJc w:val="left"/>
      <w:lvlText w:val="(%1)"/>
      <w:numFmt w:val="decimal"/>
      <w:start w:val="1"/>
    </w:lvl>
  </w:abstractNum>
  <w:abstractNum w:abstractNumId="105">
    <w:nsid w:val="2C6E4AFD"/>
    <w:multiLevelType w:val="hybridMultilevel"/>
    <w:lvl w:ilvl="0">
      <w:lvlJc w:val="left"/>
      <w:lvlText w:val="(%1)"/>
      <w:numFmt w:val="decimal"/>
      <w:start w:val="1"/>
    </w:lvl>
  </w:abstractNum>
  <w:abstractNum w:abstractNumId="106">
    <w:nsid w:val="17A1B582"/>
    <w:multiLevelType w:val="hybridMultilevel"/>
    <w:lvl w:ilvl="0">
      <w:lvlJc w:val="left"/>
      <w:lvlText w:val="•"/>
      <w:numFmt w:val="bullet"/>
      <w:start w:val="1"/>
    </w:lvl>
  </w:abstractNum>
  <w:abstractNum w:abstractNumId="107">
    <w:nsid w:val="4DF72E4E"/>
    <w:multiLevelType w:val="hybridMultilevel"/>
    <w:lvl w:ilvl="0">
      <w:lvlJc w:val="left"/>
      <w:lvlText w:val="•"/>
      <w:numFmt w:val="bullet"/>
      <w:start w:val="1"/>
    </w:lvl>
  </w:abstractNum>
  <w:abstractNum w:abstractNumId="108">
    <w:nsid w:val="5046B5A9"/>
    <w:multiLevelType w:val="hybridMultilevel"/>
    <w:lvl w:ilvl="0">
      <w:lvlJc w:val="left"/>
      <w:lvlText w:val="•"/>
      <w:numFmt w:val="bullet"/>
      <w:start w:val="1"/>
    </w:lvl>
  </w:abstractNum>
  <w:abstractNum w:abstractNumId="109">
    <w:nsid w:val="5D888A08"/>
    <w:multiLevelType w:val="hybridMultilevel"/>
    <w:lvl w:ilvl="0">
      <w:lvlJc w:val="left"/>
      <w:lvlText w:val="•"/>
      <w:numFmt w:val="bullet"/>
      <w:start w:val="1"/>
    </w:lvl>
  </w:abstractNum>
  <w:abstractNum w:abstractNumId="110">
    <w:nsid w:val="2A082C70"/>
    <w:multiLevelType w:val="hybridMultilevel"/>
    <w:lvl w:ilvl="0">
      <w:lvlJc w:val="left"/>
      <w:lvlText w:val="•"/>
      <w:numFmt w:val="bullet"/>
      <w:start w:val="1"/>
    </w:lvl>
  </w:abstractNum>
  <w:abstractNum w:abstractNumId="111">
    <w:nsid w:val="5EC6AFD4"/>
    <w:multiLevelType w:val="hybridMultilevel"/>
    <w:lvl w:ilvl="0">
      <w:lvlJc w:val="left"/>
      <w:lvlText w:val="•"/>
      <w:numFmt w:val="bullet"/>
      <w:start w:val="1"/>
    </w:lvl>
  </w:abstractNum>
  <w:abstractNum w:abstractNumId="112">
    <w:nsid w:val="19E21BB2"/>
    <w:multiLevelType w:val="hybridMultilevel"/>
    <w:lvl w:ilvl="0">
      <w:lvlJc w:val="left"/>
      <w:lvlText w:val="•"/>
      <w:numFmt w:val="bullet"/>
      <w:start w:val="1"/>
    </w:lvl>
  </w:abstractNum>
  <w:abstractNum w:abstractNumId="113">
    <w:nsid w:val="75E0858A"/>
    <w:multiLevelType w:val="hybridMultilevel"/>
    <w:lvl w:ilvl="0">
      <w:lvlJc w:val="left"/>
      <w:lvlText w:val="•"/>
      <w:numFmt w:val="bullet"/>
      <w:start w:val="1"/>
    </w:lvl>
    <w:lvl w:ilvl="1">
      <w:lvlJc w:val="left"/>
      <w:lvlText w:val="-"/>
      <w:numFmt w:val="bullet"/>
      <w:start w:val="1"/>
    </w:lvl>
  </w:abstractNum>
  <w:abstractNum w:abstractNumId="114">
    <w:nsid w:val="57A61A29"/>
    <w:multiLevelType w:val="hybridMultilevel"/>
    <w:lvl w:ilvl="0">
      <w:lvlJc w:val="left"/>
      <w:lvlText w:val="•"/>
      <w:numFmt w:val="bullet"/>
      <w:start w:val="1"/>
    </w:lvl>
  </w:abstractNum>
  <w:abstractNum w:abstractNumId="115">
    <w:nsid w:val="5399C654"/>
    <w:multiLevelType w:val="hybridMultilevel"/>
    <w:lvl w:ilvl="0">
      <w:lvlJc w:val="left"/>
      <w:lvlText w:val="•"/>
      <w:numFmt w:val="bullet"/>
      <w:start w:val="1"/>
    </w:lvl>
    <w:lvl w:ilvl="1">
      <w:lvlJc w:val="left"/>
      <w:lvlText w:val="-"/>
      <w:numFmt w:val="bullet"/>
      <w:start w:val="1"/>
    </w:lvl>
  </w:abstractNum>
  <w:abstractNum w:abstractNumId="116">
    <w:nsid w:val="20EE1348"/>
    <w:multiLevelType w:val="hybridMultilevel"/>
    <w:lvl w:ilvl="0">
      <w:lvlJc w:val="left"/>
      <w:lvlText w:val="(%1)"/>
      <w:numFmt w:val="decimal"/>
      <w:start w:val="1"/>
    </w:lvl>
  </w:abstractNum>
  <w:abstractNum w:abstractNumId="117">
    <w:nsid w:val="4427069A"/>
    <w:multiLevelType w:val="hybridMultilevel"/>
    <w:lvl w:ilvl="0">
      <w:lvlJc w:val="left"/>
      <w:lvlText w:val="(%1)"/>
      <w:numFmt w:val="decimal"/>
      <w:start w:val="1"/>
    </w:lvl>
  </w:abstractNum>
  <w:abstractNum w:abstractNumId="118">
    <w:nsid w:val="B37E80A"/>
    <w:multiLevelType w:val="hybridMultilevel"/>
    <w:lvl w:ilvl="0">
      <w:lvlJc w:val="left"/>
      <w:lvlText w:val="(%1)"/>
      <w:numFmt w:val="decimal"/>
      <w:start w:val="1"/>
    </w:lvl>
  </w:abstractNum>
  <w:abstractNum w:abstractNumId="119">
    <w:nsid w:val="2157F6BC"/>
    <w:multiLevelType w:val="hybridMultilevel"/>
    <w:lvl w:ilvl="0">
      <w:lvlJc w:val="left"/>
      <w:lvlText w:val="•"/>
      <w:numFmt w:val="bullet"/>
      <w:start w:val="1"/>
    </w:lvl>
  </w:abstractNum>
  <w:abstractNum w:abstractNumId="120">
    <w:nsid w:val="704E1DD5"/>
    <w:multiLevelType w:val="hybridMultilevel"/>
    <w:lvl w:ilvl="0">
      <w:lvlJc w:val="left"/>
      <w:lvlText w:val="*"/>
      <w:numFmt w:val="bullet"/>
      <w:start w:val="1"/>
    </w:lvl>
  </w:abstractNum>
  <w:abstractNum w:abstractNumId="121">
    <w:nsid w:val="57D2F10E"/>
    <w:multiLevelType w:val="hybridMultilevel"/>
    <w:lvl w:ilvl="0">
      <w:lvlJc w:val="left"/>
      <w:lvlText w:val="(%1)"/>
      <w:numFmt w:val="decimal"/>
      <w:start w:val="1"/>
    </w:lvl>
    <w:lvl w:ilvl="1">
      <w:lvlJc w:val="left"/>
      <w:lvlText w:val="-"/>
      <w:numFmt w:val="bullet"/>
      <w:start w:val="1"/>
    </w:lvl>
  </w:abstractNum>
  <w:abstractNum w:abstractNumId="122">
    <w:nsid w:val="BFFAE18"/>
    <w:multiLevelType w:val="hybridMultilevel"/>
    <w:lvl w:ilvl="0">
      <w:lvlJc w:val="left"/>
      <w:lvlText w:val="•"/>
      <w:numFmt w:val="bullet"/>
      <w:start w:val="1"/>
    </w:lvl>
  </w:abstractNum>
  <w:abstractNum w:abstractNumId="123">
    <w:nsid w:val="E3E47A8"/>
    <w:multiLevelType w:val="hybridMultilevel"/>
    <w:lvl w:ilvl="0">
      <w:lvlJc w:val="left"/>
      <w:lvlText w:val="•"/>
      <w:numFmt w:val="bullet"/>
      <w:start w:val="1"/>
    </w:lvl>
  </w:abstractNum>
  <w:abstractNum w:abstractNumId="124">
    <w:nsid w:val="2E48F044"/>
    <w:multiLevelType w:val="hybridMultilevel"/>
    <w:lvl w:ilvl="0">
      <w:lvlJc w:val="left"/>
      <w:lvlText w:val="•"/>
      <w:numFmt w:val="bullet"/>
      <w:start w:val="1"/>
    </w:lvl>
  </w:abstractNum>
  <w:abstractNum w:abstractNumId="125">
    <w:nsid w:val="49D0FEAC"/>
    <w:multiLevelType w:val="hybridMultilevel"/>
    <w:lvl w:ilvl="0">
      <w:lvlJc w:val="left"/>
      <w:lvlText w:val="•"/>
      <w:numFmt w:val="bullet"/>
      <w:start w:val="1"/>
    </w:lvl>
  </w:abstractNum>
  <w:abstractNum w:abstractNumId="126">
    <w:nsid w:val="4BEE5A5B"/>
    <w:multiLevelType w:val="hybridMultilevel"/>
    <w:lvl w:ilvl="0">
      <w:lvlJc w:val="left"/>
      <w:lvlText w:val="•"/>
      <w:numFmt w:val="bullet"/>
      <w:start w:val="1"/>
    </w:lvl>
  </w:abstractNum>
  <w:abstractNum w:abstractNumId="127">
    <w:nsid w:val="5551B9F3"/>
    <w:multiLevelType w:val="hybridMultilevel"/>
    <w:lvl w:ilvl="0">
      <w:lvlJc w:val="left"/>
      <w:lvlText w:val="•"/>
      <w:numFmt w:val="bullet"/>
      <w:start w:val="1"/>
    </w:lvl>
  </w:abstractNum>
  <w:abstractNum w:abstractNumId="128">
    <w:nsid w:val="24F6AB8E"/>
    <w:multiLevelType w:val="hybridMultilevel"/>
    <w:lvl w:ilvl="0">
      <w:lvlJc w:val="left"/>
      <w:lvlText w:val="•"/>
      <w:numFmt w:val="bullet"/>
      <w:start w:val="1"/>
    </w:lvl>
    <w:lvl w:ilvl="1">
      <w:lvlJc w:val="left"/>
      <w:lvlText w:val="-"/>
      <w:numFmt w:val="bullet"/>
      <w:start w:val="1"/>
    </w:lvl>
  </w:abstractNum>
  <w:abstractNum w:abstractNumId="129">
    <w:nsid w:val="634C574C"/>
    <w:multiLevelType w:val="hybridMultilevel"/>
    <w:lvl w:ilvl="0">
      <w:lvlJc w:val="left"/>
      <w:lvlText w:val="•"/>
      <w:numFmt w:val="bullet"/>
      <w:start w:val="1"/>
    </w:lvl>
  </w:abstractNum>
  <w:abstractNum w:abstractNumId="130">
    <w:nsid w:val="24E99DD7"/>
    <w:multiLevelType w:val="hybridMultilevel"/>
    <w:lvl w:ilvl="0">
      <w:lvlJc w:val="left"/>
      <w:lvlText w:val="•"/>
      <w:numFmt w:val="bullet"/>
      <w:start w:val="1"/>
    </w:lvl>
    <w:lvl w:ilvl="1">
      <w:lvlJc w:val="left"/>
      <w:lvlText w:val="-"/>
      <w:numFmt w:val="bullet"/>
      <w:start w:val="1"/>
    </w:lvl>
  </w:abstractNum>
  <w:abstractNum w:abstractNumId="131">
    <w:nsid w:val="2A31B62D"/>
    <w:multiLevelType w:val="hybridMultilevel"/>
    <w:lvl w:ilvl="0">
      <w:lvlJc w:val="left"/>
      <w:lvlText w:val="•"/>
      <w:numFmt w:val="bullet"/>
      <w:start w:val="1"/>
    </w:lvl>
  </w:abstractNum>
  <w:abstractNum w:abstractNumId="132">
    <w:nsid w:val="1849C29B"/>
    <w:multiLevelType w:val="hybridMultilevel"/>
    <w:lvl w:ilvl="0">
      <w:lvlJc w:val="left"/>
      <w:lvlText w:val="•"/>
      <w:numFmt w:val="bullet"/>
      <w:start w:val="1"/>
    </w:lvl>
  </w:abstractNum>
  <w:abstractNum w:abstractNumId="133">
    <w:nsid w:val="7DFF9D09"/>
    <w:multiLevelType w:val="hybridMultilevel"/>
    <w:lvl w:ilvl="0">
      <w:lvlJc w:val="left"/>
      <w:lvlText w:val="•"/>
      <w:numFmt w:val="bullet"/>
      <w:start w:val="1"/>
    </w:lvl>
  </w:abstractNum>
  <w:abstractNum w:abstractNumId="134">
    <w:nsid w:val="754342"/>
    <w:multiLevelType w:val="hybridMultilevel"/>
    <w:lvl w:ilvl="0">
      <w:lvlJc w:val="left"/>
      <w:lvlText w:val="(%1)"/>
      <w:numFmt w:val="lowerLetter"/>
      <w:start w:val="1"/>
    </w:lvl>
  </w:abstractNum>
  <w:abstractNum w:abstractNumId="135">
    <w:nsid w:val="69E7F3E5"/>
    <w:multiLevelType w:val="hybridMultilevel"/>
    <w:lvl w:ilvl="0">
      <w:lvlJc w:val="left"/>
      <w:lvlText w:val="(%1)"/>
      <w:numFmt w:val="lowerLetter"/>
      <w:start w:val="3"/>
    </w:lvl>
    <w:lvl w:ilvl="1">
      <w:lvlJc w:val="left"/>
      <w:lvlText w:val="-"/>
      <w:numFmt w:val="bullet"/>
      <w:start w:val="1"/>
    </w:lvl>
  </w:abstractNum>
  <w:abstractNum w:abstractNumId="136">
    <w:nsid w:val="2A6DE806"/>
    <w:multiLevelType w:val="hybridMultilevel"/>
    <w:lvl w:ilvl="0">
      <w:lvlJc w:val="left"/>
      <w:lvlText w:val="(%1)"/>
      <w:numFmt w:val="lowerLetter"/>
      <w:start w:val="5"/>
    </w:lvl>
  </w:abstractNum>
  <w:abstractNum w:abstractNumId="137">
    <w:nsid w:val="1816F8C4"/>
    <w:multiLevelType w:val="hybridMultilevel"/>
    <w:lvl w:ilvl="0">
      <w:lvlJc w:val="left"/>
      <w:lvlText w:val="•"/>
      <w:numFmt w:val="bullet"/>
      <w:start w:val="1"/>
    </w:lvl>
  </w:abstractNum>
  <w:abstractNum w:abstractNumId="138">
    <w:nsid w:val="37DF2233"/>
    <w:multiLevelType w:val="hybridMultilevel"/>
    <w:lvl w:ilvl="0">
      <w:lvlJc w:val="left"/>
      <w:lvlText w:val="(%1)"/>
      <w:numFmt w:val="lowerLetter"/>
      <w:start w:val="1"/>
    </w:lvl>
  </w:abstractNum>
  <w:abstractNum w:abstractNumId="139">
    <w:nsid w:val="7AB49DAF"/>
    <w:multiLevelType w:val="hybridMultilevel"/>
    <w:lvl w:ilvl="0">
      <w:lvlJc w:val="left"/>
      <w:lvlText w:val="(%1)"/>
      <w:numFmt w:val="decimal"/>
      <w:start w:val="1"/>
    </w:lvl>
  </w:abstractNum>
  <w:abstractNum w:abstractNumId="140">
    <w:nsid w:val="759F82CD"/>
    <w:multiLevelType w:val="hybridMultilevel"/>
    <w:lvl w:ilvl="0">
      <w:lvlJc w:val="left"/>
      <w:lvlText w:val="%1."/>
      <w:numFmt w:val="decimal"/>
      <w:start w:val="10"/>
    </w:lvl>
  </w:abstractNum>
  <w:abstractNum w:abstractNumId="141">
    <w:nsid w:val="61E74EA3"/>
    <w:multiLevelType w:val="hybridMultilevel"/>
    <w:lvl w:ilvl="0">
      <w:lvlJc w:val="left"/>
      <w:lvlText w:val="(%1)"/>
      <w:numFmt w:val="decimal"/>
      <w:start w:val="2"/>
    </w:lvl>
  </w:abstractNum>
  <w:abstractNum w:abstractNumId="142">
    <w:nsid w:val="597B4D84"/>
    <w:multiLevelType w:val="hybridMultilevel"/>
    <w:lvl w:ilvl="0">
      <w:lvlJc w:val="left"/>
      <w:lvlText w:val="•"/>
      <w:numFmt w:val="bullet"/>
      <w:start w:val="1"/>
    </w:lvl>
  </w:abstractNum>
  <w:abstractNum w:abstractNumId="143">
    <w:nsid w:val="F819E7F"/>
    <w:multiLevelType w:val="hybridMultilevel"/>
    <w:lvl w:ilvl="0">
      <w:lvlJc w:val="left"/>
      <w:lvlText w:val="(%1)"/>
      <w:numFmt w:val="lowerLetter"/>
      <w:start w:val="1"/>
    </w:lvl>
  </w:abstractNum>
  <w:abstractNum w:abstractNumId="144">
    <w:nsid w:val="57C7D42D"/>
    <w:multiLevelType w:val="hybridMultilevel"/>
    <w:lvl w:ilvl="0">
      <w:lvlJc w:val="left"/>
      <w:lvlText w:val="(%1)"/>
      <w:numFmt w:val="lowerLetter"/>
      <w:start w:val="1"/>
    </w:lvl>
  </w:abstractNum>
  <w:abstractNum w:abstractNumId="145">
    <w:nsid w:val="312167AD"/>
    <w:multiLevelType w:val="hybridMultilevel"/>
    <w:lvl w:ilvl="0">
      <w:lvlJc w:val="left"/>
      <w:lvlText w:val="*"/>
      <w:numFmt w:val="bullet"/>
      <w:start w:val="1"/>
    </w:lvl>
    <w:lvl w:ilvl="1">
      <w:lvlJc w:val="left"/>
      <w:lvlText w:val="(%2)"/>
      <w:numFmt w:val="lowerLetter"/>
      <w:start w:val="2"/>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2020-09-25T23:03:50Z</dcterms:created>
  <dcterms:modified xsi:type="dcterms:W3CDTF">2020-09-25T23:03:50Z</dcterms:modified>
</cp:coreProperties>
</file>