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Ackermann Michael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Tarsus Pharmaceuticals,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53,939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1,219,678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1,228,924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53,939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53,939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9,246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9,246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-3622040</wp:posOffset>
            </wp:positionV>
            <wp:extent cx="7033895" cy="36645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64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closing of the Issuer's initial public offering, each share of Series A Preferred Stock and Series B Preferred Stock (collectively, the "Preferred Stock") automatically converted into shares of the Issuer's common stock, par value $0.0001 per share, on a one-for-one basis. The shares of Preferred Stock had no expiration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Leo Greenstein,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7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59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1249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2020-10-20T18:56:59Z</dcterms:created>
  <dcterms:modified xsi:type="dcterms:W3CDTF">2020-10-20T18:56:59Z</dcterms:modified>
</cp:coreProperties>
</file>