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1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9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19"/>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jc w:val="center"/>
        <w:ind w:right="19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(Amendment No.)*</w:t>
      </w:r>
    </w:p>
    <w:p>
      <w:pPr>
        <w:spacing w:after="0" w:line="20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Tarsus Pharmaceuticals, Inc.</w:t>
      </w:r>
    </w:p>
    <w:p>
      <w:pPr>
        <w:spacing w:after="0" w:line="29"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w:t>
      </w:r>
    </w:p>
    <w:p>
      <w:pPr>
        <w:jc w:val="center"/>
        <w:ind w:right="1699"/>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w:t>
      </w:r>
    </w:p>
    <w:p>
      <w:pPr>
        <w:jc w:val="center"/>
        <w:ind w:right="1699"/>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87650L103</w:t>
      </w:r>
    </w:p>
    <w:p>
      <w:pPr>
        <w:spacing w:after="0" w:line="29"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December 31, 2023</w:t>
      </w:r>
    </w:p>
    <w:p>
      <w:pPr>
        <w:spacing w:after="0" w:line="29"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374" w:lineRule="exact"/>
        <w:rPr>
          <w:sz w:val="24"/>
          <w:szCs w:val="24"/>
          <w:color w:val="auto"/>
        </w:rPr>
      </w:pPr>
    </w:p>
    <w:p>
      <w:pPr>
        <w:ind w:right="18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left="540" w:right="7819" w:hanging="6"/>
        <w:spacing w:after="0" w:line="612" w:lineRule="auto"/>
        <w:tabs>
          <w:tab w:leader="none" w:pos="96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0" w:lineRule="exact"/>
        <w:rPr>
          <w:rFonts w:ascii="Courier New" w:cs="Courier New" w:eastAsia="Courier New" w:hAnsi="Courier New"/>
          <w:sz w:val="16"/>
          <w:szCs w:val="16"/>
          <w:color w:val="auto"/>
        </w:rPr>
      </w:pPr>
    </w:p>
    <w:p>
      <w:pPr>
        <w:ind w:right="1699"/>
        <w:spacing w:after="0" w:line="274"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1" w:lineRule="exact"/>
        <w:rPr>
          <w:sz w:val="24"/>
          <w:szCs w:val="24"/>
          <w:color w:val="auto"/>
        </w:rPr>
      </w:pPr>
    </w:p>
    <w:p>
      <w:pPr>
        <w:ind w:right="169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89" w:lineRule="exact"/>
        <w:rPr>
          <w:sz w:val="24"/>
          <w:szCs w:val="24"/>
          <w:color w:val="auto"/>
        </w:rPr>
      </w:pPr>
    </w:p>
    <w:p>
      <w:pPr>
        <w:jc w:val="both"/>
        <w:ind w:right="1819"/>
        <w:spacing w:after="0" w:line="292" w:lineRule="auto"/>
        <w:rPr>
          <w:sz w:val="20"/>
          <w:szCs w:val="20"/>
          <w:color w:val="auto"/>
        </w:rPr>
      </w:pPr>
      <w:r>
        <w:rPr>
          <w:rFonts w:ascii="Courier New" w:cs="Courier New" w:eastAsia="Courier New" w:hAnsi="Courier New"/>
          <w:sz w:val="18"/>
          <w:szCs w:val="18"/>
          <w:color w:val="auto"/>
        </w:rPr>
        <w:t>Persons who respond to the collection of information contained in this form are not required to respond unless the form displays a currently valid OMB control number.</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(3-06)</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No.87650L103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p>
    <w:p>
      <w:pPr>
        <w:ind w:left="740" w:hanging="416"/>
        <w:spacing w:after="0"/>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169"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Morgan Stanley</w:t>
      </w:r>
    </w:p>
    <w:p>
      <w:pPr>
        <w:spacing w:after="0" w:line="29"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I.R.S. # 36-3145972</w:t>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740" w:hanging="416"/>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69"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4"/>
          <w:szCs w:val="24"/>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4.</w:t>
        <w:tab/>
        <w:t>CITIZENSHIP OR PLACE OF ORGANIZATION:</w:t>
      </w:r>
    </w:p>
    <w:p>
      <w:pPr>
        <w:sectPr>
          <w:pgSz w:w="11900" w:h="16838" w:orient="portrait"/>
          <w:cols w:equalWidth="0" w:num="1">
            <w:col w:w="10139"/>
          </w:cols>
          <w:pgMar w:left="320" w:top="1028" w:right="1440" w:bottom="0" w:gutter="0" w:footer="0" w:header="0"/>
        </w:sectPr>
      </w:pPr>
    </w:p>
    <w:bookmarkStart w:id="1" w:name="page2"/>
    <w:bookmarkEnd w:id="1"/>
    <w:p>
      <w:pPr>
        <w:ind w:left="740"/>
        <w:spacing w:after="0"/>
        <w:rPr>
          <w:sz w:val="20"/>
          <w:szCs w:val="20"/>
          <w:color w:val="auto"/>
        </w:rPr>
      </w:pPr>
      <w:r>
        <w:rPr>
          <w:rFonts w:ascii="Courier New" w:cs="Courier New" w:eastAsia="Courier New" w:hAnsi="Courier New"/>
          <w:sz w:val="18"/>
          <w:szCs w:val="18"/>
          <w:color w:val="auto"/>
        </w:rPr>
        <w:t>Delaware.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tbl>
      <w:tblPr>
        <w:tblLayout w:type="fixed"/>
        <w:tblInd w:w="220" w:type="dxa"/>
        <w:tblCellMar>
          <w:top w:w="0" w:type="dxa"/>
          <w:left w:w="0" w:type="dxa"/>
          <w:bottom w:w="0" w:type="dxa"/>
          <w:right w:w="0" w:type="dxa"/>
        </w:tblCellMar>
      </w:tblPr>
      <w:tr>
        <w:trPr>
          <w:trHeight w:val="192"/>
        </w:trPr>
        <w:tc>
          <w:tcPr>
            <w:tcW w:w="1480" w:type="dxa"/>
            <w:vAlign w:val="bottom"/>
          </w:tcPr>
          <w:p>
            <w:pPr>
              <w:ind w:left="100"/>
              <w:spacing w:after="0" w:line="192" w:lineRule="exact"/>
              <w:rPr>
                <w:sz w:val="20"/>
                <w:szCs w:val="20"/>
                <w:color w:val="auto"/>
              </w:rPr>
            </w:pPr>
            <w:r>
              <w:rPr>
                <w:rFonts w:ascii="Courier New" w:cs="Courier New" w:eastAsia="Courier New" w:hAnsi="Courier New"/>
                <w:sz w:val="18"/>
                <w:szCs w:val="18"/>
                <w:color w:val="auto"/>
              </w:rPr>
              <w:t>NUMBER OF</w:t>
            </w:r>
          </w:p>
        </w:tc>
        <w:tc>
          <w:tcPr>
            <w:tcW w:w="720" w:type="dxa"/>
            <w:vAlign w:val="bottom"/>
          </w:tcPr>
          <w:p>
            <w:pPr>
              <w:ind w:left="200"/>
              <w:spacing w:after="0" w:line="192" w:lineRule="exact"/>
              <w:rPr>
                <w:sz w:val="20"/>
                <w:szCs w:val="20"/>
                <w:color w:val="auto"/>
              </w:rPr>
            </w:pPr>
            <w:r>
              <w:rPr>
                <w:rFonts w:ascii="Courier New" w:cs="Courier New" w:eastAsia="Courier New" w:hAnsi="Courier New"/>
                <w:sz w:val="18"/>
                <w:szCs w:val="18"/>
                <w:color w:val="auto"/>
              </w:rPr>
              <w:t>5.</w:t>
            </w:r>
          </w:p>
        </w:tc>
        <w:tc>
          <w:tcPr>
            <w:tcW w:w="6020" w:type="dxa"/>
            <w:vAlign w:val="bottom"/>
          </w:tcPr>
          <w:p>
            <w:pPr>
              <w:spacing w:after="0" w:line="192"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720" w:type="dxa"/>
            <w:vAlign w:val="bottom"/>
            <w:vMerge w:val="restart"/>
          </w:tcPr>
          <w:p>
            <w:pPr>
              <w:ind w:left="200"/>
              <w:spacing w:after="0"/>
              <w:rPr>
                <w:sz w:val="20"/>
                <w:szCs w:val="20"/>
                <w:color w:val="auto"/>
              </w:rPr>
            </w:pPr>
            <w:r>
              <w:rPr>
                <w:rFonts w:ascii="Courier New" w:cs="Courier New" w:eastAsia="Courier New" w:hAnsi="Courier New"/>
                <w:sz w:val="2"/>
                <w:szCs w:val="2"/>
                <w:color w:val="auto"/>
                <w:vertAlign w:val="subscript"/>
              </w:rPr>
              <w:t>6.</w:t>
            </w:r>
            <w:r>
              <w:rPr>
                <w:rFonts w:ascii="Courier New" w:cs="Courier New" w:eastAsia="Courier New" w:hAnsi="Courier New"/>
                <w:sz w:val="1"/>
                <w:szCs w:val="1"/>
                <w:color w:val="auto"/>
              </w:rPr>
              <w:t>--------------------------------------------------------------</w:t>
            </w:r>
          </w:p>
        </w:tc>
        <w:tc>
          <w:tcPr>
            <w:tcW w:w="602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20" w:type="dxa"/>
            <w:vAlign w:val="bottom"/>
            <w:vMerge w:val="continue"/>
          </w:tcPr>
          <w:p>
            <w:pPr>
              <w:spacing w:after="0"/>
              <w:rPr>
                <w:sz w:val="17"/>
                <w:szCs w:val="17"/>
                <w:color w:val="auto"/>
              </w:rPr>
            </w:pPr>
          </w:p>
        </w:tc>
        <w:tc>
          <w:tcPr>
            <w:tcW w:w="6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1,940,433</w:t>
            </w:r>
          </w:p>
        </w:tc>
        <w:tc>
          <w:tcPr>
            <w:tcW w:w="0" w:type="dxa"/>
            <w:vAlign w:val="bottom"/>
          </w:tcPr>
          <w:p>
            <w:pPr>
              <w:spacing w:after="0"/>
              <w:rPr>
                <w:sz w:val="1"/>
                <w:szCs w:val="1"/>
                <w:color w:val="auto"/>
              </w:rPr>
            </w:pP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720" w:type="dxa"/>
            <w:vAlign w:val="bottom"/>
            <w:vMerge w:val="restart"/>
          </w:tcPr>
          <w:p>
            <w:pPr>
              <w:ind w:left="200"/>
              <w:spacing w:after="0"/>
              <w:rPr>
                <w:sz w:val="20"/>
                <w:szCs w:val="20"/>
                <w:color w:val="auto"/>
              </w:rPr>
            </w:pPr>
            <w:r>
              <w:rPr>
                <w:rFonts w:ascii="Courier New" w:cs="Courier New" w:eastAsia="Courier New" w:hAnsi="Courier New"/>
                <w:sz w:val="2"/>
                <w:szCs w:val="2"/>
                <w:color w:val="auto"/>
                <w:vertAlign w:val="subscript"/>
              </w:rPr>
              <w:t>7.</w:t>
            </w:r>
            <w:r>
              <w:rPr>
                <w:rFonts w:ascii="Courier New" w:cs="Courier New" w:eastAsia="Courier New" w:hAnsi="Courier New"/>
                <w:sz w:val="1"/>
                <w:szCs w:val="1"/>
                <w:color w:val="auto"/>
              </w:rPr>
              <w:t>--------------------------------------------------------------</w:t>
            </w:r>
          </w:p>
        </w:tc>
        <w:tc>
          <w:tcPr>
            <w:tcW w:w="6020" w:type="dxa"/>
            <w:vAlign w:val="bottom"/>
            <w:vMerge w:val="restart"/>
          </w:tcPr>
          <w:p>
            <w:pPr>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20" w:type="dxa"/>
            <w:vAlign w:val="bottom"/>
            <w:vMerge w:val="continue"/>
          </w:tcPr>
          <w:p>
            <w:pPr>
              <w:spacing w:after="0"/>
              <w:rPr>
                <w:sz w:val="17"/>
                <w:szCs w:val="17"/>
                <w:color w:val="auto"/>
              </w:rPr>
            </w:pPr>
          </w:p>
        </w:tc>
        <w:tc>
          <w:tcPr>
            <w:tcW w:w="6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WITH:</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20" w:type="dxa"/>
            <w:vAlign w:val="bottom"/>
          </w:tcPr>
          <w:p>
            <w:pPr>
              <w:spacing w:after="0"/>
              <w:rPr>
                <w:sz w:val="20"/>
                <w:szCs w:val="20"/>
                <w:color w:val="auto"/>
              </w:rPr>
            </w:pPr>
            <w:r>
              <w:rPr>
                <w:rFonts w:ascii="Courier New" w:cs="Courier New" w:eastAsia="Courier New" w:hAnsi="Courier New"/>
                <w:sz w:val="18"/>
                <w:szCs w:val="18"/>
                <w:color w:val="auto"/>
              </w:rPr>
              <w:t>1,943,705</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2979" w:hanging="416"/>
        <w:spacing w:after="0" w:line="238" w:lineRule="auto"/>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1,943,705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2119" w:hanging="521"/>
        <w:spacing w:after="0" w:line="238"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4119" w:hanging="521"/>
        <w:spacing w:after="0" w:line="238"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6759" w:hanging="521"/>
        <w:spacing w:after="0" w:line="238"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312" w:right="1440" w:bottom="1440" w:gutter="0" w:footer="0" w:header="0"/>
        </w:sectPr>
      </w:pPr>
    </w:p>
    <w:bookmarkStart w:id="2" w:name="page3"/>
    <w:bookmarkEnd w:id="2"/>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No.87650L103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5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740" w:type="dxa"/>
            <w:vAlign w:val="bottom"/>
          </w:tcPr>
          <w:p>
            <w:pPr>
              <w:ind w:left="280"/>
              <w:spacing w:after="0"/>
              <w:rPr>
                <w:sz w:val="20"/>
                <w:szCs w:val="20"/>
                <w:color w:val="auto"/>
              </w:rPr>
            </w:pPr>
            <w:r>
              <w:rPr>
                <w:rFonts w:ascii="Courier New" w:cs="Courier New" w:eastAsia="Courier New" w:hAnsi="Courier New"/>
                <w:sz w:val="18"/>
                <w:szCs w:val="18"/>
                <w:color w:val="auto"/>
              </w:rPr>
              <w:t>(a)</w:t>
            </w: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Name of Issuer:</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Tarsus Pharmaceuticals, Inc.</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vMerge w:val="restart"/>
          </w:tcPr>
          <w:p>
            <w:pPr>
              <w:ind w:left="280"/>
              <w:spacing w:after="0"/>
              <w:rPr>
                <w:sz w:val="20"/>
                <w:szCs w:val="20"/>
                <w:color w:val="auto"/>
              </w:rPr>
            </w:pPr>
            <w:r>
              <w:rPr>
                <w:rFonts w:ascii="Courier New" w:cs="Courier New" w:eastAsia="Courier New" w:hAnsi="Courier New"/>
                <w:sz w:val="18"/>
                <w:szCs w:val="18"/>
                <w:color w:val="auto"/>
              </w:rPr>
              <w:t>(b)</w:t>
            </w: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Address of Issuer's Principal Executive Offices:</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15440 LAGUNA CANYON ROAD</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IRVINE CA 92618</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UNITED STATES OF AMERICA</w:t>
            </w:r>
          </w:p>
        </w:tc>
        <w:tc>
          <w:tcPr>
            <w:tcW w:w="0" w:type="dxa"/>
            <w:vAlign w:val="bottom"/>
          </w:tcPr>
          <w:p>
            <w:pPr>
              <w:spacing w:after="0"/>
              <w:rPr>
                <w:sz w:val="1"/>
                <w:szCs w:val="1"/>
                <w:color w:val="auto"/>
              </w:rPr>
            </w:pPr>
          </w:p>
        </w:tc>
      </w:tr>
      <w:tr>
        <w:trPr>
          <w:trHeight w:val="203"/>
        </w:trPr>
        <w:tc>
          <w:tcPr>
            <w:tcW w:w="1000" w:type="dxa"/>
            <w:vAlign w:val="bottom"/>
            <w:vMerge w:val="restart"/>
          </w:tcPr>
          <w:p>
            <w:pPr>
              <w:spacing w:after="0"/>
              <w:rPr>
                <w:sz w:val="20"/>
                <w:szCs w:val="20"/>
                <w:color w:val="auto"/>
              </w:rPr>
            </w:pPr>
            <w:r>
              <w:rPr>
                <w:rFonts w:ascii="Courier New" w:cs="Courier New" w:eastAsia="Courier New" w:hAnsi="Courier New"/>
                <w:sz w:val="18"/>
                <w:szCs w:val="18"/>
                <w:color w:val="auto"/>
              </w:rPr>
              <w:t>Item 2.</w:t>
            </w:r>
          </w:p>
        </w:tc>
        <w:tc>
          <w:tcPr>
            <w:tcW w:w="740" w:type="dxa"/>
            <w:vAlign w:val="bottom"/>
            <w:vMerge w:val="restart"/>
          </w:tcPr>
          <w:p>
            <w:pPr>
              <w:ind w:left="280"/>
              <w:spacing w:after="0"/>
              <w:rPr>
                <w:sz w:val="20"/>
                <w:szCs w:val="20"/>
                <w:color w:val="auto"/>
              </w:rPr>
            </w:pPr>
            <w:r>
              <w:rPr>
                <w:rFonts w:ascii="Courier New" w:cs="Courier New" w:eastAsia="Courier New" w:hAnsi="Courier New"/>
                <w:sz w:val="18"/>
                <w:szCs w:val="18"/>
                <w:color w:val="auto"/>
              </w:rPr>
              <w:t>(a)</w:t>
            </w: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1000" w:type="dxa"/>
            <w:vAlign w:val="bottom"/>
            <w:vMerge w:val="continue"/>
          </w:tcPr>
          <w:p>
            <w:pPr>
              <w:spacing w:after="0"/>
              <w:rPr>
                <w:sz w:val="24"/>
                <w:szCs w:val="24"/>
                <w:color w:val="auto"/>
              </w:rPr>
            </w:pPr>
          </w:p>
        </w:tc>
        <w:tc>
          <w:tcPr>
            <w:tcW w:w="740" w:type="dxa"/>
            <w:vAlign w:val="bottom"/>
            <w:vMerge w:val="continue"/>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Name of Person Filing:</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(1) Morgan Stanley</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vMerge w:val="restart"/>
          </w:tcPr>
          <w:p>
            <w:pPr>
              <w:ind w:left="280"/>
              <w:spacing w:after="0"/>
              <w:rPr>
                <w:sz w:val="20"/>
                <w:szCs w:val="20"/>
                <w:color w:val="auto"/>
              </w:rPr>
            </w:pPr>
            <w:r>
              <w:rPr>
                <w:rFonts w:ascii="Courier New" w:cs="Courier New" w:eastAsia="Courier New" w:hAnsi="Courier New"/>
                <w:sz w:val="18"/>
                <w:szCs w:val="18"/>
                <w:color w:val="auto"/>
              </w:rPr>
              <w:t>(b)</w:t>
            </w: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Address of Principal Business Office, or if None, Residence:</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(1) 1585 Broadway New York, NY 10036</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vMerge w:val="restart"/>
          </w:tcPr>
          <w:p>
            <w:pPr>
              <w:ind w:left="280"/>
              <w:spacing w:after="0"/>
              <w:rPr>
                <w:sz w:val="20"/>
                <w:szCs w:val="20"/>
                <w:color w:val="auto"/>
              </w:rPr>
            </w:pPr>
            <w:r>
              <w:rPr>
                <w:rFonts w:ascii="Courier New" w:cs="Courier New" w:eastAsia="Courier New" w:hAnsi="Courier New"/>
                <w:sz w:val="18"/>
                <w:szCs w:val="18"/>
                <w:color w:val="auto"/>
              </w:rPr>
              <w:t>(c)</w:t>
            </w: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Citizenship:</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(1) Delaware.</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vMerge w:val="restart"/>
          </w:tcPr>
          <w:p>
            <w:pPr>
              <w:ind w:left="280"/>
              <w:spacing w:after="0"/>
              <w:rPr>
                <w:sz w:val="20"/>
                <w:szCs w:val="20"/>
                <w:color w:val="auto"/>
              </w:rPr>
            </w:pPr>
            <w:r>
              <w:rPr>
                <w:rFonts w:ascii="Courier New" w:cs="Courier New" w:eastAsia="Courier New" w:hAnsi="Courier New"/>
                <w:sz w:val="18"/>
                <w:szCs w:val="18"/>
                <w:color w:val="auto"/>
              </w:rPr>
              <w:t>(d)</w:t>
            </w: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Title of Class of Securities:</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Common Stock</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vMerge w:val="restart"/>
          </w:tcPr>
          <w:p>
            <w:pPr>
              <w:ind w:left="280"/>
              <w:spacing w:after="0"/>
              <w:rPr>
                <w:sz w:val="20"/>
                <w:szCs w:val="20"/>
                <w:color w:val="auto"/>
              </w:rPr>
            </w:pPr>
            <w:r>
              <w:rPr>
                <w:rFonts w:ascii="Courier New" w:cs="Courier New" w:eastAsia="Courier New" w:hAnsi="Courier New"/>
                <w:sz w:val="18"/>
                <w:szCs w:val="18"/>
                <w:color w:val="auto"/>
              </w:rPr>
              <w:t>(e)</w:t>
            </w: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CUSIP Number:</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87650L103</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40" w:type="dxa"/>
            <w:vAlign w:val="bottom"/>
            <w:gridSpan w:val="2"/>
          </w:tcPr>
          <w:p>
            <w:pPr>
              <w:ind w:left="280"/>
              <w:spacing w:after="0"/>
              <w:rPr>
                <w:sz w:val="20"/>
                <w:szCs w:val="20"/>
                <w:color w:val="auto"/>
              </w:rPr>
            </w:pPr>
            <w:r>
              <w:rPr>
                <w:rFonts w:ascii="Courier New" w:cs="Courier New" w:eastAsia="Courier New" w:hAnsi="Courier New"/>
                <w:sz w:val="18"/>
                <w:szCs w:val="18"/>
                <w:color w:val="auto"/>
              </w:rPr>
              <w:t>If this statement is filed pursuant to Sections 240.13d-1(b) or</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7440" w:type="dxa"/>
            <w:vAlign w:val="bottom"/>
            <w:gridSpan w:val="2"/>
          </w:tcPr>
          <w:p>
            <w:pPr>
              <w:ind w:left="280"/>
              <w:spacing w:after="0"/>
              <w:rPr>
                <w:sz w:val="20"/>
                <w:szCs w:val="20"/>
                <w:color w:val="auto"/>
              </w:rPr>
            </w:pPr>
            <w:r>
              <w:rPr>
                <w:rFonts w:ascii="Courier New" w:cs="Courier New" w:eastAsia="Courier New" w:hAnsi="Courier New"/>
                <w:sz w:val="18"/>
                <w:szCs w:val="18"/>
                <w:color w:val="auto"/>
              </w:rPr>
              <w:t>240.13d-2(b) or (c), check whether the person filing is a:</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220" w:right="2119" w:hanging="948"/>
        <w:spacing w:after="0" w:line="346" w:lineRule="auto"/>
        <w:tabs>
          <w:tab w:leader="none" w:pos="1694"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19"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3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(15 U.S.C. 78c).</w:t>
      </w:r>
    </w:p>
    <w:p>
      <w:pPr>
        <w:spacing w:after="0" w:line="169" w:lineRule="exact"/>
        <w:rPr>
          <w:sz w:val="20"/>
          <w:szCs w:val="20"/>
          <w:color w:val="auto"/>
        </w:rPr>
      </w:pPr>
    </w:p>
    <w:p>
      <w:pPr>
        <w:ind w:left="2220" w:right="1699" w:hanging="948"/>
        <w:spacing w:after="0" w:line="346" w:lineRule="auto"/>
        <w:tabs>
          <w:tab w:leader="none" w:pos="1694"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19" w:lineRule="exact"/>
        <w:rPr>
          <w:rFonts w:ascii="Courier New" w:cs="Courier New" w:eastAsia="Courier New" w:hAnsi="Courier New"/>
          <w:sz w:val="18"/>
          <w:szCs w:val="18"/>
          <w:color w:val="auto"/>
        </w:rPr>
      </w:pPr>
    </w:p>
    <w:p>
      <w:pPr>
        <w:ind w:left="2220" w:right="2439" w:hanging="948"/>
        <w:spacing w:after="0" w:line="402" w:lineRule="auto"/>
        <w:tabs>
          <w:tab w:leader="none" w:pos="1694"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Investment company registered under Section 8 of the Investment Company Act of 1940 (15 U.S.C. 80a-8).</w:t>
      </w:r>
    </w:p>
    <w:p>
      <w:pPr>
        <w:ind w:left="1700" w:hanging="428"/>
        <w:spacing w:after="0"/>
        <w:tabs>
          <w:tab w:leader="none" w:pos="17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Sections</w:t>
      </w:r>
    </w:p>
    <w:p>
      <w:pPr>
        <w:spacing w:after="0" w:line="3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240.13d-1(b)(1)(ii)(E);</w:t>
      </w:r>
    </w:p>
    <w:p>
      <w:pPr>
        <w:spacing w:after="0" w:line="169" w:lineRule="exact"/>
        <w:rPr>
          <w:sz w:val="20"/>
          <w:szCs w:val="20"/>
          <w:color w:val="auto"/>
        </w:rPr>
      </w:pPr>
    </w:p>
    <w:p>
      <w:pPr>
        <w:ind w:left="2220" w:right="2019" w:hanging="948"/>
        <w:spacing w:after="0" w:line="346" w:lineRule="auto"/>
        <w:tabs>
          <w:tab w:leader="none" w:pos="1694"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Section 240.13d-1(b)(1)(ii)(F);</w:t>
      </w:r>
    </w:p>
    <w:p>
      <w:pPr>
        <w:spacing w:after="0" w:line="19" w:lineRule="exact"/>
        <w:rPr>
          <w:rFonts w:ascii="Courier New" w:cs="Courier New" w:eastAsia="Courier New" w:hAnsi="Courier New"/>
          <w:sz w:val="18"/>
          <w:szCs w:val="18"/>
          <w:color w:val="auto"/>
        </w:rPr>
      </w:pPr>
    </w:p>
    <w:p>
      <w:pPr>
        <w:ind w:left="2220" w:right="2019" w:hanging="948"/>
        <w:spacing w:after="0" w:line="346" w:lineRule="auto"/>
        <w:tabs>
          <w:tab w:leader="none" w:pos="1694"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Section 240.13d-1(b)(1)(ii)(G);</w:t>
      </w:r>
    </w:p>
    <w:p>
      <w:pPr>
        <w:spacing w:after="0" w:line="19" w:lineRule="exact"/>
        <w:rPr>
          <w:rFonts w:ascii="Courier New" w:cs="Courier New" w:eastAsia="Courier New" w:hAnsi="Courier New"/>
          <w:sz w:val="18"/>
          <w:szCs w:val="18"/>
          <w:color w:val="auto"/>
        </w:rPr>
      </w:pPr>
    </w:p>
    <w:p>
      <w:pPr>
        <w:ind w:left="2220" w:right="2119" w:hanging="948"/>
        <w:spacing w:after="0" w:line="346" w:lineRule="auto"/>
        <w:tabs>
          <w:tab w:leader="none" w:pos="1694"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19" w:lineRule="exact"/>
        <w:rPr>
          <w:rFonts w:ascii="Courier New" w:cs="Courier New" w:eastAsia="Courier New" w:hAnsi="Courier New"/>
          <w:sz w:val="18"/>
          <w:szCs w:val="18"/>
          <w:color w:val="auto"/>
        </w:rPr>
      </w:pPr>
    </w:p>
    <w:p>
      <w:pPr>
        <w:ind w:left="2220" w:right="2019" w:hanging="948"/>
        <w:spacing w:after="0" w:line="292" w:lineRule="auto"/>
        <w:tabs>
          <w:tab w:leader="none" w:pos="1694"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65"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non-U.S. institution in accordance with section</w:t>
      </w:r>
    </w:p>
    <w:p>
      <w:pPr>
        <w:spacing w:after="0" w:line="3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240.13d-1(b)(1)(ii)(J);</w:t>
      </w:r>
    </w:p>
    <w:p>
      <w:pPr>
        <w:spacing w:after="0" w:line="169" w:lineRule="exact"/>
        <w:rPr>
          <w:sz w:val="20"/>
          <w:szCs w:val="20"/>
          <w:color w:val="auto"/>
        </w:rPr>
      </w:pPr>
    </w:p>
    <w:p>
      <w:pPr>
        <w:ind w:left="2220" w:right="1819" w:hanging="948"/>
        <w:spacing w:after="0" w:line="274" w:lineRule="auto"/>
        <w:tabs>
          <w:tab w:leader="none" w:pos="1694"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sections 240.13d-1(b)(1)(ii)(K). If filing as a non-U.S. institution in accordance with sections 240.13d-1(b)(1)(ii)(J), please specify the type of institution: Not Applicable</w:t>
      </w:r>
    </w:p>
    <w:p>
      <w:pPr>
        <w:sectPr>
          <w:pgSz w:w="11900" w:h="16838" w:orient="portrait"/>
          <w:cols w:equalWidth="0" w:num="1">
            <w:col w:w="10139"/>
          </w:cols>
          <w:pgMar w:left="320" w:top="690" w:right="1440" w:bottom="882" w:gutter="0" w:footer="0" w:header="0"/>
        </w:sectPr>
      </w:pPr>
    </w:p>
    <w:bookmarkStart w:id="3" w:name="page4"/>
    <w:bookmarkEnd w:id="3"/>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No.87650L103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5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pacing w:after="0"/>
        <w:tabs>
          <w:tab w:leader="none" w:pos="1140" w:val="left"/>
          <w:tab w:leader="none" w:pos="2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8"/>
          <w:szCs w:val="18"/>
          <w:color w:val="auto"/>
        </w:rPr>
        <w:t>Ownership as of</w:t>
      </w:r>
      <w:r>
        <w:rPr>
          <w:sz w:val="20"/>
          <w:szCs w:val="20"/>
          <w:color w:val="auto"/>
        </w:rPr>
        <w:tab/>
      </w:r>
      <w:r>
        <w:rPr>
          <w:rFonts w:ascii="Courier New" w:cs="Courier New" w:eastAsia="Courier New" w:hAnsi="Courier New"/>
          <w:sz w:val="16"/>
          <w:szCs w:val="16"/>
          <w:color w:val="auto"/>
        </w:rPr>
        <w:t>December 31, 2023.*</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 Amount beneficially owned:</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See the response(s) to Item 9 on the attached cover page(s).</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 Percent of Class:</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See the response(s) to Item 11 on the attached cover page(s).</w:t>
      </w:r>
    </w:p>
    <w:p>
      <w:pPr>
        <w:spacing w:after="0" w:line="169" w:lineRule="exact"/>
        <w:rPr>
          <w:sz w:val="20"/>
          <w:szCs w:val="20"/>
          <w:color w:val="auto"/>
        </w:rPr>
      </w:pPr>
    </w:p>
    <w:p>
      <w:pPr>
        <w:ind w:left="1580" w:hanging="414"/>
        <w:spacing w:after="0"/>
        <w:tabs>
          <w:tab w:leader="none" w:pos="15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30"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5 on the attached cover page(s).</w:t>
      </w:r>
    </w:p>
    <w:p>
      <w:pPr>
        <w:spacing w:after="0" w:line="191"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30"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6 on the attached cover page(s).</w:t>
      </w:r>
    </w:p>
    <w:p>
      <w:pPr>
        <w:spacing w:after="0" w:line="191"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30"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7 on the attached cover page(s).</w:t>
      </w:r>
    </w:p>
    <w:p>
      <w:pPr>
        <w:spacing w:after="0" w:line="191"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30"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8 on the attached cover page(s).</w:t>
      </w:r>
    </w:p>
    <w:p>
      <w:pPr>
        <w:spacing w:after="0" w:line="19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1160" w:right="2019" w:hanging="1157"/>
        <w:spacing w:after="0" w:line="402" w:lineRule="auto"/>
        <w:tabs>
          <w:tab w:leader="none" w:pos="11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1160" w:right="1699" w:firstLine="6"/>
        <w:spacing w:after="0" w:line="256" w:lineRule="auto"/>
        <w:tabs>
          <w:tab w:leader="none" w:pos="1581"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7"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In Accordance with the Securities and Exchange Commission Release</w:t>
      </w:r>
    </w:p>
    <w:p>
      <w:pPr>
        <w:spacing w:after="0" w:line="31"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w:t>
      </w:r>
    </w:p>
    <w:p>
      <w:pPr>
        <w:sectPr>
          <w:pgSz w:w="11900" w:h="16838" w:orient="portrait"/>
          <w:cols w:equalWidth="0" w:num="1">
            <w:col w:w="10139"/>
          </w:cols>
          <w:pgMar w:left="320" w:top="690" w:right="1440" w:bottom="1440" w:gutter="0" w:footer="0" w:header="0"/>
        </w:sectPr>
      </w:pPr>
    </w:p>
    <w:bookmarkStart w:id="4" w:name="page5"/>
    <w:bookmarkEnd w:id="4"/>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No.87650L103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5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right="1819"/>
        <w:spacing w:after="0" w:line="42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ectPr>
          <w:pgSz w:w="11900" w:h="16838" w:orient="portrait"/>
          <w:cols w:equalWidth="0" w:num="1">
            <w:col w:w="10139"/>
          </w:cols>
          <w:pgMar w:left="320" w:top="690" w:right="1440" w:bottom="1440" w:gutter="0" w:footer="0" w:header="0"/>
        </w:sectPr>
      </w:pP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09, 2024</w:t>
      </w:r>
    </w:p>
    <w:p>
      <w:pPr>
        <w:spacing w:after="0" w:line="222" w:lineRule="exact"/>
        <w:rPr>
          <w:sz w:val="20"/>
          <w:szCs w:val="20"/>
          <w:color w:val="auto"/>
        </w:rPr>
      </w:pPr>
    </w:p>
    <w:p>
      <w:pPr>
        <w:sectPr>
          <w:pgSz w:w="11900" w:h="16838" w:orient="portrait"/>
          <w:cols w:equalWidth="0" w:num="2">
            <w:col w:w="560" w:space="720"/>
            <w:col w:w="8859"/>
          </w:cols>
          <w:pgMar w:left="320" w:top="690"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Christopher O'Hara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ectPr>
          <w:pgSz w:w="11900" w:h="16838" w:orient="portrait"/>
          <w:cols w:equalWidth="0" w:num="2">
            <w:col w:w="1060" w:space="220"/>
            <w:col w:w="8859"/>
          </w:cols>
          <w:pgMar w:left="320" w:top="690"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Name/Title: Christopher O'Hara/Authorized Signatory, Morgan Stanley</w:t>
      </w:r>
    </w:p>
    <w:p>
      <w:pPr>
        <w:spacing w:after="0" w:line="31"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MORGAN STANLEY</w:t>
      </w:r>
    </w:p>
    <w:sectPr>
      <w:pgSz w:w="11900" w:h="16838" w:orient="portrait"/>
      <w:cols w:equalWidth="0" w:num="1">
        <w:col w:w="10139"/>
      </w:cols>
      <w:pgMar w:left="320" w:top="69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lvl w:ilvl="1">
      <w:lvlJc w:val="left"/>
      <w:lvlText w:val="[%2]"/>
      <w:numFmt w:val="lowerRoman"/>
      <w:start w:val="10"/>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2"/>
    </w:lvl>
    <w:lvl w:ilvl="1">
      <w:lvlJc w:val="left"/>
      <w:lvlText w:val="(%2)"/>
      <w:numFmt w:val="lowerLetter"/>
      <w:start w:val="1"/>
    </w:lvl>
  </w:abstractNum>
  <w:abstractNum w:abstractNumId="3">
    <w:nsid w:val="515F007C"/>
    <w:multiLevelType w:val="hybridMultilevel"/>
    <w:lvl w:ilvl="0">
      <w:lvlJc w:val="left"/>
      <w:lvlText w:val="%1."/>
      <w:numFmt w:val="decimal"/>
      <w:start w:val="9"/>
    </w:lvl>
  </w:abstractNum>
  <w:abstractNum w:abstractNumId="4">
    <w:nsid w:val="5BD062C2"/>
    <w:multiLevelType w:val="hybridMultilevel"/>
    <w:lvl w:ilvl="0">
      <w:lvlJc w:val="left"/>
      <w:lvlText w:val="%1."/>
      <w:numFmt w:val="decimal"/>
      <w:start w:val="10"/>
    </w:lvl>
  </w:abstractNum>
  <w:abstractNum w:abstractNumId="5">
    <w:nsid w:val="12200854"/>
    <w:multiLevelType w:val="hybridMultilevel"/>
    <w:lvl w:ilvl="0">
      <w:lvlJc w:val="left"/>
      <w:lvlText w:val="%1."/>
      <w:numFmt w:val="decimal"/>
      <w:start w:val="11"/>
    </w:lvl>
  </w:abstractNum>
  <w:abstractNum w:abstractNumId="6">
    <w:nsid w:val="4DB127F8"/>
    <w:multiLevelType w:val="hybridMultilevel"/>
    <w:lvl w:ilvl="0">
      <w:lvlJc w:val="left"/>
      <w:lvlText w:val="%1."/>
      <w:numFmt w:val="decimal"/>
      <w:start w:val="12"/>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3"/>
    </w:lvl>
  </w:abstractNum>
  <w:abstractNum w:abstractNumId="9">
    <w:nsid w:val="1190CDE7"/>
    <w:multiLevelType w:val="hybridMultilevel"/>
    <w:lvl w:ilvl="0">
      <w:lvlJc w:val="left"/>
      <w:lvlText w:val="(%1)"/>
      <w:numFmt w:val="lowerLetter"/>
      <w:start w:val="6"/>
    </w:lvl>
  </w:abstractNum>
  <w:abstractNum w:abstractNumId="10">
    <w:nsid w:val="66EF438D"/>
    <w:multiLevelType w:val="hybridMultilevel"/>
    <w:lvl w:ilvl="0">
      <w:lvlJc w:val="left"/>
      <w:lvlText w:val="(%1)"/>
      <w:numFmt w:val="lowerLetter"/>
      <w:start w:val="11"/>
    </w:lvl>
  </w:abstractNum>
  <w:abstractNum w:abstractNumId="11">
    <w:nsid w:val="140E0F76"/>
    <w:multiLevelType w:val="hybridMultilevel"/>
    <w:lvl w:ilvl="0">
      <w:lvlJc w:val="left"/>
      <w:lvlText w:val="(%1)"/>
      <w:numFmt w:val="lowerLetter"/>
      <w:start w:val="3"/>
    </w:lvl>
    <w:lvl w:ilvl="1">
      <w:lvlJc w:val="left"/>
      <w:lvlText w:val="(%2)"/>
      <w:numFmt w:val="lowerRoman"/>
      <w:start w:val="1"/>
    </w:lvl>
  </w:abstractNum>
  <w:abstractNum w:abstractNumId="12">
    <w:nsid w:val="3352255A"/>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2024-02-09T09:10:42Z</dcterms:created>
  <dcterms:modified xsi:type="dcterms:W3CDTF">2024-02-09T09:10:42Z</dcterms:modified>
</cp:coreProperties>
</file>