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8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Crane Rosemary 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-6209030</wp:posOffset>
            </wp:positionV>
            <wp:extent cx="7045325" cy="6222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22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40" w:firstLine="5"/>
        <w:spacing w:after="0" w:line="257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2023 annual meeting of stockholders. The option will vest in full on the one-year anniversary of the date of grant, subject to the non-employee director's continuous service.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vest in full on the one-year anniversary of the date of grant, subject to the non-employee director's continuous service.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Farrow,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538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873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46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43343" TargetMode="External"/><Relationship Id="rId9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2023-06-26T17:15:39Z</dcterms:created>
  <dcterms:modified xsi:type="dcterms:W3CDTF">2023-06-26T17:15:39Z</dcterms:modified>
</cp:coreProperties>
</file>