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October 20, 2020</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TARSUS PHARMACEUTICALS,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81-4717861</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15440 Laguna Canyon Road, Suite 160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Irvine, CA 92618</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Tarsus Pharmaceuticals, Inc. 2020 Equity Incentive Plan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Tarsus Pharmaceuticals, Inc. 2020 Employee Stock Purchase Plan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Tarsus Pharmaceuticals, Inc. 2016 Stock Plan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Plan)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Bobak Azamian, M.D., Ph.D.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Tarsus Pharmaceuticals,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15440 Laguna Canyon Road, Suite 160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Irvine, CA 92618</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(949) 709-9820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tbl>
      <w:tblPr>
        <w:tblLayout w:type="fixed"/>
        <w:tblInd w:w="126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51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Copies to:</w:t>
            </w:r>
          </w:p>
        </w:tc>
      </w:tr>
      <w:tr>
        <w:trPr>
          <w:trHeight w:val="319"/>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Ilan Lovinsky</w:t>
            </w:r>
          </w:p>
        </w:tc>
        <w:tc>
          <w:tcPr>
            <w:tcW w:w="5100" w:type="dxa"/>
            <w:vAlign w:val="bottom"/>
          </w:tcPr>
          <w:p>
            <w:pPr>
              <w:spacing w:after="0"/>
              <w:rPr>
                <w:sz w:val="24"/>
                <w:szCs w:val="24"/>
                <w:color w:val="auto"/>
              </w:rPr>
            </w:pPr>
          </w:p>
        </w:tc>
      </w:tr>
      <w:tr>
        <w:trPr>
          <w:trHeight w:val="216"/>
        </w:trPr>
        <w:tc>
          <w:tcPr>
            <w:tcW w:w="3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Ryan Gunderson</w:t>
            </w:r>
          </w:p>
        </w:tc>
        <w:tc>
          <w:tcPr>
            <w:tcW w:w="5100" w:type="dxa"/>
            <w:vAlign w:val="bottom"/>
          </w:tcPr>
          <w:p>
            <w:pPr>
              <w:jc w:val="center"/>
              <w:ind w:left="2050"/>
              <w:spacing w:after="0"/>
              <w:rPr>
                <w:sz w:val="20"/>
                <w:szCs w:val="20"/>
                <w:color w:val="auto"/>
              </w:rPr>
            </w:pPr>
            <w:r>
              <w:rPr>
                <w:rFonts w:ascii="Arial" w:cs="Arial" w:eastAsia="Arial" w:hAnsi="Arial"/>
                <w:sz w:val="18"/>
                <w:szCs w:val="18"/>
                <w:b w:val="1"/>
                <w:bCs w:val="1"/>
                <w:color w:val="auto"/>
                <w:w w:val="92"/>
              </w:rPr>
              <w:t>Leo M. Greenstein</w:t>
            </w:r>
          </w:p>
        </w:tc>
      </w:tr>
      <w:tr>
        <w:trPr>
          <w:trHeight w:val="216"/>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Gunderson Dettmer Stough Villeneuve</w:t>
            </w:r>
          </w:p>
        </w:tc>
        <w:tc>
          <w:tcPr>
            <w:tcW w:w="5100" w:type="dxa"/>
            <w:vAlign w:val="bottom"/>
          </w:tcPr>
          <w:p>
            <w:pPr>
              <w:jc w:val="center"/>
              <w:ind w:left="203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16"/>
        </w:trPr>
        <w:tc>
          <w:tcPr>
            <w:tcW w:w="3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6"/>
              </w:rPr>
              <w:t>Franklin &amp; Hachigian, LLP</w:t>
            </w:r>
          </w:p>
        </w:tc>
        <w:tc>
          <w:tcPr>
            <w:tcW w:w="5100" w:type="dxa"/>
            <w:vAlign w:val="bottom"/>
          </w:tcPr>
          <w:p>
            <w:pPr>
              <w:jc w:val="center"/>
              <w:ind w:left="2050"/>
              <w:spacing w:after="0"/>
              <w:rPr>
                <w:sz w:val="20"/>
                <w:szCs w:val="20"/>
                <w:color w:val="auto"/>
              </w:rPr>
            </w:pPr>
            <w:r>
              <w:rPr>
                <w:rFonts w:ascii="Arial" w:cs="Arial" w:eastAsia="Arial" w:hAnsi="Arial"/>
                <w:sz w:val="18"/>
                <w:szCs w:val="18"/>
                <w:b w:val="1"/>
                <w:bCs w:val="1"/>
                <w:color w:val="auto"/>
                <w:w w:val="90"/>
              </w:rPr>
              <w:t>Tarsus Pharmaceuticals, Inc.</w:t>
            </w:r>
          </w:p>
        </w:tc>
      </w:tr>
      <w:tr>
        <w:trPr>
          <w:trHeight w:val="216"/>
        </w:trPr>
        <w:tc>
          <w:tcPr>
            <w:tcW w:w="3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3570 Carmel Mountain Road, Suite 200</w:t>
            </w:r>
          </w:p>
        </w:tc>
        <w:tc>
          <w:tcPr>
            <w:tcW w:w="5100" w:type="dxa"/>
            <w:vAlign w:val="bottom"/>
          </w:tcPr>
          <w:p>
            <w:pPr>
              <w:jc w:val="center"/>
              <w:ind w:left="2030"/>
              <w:spacing w:after="0"/>
              <w:rPr>
                <w:sz w:val="20"/>
                <w:szCs w:val="20"/>
                <w:color w:val="auto"/>
              </w:rPr>
            </w:pPr>
            <w:r>
              <w:rPr>
                <w:rFonts w:ascii="Arial" w:cs="Arial" w:eastAsia="Arial" w:hAnsi="Arial"/>
                <w:sz w:val="18"/>
                <w:szCs w:val="18"/>
                <w:b w:val="1"/>
                <w:bCs w:val="1"/>
                <w:color w:val="auto"/>
                <w:w w:val="90"/>
              </w:rPr>
              <w:t>15440 Laguna Canyon Road, Suite 160</w:t>
            </w:r>
          </w:p>
        </w:tc>
      </w:tr>
      <w:tr>
        <w:trPr>
          <w:trHeight w:val="216"/>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San Diego, CA 92130</w:t>
            </w:r>
          </w:p>
        </w:tc>
        <w:tc>
          <w:tcPr>
            <w:tcW w:w="5100" w:type="dxa"/>
            <w:vAlign w:val="bottom"/>
          </w:tcPr>
          <w:p>
            <w:pPr>
              <w:jc w:val="center"/>
              <w:ind w:left="2050"/>
              <w:spacing w:after="0"/>
              <w:rPr>
                <w:sz w:val="20"/>
                <w:szCs w:val="20"/>
                <w:color w:val="auto"/>
              </w:rPr>
            </w:pPr>
            <w:r>
              <w:rPr>
                <w:rFonts w:ascii="Arial" w:cs="Arial" w:eastAsia="Arial" w:hAnsi="Arial"/>
                <w:sz w:val="18"/>
                <w:szCs w:val="18"/>
                <w:b w:val="1"/>
                <w:bCs w:val="1"/>
                <w:color w:val="auto"/>
                <w:w w:val="94"/>
              </w:rPr>
              <w:t>Irvine, CA 92618</w:t>
            </w:r>
          </w:p>
        </w:tc>
      </w:tr>
      <w:tr>
        <w:trPr>
          <w:trHeight w:val="234"/>
        </w:trPr>
        <w:tc>
          <w:tcPr>
            <w:tcW w:w="3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(858) 436-8000</w:t>
            </w:r>
          </w:p>
        </w:tc>
        <w:tc>
          <w:tcPr>
            <w:tcW w:w="5100" w:type="dxa"/>
            <w:vAlign w:val="bottom"/>
          </w:tcPr>
          <w:p>
            <w:pPr>
              <w:jc w:val="center"/>
              <w:ind w:left="2050"/>
              <w:spacing w:after="0"/>
              <w:rPr>
                <w:sz w:val="20"/>
                <w:szCs w:val="20"/>
                <w:color w:val="auto"/>
              </w:rPr>
            </w:pPr>
            <w:r>
              <w:rPr>
                <w:rFonts w:ascii="Arial" w:cs="Arial" w:eastAsia="Arial" w:hAnsi="Arial"/>
                <w:sz w:val="18"/>
                <w:szCs w:val="18"/>
                <w:b w:val="1"/>
                <w:bCs w:val="1"/>
                <w:color w:val="auto"/>
                <w:w w:val="90"/>
              </w:rPr>
              <w:t>(949) 709-9820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9" w:right="499" w:bottom="56"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139"/>
        </w:trPr>
        <w:tc>
          <w:tcPr>
            <w:tcW w:w="488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6"/>
              </w:rPr>
              <w:t>Proposed</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6"/>
              </w:rPr>
              <w:t>Proposed</w:t>
            </w: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ind w:left="1880"/>
              <w:spacing w:after="0"/>
              <w:rPr>
                <w:sz w:val="20"/>
                <w:szCs w:val="20"/>
                <w:color w:val="auto"/>
              </w:rPr>
            </w:pPr>
            <w:r>
              <w:rPr>
                <w:rFonts w:ascii="Arial" w:cs="Arial" w:eastAsia="Arial" w:hAnsi="Arial"/>
                <w:sz w:val="14"/>
                <w:szCs w:val="14"/>
                <w:b w:val="1"/>
                <w:bCs w:val="1"/>
                <w:color w:val="auto"/>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ind w:left="1940"/>
              <w:spacing w:after="0"/>
              <w:rPr>
                <w:sz w:val="20"/>
                <w:szCs w:val="20"/>
                <w:color w:val="auto"/>
              </w:rPr>
            </w:pPr>
            <w:r>
              <w:rPr>
                <w:rFonts w:ascii="Arial" w:cs="Arial" w:eastAsia="Arial" w:hAnsi="Arial"/>
                <w:sz w:val="14"/>
                <w:szCs w:val="14"/>
                <w:b w:val="1"/>
                <w:bCs w:val="1"/>
                <w:color w:val="auto"/>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Common Stock, $0.0001 par value per share, reserved for</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issuance pursuant to the 2020 Equity 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9,411,398(2)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$18.51(3)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$174,204,976.98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$19,005.76</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Common Stock, $0.0001 par value per share, reserved for</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issuance pursuant to stock option awards outstanding under the</w:t>
            </w: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2016 Stock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2,021,582(4)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$3.78(5)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$7,641,579.96</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$833.70</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Common Stock, $0.0001 par value per share, reserved for</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3"/>
              </w:rPr>
              <w:t>issuance pursuant to the 2020 Employee Stock Purchase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2,300,000(6)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$15.74(7)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$36,202,000.00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$3,949.64</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$218,048,556.94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$23,789.10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140" w:hanging="424"/>
        <w:spacing w:after="0" w:line="25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or the Securities Act, this Registration Statement shall also cover any additional shares of Registrant’s common stock that become issuable under the 2020 Equity Incentive Plan, or the 2020 Plan, the 2020 Employee Stock Purchase Plan, or the 2020 ESPP, and the 2016 Stock Plan, or the 2016 Plan, as a result of any stock dividend, stock split, recapitalization, or other similar transaction effected without the receipt of consideration that results in an increase to the number of outstanding shares of Registrant’s common stock, as applicable.</w:t>
      </w:r>
    </w:p>
    <w:p>
      <w:pPr>
        <w:spacing w:after="0" w:line="2" w:lineRule="exact"/>
        <w:rPr>
          <w:rFonts w:ascii="Arial" w:cs="Arial" w:eastAsia="Arial" w:hAnsi="Arial"/>
          <w:sz w:val="18"/>
          <w:szCs w:val="18"/>
          <w:color w:val="auto"/>
        </w:rPr>
      </w:pPr>
    </w:p>
    <w:p>
      <w:pPr>
        <w:ind w:left="424" w:right="40" w:hanging="424"/>
        <w:spacing w:after="0" w:line="26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9,000,000 shares of common stock reserved for issuance under the 2020 Plan, plus 411,398 shares of common stock that were reserved but not issued under the 2016 Plan and are not subject to any awards granted thereunder.</w:t>
      </w:r>
    </w:p>
    <w:p>
      <w:pPr>
        <w:spacing w:after="0" w:line="77" w:lineRule="exact"/>
        <w:rPr>
          <w:rFonts w:ascii="Arial" w:cs="Arial" w:eastAsia="Arial" w:hAnsi="Arial"/>
          <w:sz w:val="18"/>
          <w:szCs w:val="18"/>
          <w:color w:val="auto"/>
        </w:rPr>
      </w:pPr>
    </w:p>
    <w:p>
      <w:pPr>
        <w:ind w:left="444" w:right="40"/>
        <w:spacing w:after="0" w:line="257" w:lineRule="auto"/>
        <w:rPr>
          <w:rFonts w:ascii="Arial" w:cs="Arial" w:eastAsia="Arial" w:hAnsi="Arial"/>
          <w:sz w:val="18"/>
          <w:szCs w:val="18"/>
          <w:color w:val="auto"/>
        </w:rPr>
      </w:pPr>
      <w:r>
        <w:rPr>
          <w:rFonts w:ascii="Arial" w:cs="Arial" w:eastAsia="Arial" w:hAnsi="Arial"/>
          <w:sz w:val="18"/>
          <w:szCs w:val="18"/>
          <w:color w:val="auto"/>
        </w:rPr>
        <w:t>To the extent that shares previously issued pursuant to awards granted under the 2016 Plan are reacquired by the Registrant after the date of this Registration Statement, or if outstanding awards granted under the 2016 Plan are forfeited, expire or lapse unexercised after the date of this Registration Statement, or if shares issued under the 2016 Plan are reacquired by the Registrant pursuant to a forfeiture provision, repurchase right or for any other reason, such shares will become available for issuance under the 2020 Plan, up to a maximum of 2,021,582 shares. See footnotes 3 and 4 below.</w:t>
      </w:r>
    </w:p>
    <w:p>
      <w:pPr>
        <w:spacing w:after="0" w:line="79" w:lineRule="exact"/>
        <w:rPr>
          <w:rFonts w:ascii="Arial" w:cs="Arial" w:eastAsia="Arial" w:hAnsi="Arial"/>
          <w:sz w:val="18"/>
          <w:szCs w:val="18"/>
          <w:color w:val="auto"/>
        </w:rPr>
      </w:pPr>
    </w:p>
    <w:p>
      <w:pPr>
        <w:ind w:left="444" w:right="180"/>
        <w:spacing w:after="0" w:line="279" w:lineRule="auto"/>
        <w:rPr>
          <w:rFonts w:ascii="Arial" w:cs="Arial" w:eastAsia="Arial" w:hAnsi="Arial"/>
          <w:sz w:val="18"/>
          <w:szCs w:val="18"/>
          <w:color w:val="auto"/>
        </w:rPr>
      </w:pPr>
      <w:r>
        <w:rPr>
          <w:rFonts w:ascii="Arial" w:cs="Arial" w:eastAsia="Arial" w:hAnsi="Arial"/>
          <w:sz w:val="17"/>
          <w:szCs w:val="17"/>
          <w:color w:val="auto"/>
        </w:rPr>
        <w:t>In general, to the extent that any awards under the 2020 Plan are forfeited, cancelled or expire for any reason before being exercised or settled in full, if any awards are settled in cash or if shares issued under the 2020 Plan are reacquired by the Registrant pursuant to a forfeiture provision, repurchase right or for any other reason, those shares will again become available for issuance under the 2020 Plan, as will shares applied to pay the exercise or purchase price of an award or to satisfy tax withholding obligations related to any award.</w:t>
      </w:r>
    </w:p>
    <w:p>
      <w:pPr>
        <w:spacing w:after="0" w:line="76" w:lineRule="exact"/>
        <w:rPr>
          <w:rFonts w:ascii="Arial" w:cs="Arial" w:eastAsia="Arial" w:hAnsi="Arial"/>
          <w:sz w:val="18"/>
          <w:szCs w:val="18"/>
          <w:color w:val="auto"/>
        </w:rPr>
      </w:pPr>
    </w:p>
    <w:p>
      <w:pPr>
        <w:ind w:left="424" w:right="320" w:hanging="424"/>
        <w:spacing w:after="0" w:line="29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457(h) under the Securities Act and based upon the average of the high and low prices of the Registrant’s common stock as reported on the Nasdaq Global Select Market on October 16, 2020.</w:t>
      </w:r>
    </w:p>
    <w:p>
      <w:pPr>
        <w:ind w:left="424" w:right="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reserved for issuance pursuant to stock option awards outstanding under the 2016 Plan as of the date of this Registration Statement. To the extent any such awards are forfeited, expire or lapse unexercised subsequent to the date of this Registration Statement, the shares of common stock reserved for issuance pursuant to such awards will become available for issuance under the 2020 Plan. See footnote 2 above.</w:t>
      </w:r>
    </w:p>
    <w:p>
      <w:pPr>
        <w:spacing w:after="0" w:line="1" w:lineRule="exact"/>
        <w:rPr>
          <w:rFonts w:ascii="Arial" w:cs="Arial" w:eastAsia="Arial" w:hAnsi="Arial"/>
          <w:sz w:val="18"/>
          <w:szCs w:val="18"/>
          <w:color w:val="auto"/>
        </w:rPr>
      </w:pPr>
    </w:p>
    <w:p>
      <w:pPr>
        <w:ind w:left="424" w:right="40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in accordance with Rule 457(h) under the Securities Act on the basis of the weighted average exercise price of $3.78 per share of Registrant’s common stock (rounded up to the nearest hundredth).</w:t>
      </w: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reserved for issuance under the 2020 ESPP.</w:t>
      </w:r>
    </w:p>
    <w:p>
      <w:pPr>
        <w:spacing w:after="0" w:line="9" w:lineRule="exact"/>
        <w:rPr>
          <w:rFonts w:ascii="Arial" w:cs="Arial" w:eastAsia="Arial" w:hAnsi="Arial"/>
          <w:sz w:val="18"/>
          <w:szCs w:val="18"/>
          <w:color w:val="auto"/>
        </w:rPr>
      </w:pPr>
    </w:p>
    <w:p>
      <w:pPr>
        <w:ind w:left="424" w:right="32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457(h) under the Securities Act and based upon the average of the high and low prices of the Registrant’s common stock as reported on the Nasdaq Global Select Market on October 16, 2020, multiplied by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information specified in this Part I is omitted from this Registration Statement on Form S-8, or the Registration Statement, in accordance with the provisions of Rule 428 under the Securities Act of 1933, as amended, or the Securities Act. In accordance with the rules and regulations of the Securities and Exchange Commission, or the SEC, and the instructions to Form S-8, such documents are not being filed with the SEC either as part of this Registration Statement or as prospectuses or prospectus supplements pursuant to Rule 424 under the Securities Act.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Tarsus Pharmaceuticals, Inc., or the Registrant, hereby incorporates by reference into this Registration Statement the following documents previously filed with the SEC:</w:t>
      </w:r>
    </w:p>
    <w:p>
      <w:pPr>
        <w:spacing w:after="0" w:line="76" w:lineRule="exact"/>
        <w:rPr>
          <w:sz w:val="20"/>
          <w:szCs w:val="20"/>
          <w:color w:val="auto"/>
        </w:rPr>
      </w:pPr>
    </w:p>
    <w:p>
      <w:pPr>
        <w:ind w:left="960" w:right="2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prospectus dated October 15, 2020 pursuant to </w:t>
      </w:r>
      <w:hyperlink r:id="rId21">
        <w:r>
          <w:rPr>
            <w:rFonts w:ascii="Arial" w:cs="Arial" w:eastAsia="Arial" w:hAnsi="Arial"/>
            <w:sz w:val="18"/>
            <w:szCs w:val="18"/>
            <w:u w:val="single" w:color="auto"/>
            <w:color w:val="0000EE"/>
          </w:rPr>
          <w:t>Rule 424(b)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under the Securities Act relating to the Registration Statement on </w:t>
      </w:r>
      <w:hyperlink r:id="rId22">
        <w:r>
          <w:rPr>
            <w:rFonts w:ascii="Arial" w:cs="Arial" w:eastAsia="Arial" w:hAnsi="Arial"/>
            <w:sz w:val="18"/>
            <w:szCs w:val="18"/>
            <w:u w:val="single" w:color="auto"/>
            <w:color w:val="0000EE"/>
          </w:rPr>
          <w:t>Form S-1</w:t>
        </w:r>
      </w:hyperlink>
      <w:r>
        <w:rPr>
          <w:rFonts w:ascii="Arial" w:cs="Arial" w:eastAsia="Arial" w:hAnsi="Arial"/>
          <w:sz w:val="18"/>
          <w:szCs w:val="18"/>
          <w:color w:val="auto"/>
        </w:rPr>
        <w:t xml:space="preserve">, as amended (File No. 333-249076), or the </w:t>
      </w:r>
      <w:hyperlink r:id="rId23">
        <w:r>
          <w:rPr>
            <w:rFonts w:ascii="Arial" w:cs="Arial" w:eastAsia="Arial" w:hAnsi="Arial"/>
            <w:sz w:val="18"/>
            <w:szCs w:val="18"/>
            <w:u w:val="single" w:color="auto"/>
            <w:color w:val="0000EE"/>
          </w:rPr>
          <w:t>Form S-1</w:t>
        </w:r>
      </w:hyperlink>
      <w:r>
        <w:rPr>
          <w:rFonts w:ascii="Arial" w:cs="Arial" w:eastAsia="Arial" w:hAnsi="Arial"/>
          <w:sz w:val="18"/>
          <w:szCs w:val="18"/>
          <w:color w:val="auto"/>
        </w:rPr>
        <w:t>, which contains audited financial statements for the Registrant’s latest fiscal year for which such statements have been filed;</w:t>
      </w:r>
    </w:p>
    <w:p>
      <w:pPr>
        <w:spacing w:after="0" w:line="89"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of 1934, as amended, or the Exchange Act, since the end of the fiscal year covered by the registrant document referred to in (a) above; and</w:t>
      </w:r>
    </w:p>
    <w:p>
      <w:pPr>
        <w:spacing w:after="0" w:line="75" w:lineRule="exact"/>
        <w:rPr>
          <w:rFonts w:ascii="Arial" w:cs="Arial" w:eastAsia="Arial" w:hAnsi="Arial"/>
          <w:sz w:val="18"/>
          <w:szCs w:val="18"/>
          <w:color w:val="auto"/>
        </w:rPr>
      </w:pPr>
    </w:p>
    <w:p>
      <w:pPr>
        <w:ind w:left="960" w:right="80" w:hanging="532"/>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contained in the Registrant’s Registration Statement on </w:t>
      </w:r>
      <w:hyperlink r:id="rId24">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 No. 001-39614), filed with the SEC on October 13, 2020, including any amendments or reports filed for the purpose of updating such description.</w:t>
      </w:r>
    </w:p>
    <w:p>
      <w:pPr>
        <w:spacing w:after="0" w:line="124" w:lineRule="exact"/>
        <w:rPr>
          <w:rFonts w:ascii="Arial" w:cs="Arial" w:eastAsia="Arial" w:hAnsi="Arial"/>
          <w:sz w:val="18"/>
          <w:szCs w:val="18"/>
          <w:color w:val="auto"/>
        </w:rPr>
      </w:pPr>
    </w:p>
    <w:p>
      <w:pPr>
        <w:ind w:firstLine="440"/>
        <w:spacing w:after="0" w:line="254" w:lineRule="auto"/>
        <w:rPr>
          <w:sz w:val="20"/>
          <w:szCs w:val="20"/>
          <w:color w:val="auto"/>
        </w:rPr>
      </w:pPr>
      <w:r>
        <w:rPr>
          <w:rFonts w:ascii="Arial" w:cs="Arial" w:eastAsia="Arial" w:hAnsi="Arial"/>
          <w:sz w:val="18"/>
          <w:szCs w:val="18"/>
          <w:color w:val="auto"/>
        </w:rPr>
        <w:t>All other reports and documents filed by the Registrant pursuant to Section 13(a), 13(c), 14 or 15(d) of the Securities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The Registrant is not, however, incorporating any documents or information that the Registrant is deemed to furnish and not file in accordance with SEC rules. Any statement contained in a document incorporated or deemed incorporated by reference in this Registration Statement will be deemed modified or superseded for purposes of this Registration Statement to the extent that a statement contained in any subsequently filed document that also is deemed incorporated by reference in this Registration Statement modifies or supersedes that statement.</w:t>
      </w:r>
    </w:p>
    <w:p>
      <w:pPr>
        <w:spacing w:after="0" w:line="336"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rFonts w:ascii="Arial" w:cs="Arial" w:eastAsia="Arial" w:hAnsi="Arial"/>
          <w:sz w:val="18"/>
          <w:szCs w:val="18"/>
          <w:color w:val="auto"/>
        </w:rPr>
      </w:pPr>
    </w:p>
    <w:p>
      <w:pPr>
        <w:ind w:right="20" w:firstLine="440"/>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ectPr>
          <w:pgSz w:w="11900" w:h="16838" w:orient="portrait"/>
          <w:cols w:equalWidth="0" w:num="1">
            <w:col w:w="10980"/>
          </w:cols>
          <w:pgMar w:left="440" w:top="270" w:right="479" w:bottom="1440" w:gutter="0" w:footer="0" w:header="0"/>
        </w:sectPr>
      </w:pPr>
    </w:p>
    <w:bookmarkStart w:id="3" w:name="page4"/>
    <w:bookmarkEnd w:id="3"/>
    <w:p>
      <w:pPr>
        <w:ind w:right="4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permitted by the Delaware General Corporation Law, the Registrant’s amended and restated certificate of incorporation and amended and restated bylaws contain provisions relating to the limitation of liability and indemnification of directors and officers. The amended and restated certificate of incorporation provides that the Registrant’s directors will not be personally liable to the Registrant or its stockholders for monetary damages for any breach of fiduciary duty as a director, except for liability:</w:t>
      </w:r>
    </w:p>
    <w:p>
      <w:pPr>
        <w:spacing w:after="0" w:line="92"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Registrant or its stockholders;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225"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The Registrant’s amended and restated certificate of incorporation also provides that if Delaware law is amended after the approval by its stockholders of the certificate of incorporation to authorize corporate action further eliminating or limiting the personal liability of directors, then the liability of the Registrant’s directors will be eliminated or limited to the fullest extent permitted by Delaware law.</w:t>
      </w:r>
    </w:p>
    <w:p>
      <w:pPr>
        <w:spacing w:after="0" w:line="16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Registrant’s amended and restated bylaws provide that the Registrant will indemnify its directors and officers to the fullest extent permitted by Delaware law, as it now exists or may in the future be amended, against all expenses and liabilities reasonably incurred in connection with their service for or on its behalf. The Registrant’s amended and restated bylaws provide that the Registrant shall advance the expenses incurred by a director or officer in advance of the final disposition of an action or proceeding, and permit the Registrant to secure insurance on behalf of any director, officer, employee, or other enterprise agent for any liability arising out of his or her action in that capacity, whether or not Delaware law would otherwise permit indemnification.</w:t>
      </w:r>
    </w:p>
    <w:p>
      <w:pPr>
        <w:spacing w:after="0" w:line="192"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The Registrant has entered into indemnification agreements with each of its directors and executive officers and certain other key employees. The form of agreement provides that the Registrant will indemnify each of its directors, executive officers and such other key employees against any and all expenses incurred by that director, executive officer, or other key employee because of his or her status as one of its directors, executive officers, or other key employees, to the fullest extent permitted by Delaware law, the Registrant’s amended and restated certificate of incorporation and the Registrant’s amended and restated bylaws. In addition, the form agreement provides that, to the fullest extent permitted by Delaware law, the Registrant will advance all expenses incurred by its directors, executive officers and other key employees in connection with a legal proceeding.</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Registrant carries and intends to continue to carry liability insurance for its directors and officers.</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incorporated herein by reference.</w:t>
      </w:r>
    </w:p>
    <w:p>
      <w:pPr>
        <w:sectPr>
          <w:pgSz w:w="11900" w:h="16838" w:orient="portrait"/>
          <w:cols w:equalWidth="0" w:num="1">
            <w:col w:w="10980"/>
          </w:cols>
          <w:pgMar w:left="440" w:top="274" w:right="4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6"/>
          </w:tcPr>
          <w:p>
            <w:pPr>
              <w:ind w:left="140"/>
              <w:spacing w:after="0"/>
              <w:rPr>
                <w:sz w:val="20"/>
                <w:szCs w:val="20"/>
                <w:color w:val="auto"/>
              </w:rPr>
            </w:pPr>
            <w:r>
              <w:rPr>
                <w:rFonts w:ascii="Arial" w:cs="Arial" w:eastAsia="Arial" w:hAnsi="Arial"/>
                <w:sz w:val="14"/>
                <w:szCs w:val="14"/>
                <w:b w:val="1"/>
                <w:bCs w:val="1"/>
                <w:color w:val="auto"/>
              </w:rPr>
              <w:t>Incorporated by Reference</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9"/>
        </w:trPr>
        <w:tc>
          <w:tcPr>
            <w:tcW w:w="5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1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Description</w:t>
            </w:r>
          </w:p>
        </w:tc>
        <w:tc>
          <w:tcPr>
            <w:tcW w:w="220" w:type="dxa"/>
            <w:vAlign w:val="bottom"/>
            <w:vMerge w:val="restart"/>
          </w:tcPr>
          <w:p>
            <w:pPr>
              <w:spacing w:after="0"/>
              <w:rPr>
                <w:sz w:val="10"/>
                <w:szCs w:val="10"/>
                <w:color w:val="auto"/>
              </w:rPr>
            </w:pPr>
          </w:p>
        </w:tc>
        <w:tc>
          <w:tcPr>
            <w:tcW w:w="4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Borders>
              <w:top w:val="single" w:sz="8" w:color="auto"/>
            </w:tcBorders>
            <w:vMerge w:val="restart"/>
          </w:tcPr>
          <w:p>
            <w:pPr>
              <w:spacing w:after="0"/>
              <w:rPr>
                <w:sz w:val="10"/>
                <w:szCs w:val="10"/>
                <w:color w:val="auto"/>
              </w:rPr>
            </w:pPr>
          </w:p>
        </w:tc>
        <w:tc>
          <w:tcPr>
            <w:tcW w:w="88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220" w:type="dxa"/>
            <w:vAlign w:val="bottom"/>
            <w:tcBorders>
              <w:top w:val="single" w:sz="8" w:color="auto"/>
            </w:tcBorders>
            <w:vMerge w:val="restart"/>
          </w:tcPr>
          <w:p>
            <w:pPr>
              <w:spacing w:after="0"/>
              <w:rPr>
                <w:sz w:val="10"/>
                <w:szCs w:val="10"/>
                <w:color w:val="auto"/>
              </w:rPr>
            </w:pPr>
          </w:p>
        </w:tc>
        <w:tc>
          <w:tcPr>
            <w:tcW w:w="46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220" w:type="dxa"/>
            <w:vAlign w:val="bottom"/>
            <w:tcBorders>
              <w:top w:val="single" w:sz="8" w:color="auto"/>
            </w:tcBorders>
            <w:vMerge w:val="restart"/>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2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6260" w:type="dxa"/>
            <w:vAlign w:val="bottom"/>
            <w:gridSpan w:val="6"/>
          </w:tcPr>
          <w:p>
            <w:pPr>
              <w:spacing w:after="0"/>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Specimen common stock certificate of the Registrant.</w:t>
              </w:r>
            </w:hyperlink>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S-1/A</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333-249076</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10/09/2020</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6260" w:type="dxa"/>
            <w:vAlign w:val="bottom"/>
            <w:gridSpan w:val="6"/>
          </w:tcPr>
          <w:p>
            <w:pPr>
              <w:spacing w:after="0"/>
              <w:rPr>
                <w:rFonts w:ascii="Arial" w:cs="Arial" w:eastAsia="Arial" w:hAnsi="Arial"/>
                <w:sz w:val="18"/>
                <w:szCs w:val="18"/>
                <w:color w:val="0000EE"/>
              </w:rPr>
            </w:pPr>
            <w:hyperlink r:id="rId28">
              <w:r>
                <w:rPr>
                  <w:rFonts w:ascii="Arial" w:cs="Arial" w:eastAsia="Arial" w:hAnsi="Arial"/>
                  <w:sz w:val="18"/>
                  <w:szCs w:val="18"/>
                  <w:u w:val="single" w:color="auto"/>
                  <w:color w:val="0000EE"/>
                </w:rPr>
                <w:t>Amended and Restated Certificate of Incorporation of Registrant</w:t>
              </w:r>
              <w:r>
                <w:rPr>
                  <w:rFonts w:ascii="Arial" w:cs="Arial" w:eastAsia="Arial" w:hAnsi="Arial"/>
                  <w:sz w:val="18"/>
                  <w:szCs w:val="18"/>
                  <w:color w:val="0000EE"/>
                </w:rPr>
                <w:t>.</w:t>
              </w:r>
            </w:hyperlink>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001-39614</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10/20/2020</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6260" w:type="dxa"/>
            <w:vAlign w:val="bottom"/>
            <w:gridSpan w:val="6"/>
          </w:tcPr>
          <w:p>
            <w:pPr>
              <w:spacing w:after="0"/>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Amended and Restated Bylaws of Registrant.</w:t>
              </w:r>
            </w:hyperlink>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001-39614</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10/20/2020</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6260" w:type="dxa"/>
            <w:vAlign w:val="bottom"/>
            <w:gridSpan w:val="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Opinion and Consent of Gunderson Dettmer Stough Villeneuve Franklin &amp;</w:t>
              </w:r>
            </w:hyperlink>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Hachigian, LLP.</w:t>
              </w:r>
            </w:hyperlink>
          </w:p>
        </w:tc>
        <w:tc>
          <w:tcPr>
            <w:tcW w:w="86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23.1</w:t>
            </w:r>
          </w:p>
        </w:tc>
        <w:tc>
          <w:tcPr>
            <w:tcW w:w="220" w:type="dxa"/>
            <w:vAlign w:val="bottom"/>
          </w:tcPr>
          <w:p>
            <w:pPr>
              <w:spacing w:after="0"/>
              <w:rPr>
                <w:sz w:val="24"/>
                <w:szCs w:val="24"/>
                <w:color w:val="auto"/>
              </w:rPr>
            </w:pPr>
          </w:p>
        </w:tc>
        <w:tc>
          <w:tcPr>
            <w:tcW w:w="6260" w:type="dxa"/>
            <w:vAlign w:val="bottom"/>
            <w:gridSpan w:val="6"/>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Consent of Independent Registered Public Accounting Firm.</w:t>
              </w:r>
            </w:hyperlink>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83"/>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23.2</w:t>
            </w:r>
          </w:p>
        </w:tc>
        <w:tc>
          <w:tcPr>
            <w:tcW w:w="220" w:type="dxa"/>
            <w:vAlign w:val="bottom"/>
          </w:tcPr>
          <w:p>
            <w:pPr>
              <w:spacing w:after="0"/>
              <w:rPr>
                <w:sz w:val="24"/>
                <w:szCs w:val="24"/>
                <w:color w:val="auto"/>
              </w:rPr>
            </w:pPr>
          </w:p>
        </w:tc>
        <w:tc>
          <w:tcPr>
            <w:tcW w:w="5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Consent of Gunderson Dettmer Stough Villeneuve Franklin &amp; Hachigian, LLP</w:t>
              </w:r>
            </w:hyperlink>
          </w:p>
        </w:tc>
        <w:tc>
          <w:tcPr>
            <w:tcW w:w="6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gridSpan w:val="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(contained in Exhibit 5.1).</w:t>
              </w:r>
            </w:hyperlink>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24.1</w:t>
            </w:r>
          </w:p>
        </w:tc>
        <w:tc>
          <w:tcPr>
            <w:tcW w:w="220" w:type="dxa"/>
            <w:vAlign w:val="bottom"/>
          </w:tcPr>
          <w:p>
            <w:pPr>
              <w:spacing w:after="0"/>
              <w:rPr>
                <w:sz w:val="24"/>
                <w:szCs w:val="24"/>
                <w:color w:val="auto"/>
              </w:rPr>
            </w:pPr>
          </w:p>
        </w:tc>
        <w:tc>
          <w:tcPr>
            <w:tcW w:w="6260" w:type="dxa"/>
            <w:vAlign w:val="bottom"/>
            <w:gridSpan w:val="6"/>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Power of Attorney (contained in the signature page hereto).</w:t>
              </w:r>
            </w:hyperlink>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99.1</w:t>
            </w:r>
          </w:p>
        </w:tc>
        <w:tc>
          <w:tcPr>
            <w:tcW w:w="220" w:type="dxa"/>
            <w:vAlign w:val="bottom"/>
          </w:tcPr>
          <w:p>
            <w:pPr>
              <w:spacing w:after="0"/>
              <w:rPr>
                <w:sz w:val="24"/>
                <w:szCs w:val="24"/>
                <w:color w:val="auto"/>
              </w:rPr>
            </w:pPr>
          </w:p>
        </w:tc>
        <w:tc>
          <w:tcPr>
            <w:tcW w:w="6260" w:type="dxa"/>
            <w:vAlign w:val="bottom"/>
            <w:gridSpan w:val="6"/>
          </w:tcPr>
          <w:p>
            <w:pPr>
              <w:spacing w:after="0"/>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2016 Stock Plan and forms of agreements thereunder.</w:t>
              </w:r>
            </w:hyperlink>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S-1</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333-249076</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09/25/2020</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99.2</w:t>
            </w:r>
          </w:p>
        </w:tc>
        <w:tc>
          <w:tcPr>
            <w:tcW w:w="220" w:type="dxa"/>
            <w:vAlign w:val="bottom"/>
          </w:tcPr>
          <w:p>
            <w:pPr>
              <w:spacing w:after="0"/>
              <w:rPr>
                <w:sz w:val="24"/>
                <w:szCs w:val="24"/>
                <w:color w:val="auto"/>
              </w:rPr>
            </w:pPr>
          </w:p>
        </w:tc>
        <w:tc>
          <w:tcPr>
            <w:tcW w:w="6260" w:type="dxa"/>
            <w:vAlign w:val="bottom"/>
            <w:gridSpan w:val="6"/>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2020 Equity Incentive Plan and forms of agreements thereunder.</w:t>
              </w:r>
            </w:hyperlink>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99.3</w:t>
            </w:r>
          </w:p>
        </w:tc>
        <w:tc>
          <w:tcPr>
            <w:tcW w:w="220" w:type="dxa"/>
            <w:vAlign w:val="bottom"/>
          </w:tcPr>
          <w:p>
            <w:pPr>
              <w:spacing w:after="0"/>
              <w:rPr>
                <w:sz w:val="24"/>
                <w:szCs w:val="24"/>
                <w:color w:val="auto"/>
              </w:rPr>
            </w:pPr>
          </w:p>
        </w:tc>
        <w:tc>
          <w:tcPr>
            <w:tcW w:w="6260" w:type="dxa"/>
            <w:vAlign w:val="bottom"/>
            <w:gridSpan w:val="6"/>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2020 Employee Stock Purchase Plan.</w:t>
              </w:r>
            </w:hyperlink>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undersigned Registrant hereby undertakes:</w:t>
      </w:r>
    </w:p>
    <w:p>
      <w:pPr>
        <w:spacing w:after="0" w:line="131"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440" w:right="20" w:firstLine="419"/>
        <w:spacing w:after="0" w:line="254" w:lineRule="auto"/>
        <w:tabs>
          <w:tab w:leader="none" w:pos="1128"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6" w:lineRule="exact"/>
        <w:rPr>
          <w:rFonts w:ascii="Arial" w:cs="Arial" w:eastAsia="Arial" w:hAnsi="Arial"/>
          <w:sz w:val="18"/>
          <w:szCs w:val="18"/>
          <w:color w:val="auto"/>
        </w:rPr>
      </w:pPr>
    </w:p>
    <w:p>
      <w:pPr>
        <w:ind w:left="440" w:firstLine="419"/>
        <w:spacing w:after="0" w:line="257" w:lineRule="auto"/>
        <w:tabs>
          <w:tab w:leader="none" w:pos="1178"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to include any material information with respect to the plan of distribution not previously disclosed in this Registration Statement or any material change to such information in this Registration Statement;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clauses A(1)(i) and A(1)(ii) above shall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w:t>
      </w:r>
    </w:p>
    <w:p>
      <w:pPr>
        <w:sectPr>
          <w:pgSz w:w="11900" w:h="16838" w:orient="portrait"/>
          <w:cols w:equalWidth="0" w:num="1">
            <w:col w:w="10980"/>
          </w:cols>
          <w:pgMar w:left="440" w:top="270" w:right="479" w:bottom="1440" w:gutter="0" w:footer="0" w:header="0"/>
        </w:sectPr>
      </w:pPr>
    </w:p>
    <w:bookmarkStart w:id="6" w:name="page7"/>
    <w:bookmarkEnd w:id="6"/>
    <w:p>
      <w:pPr>
        <w:ind w:left="960" w:hanging="532"/>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89" w:lineRule="exact"/>
        <w:rPr>
          <w:rFonts w:ascii="Arial" w:cs="Arial" w:eastAsia="Arial" w:hAnsi="Arial"/>
          <w:sz w:val="18"/>
          <w:szCs w:val="18"/>
          <w:color w:val="auto"/>
        </w:rPr>
      </w:pPr>
    </w:p>
    <w:p>
      <w:pPr>
        <w:ind w:left="960" w:right="40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Registrant’s offering.</w:t>
      </w:r>
    </w:p>
    <w:p>
      <w:pPr>
        <w:spacing w:after="0" w:line="170"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0"/>
          </w:cols>
          <w:pgMar w:left="440" w:top="274" w:right="4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Irvine, State of California on this 20</w:t>
      </w:r>
      <w:r>
        <w:rPr>
          <w:rFonts w:ascii="Arial" w:cs="Arial" w:eastAsia="Arial" w:hAnsi="Arial"/>
          <w:sz w:val="15"/>
          <w:szCs w:val="15"/>
          <w:color w:val="auto"/>
        </w:rPr>
        <w:t>th</w:t>
      </w:r>
      <w:r>
        <w:rPr>
          <w:rFonts w:ascii="Arial" w:cs="Arial" w:eastAsia="Arial" w:hAnsi="Arial"/>
          <w:sz w:val="18"/>
          <w:szCs w:val="18"/>
          <w:color w:val="auto"/>
        </w:rPr>
        <w:t xml:space="preserve"> day of October, 2020.</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TARSUS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Bobak Azamian, M.D.,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Chief Executive Officer and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9"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Bobak Azamian, M.D., Ph.D. and Leo M. Greenstein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each of the undersigned has executed this Power of Attorney as of the date indicated.</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Signature</w:t>
            </w:r>
          </w:p>
        </w:tc>
        <w:tc>
          <w:tcPr>
            <w:tcW w:w="3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80" w:type="dxa"/>
            <w:vAlign w:val="bottom"/>
          </w:tcPr>
          <w:p>
            <w:pPr>
              <w:spacing w:after="0"/>
              <w:rPr>
                <w:sz w:val="14"/>
                <w:szCs w:val="14"/>
                <w:color w:val="auto"/>
              </w:rPr>
            </w:pPr>
          </w:p>
        </w:tc>
      </w:tr>
      <w:tr>
        <w:trPr>
          <w:trHeight w:val="425"/>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Bobak Azamian, M.D., Ph.D.</w:t>
            </w:r>
          </w:p>
        </w:tc>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50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October 20, 2020</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Bobak Azamian, M.D., Ph.D.</w:t>
            </w:r>
          </w:p>
        </w:tc>
        <w:tc>
          <w:tcPr>
            <w:tcW w:w="508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Leo M. Greenstein</w:t>
            </w:r>
          </w:p>
        </w:tc>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4"/>
              </w:rPr>
              <w:t>Chief Financial Officer</w:t>
            </w:r>
          </w:p>
        </w:tc>
        <w:tc>
          <w:tcPr>
            <w:tcW w:w="150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October 20, 2020</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Leo M. Greenstein</w:t>
            </w:r>
          </w:p>
        </w:tc>
        <w:tc>
          <w:tcPr>
            <w:tcW w:w="5080" w:type="dxa"/>
            <w:vAlign w:val="bottom"/>
            <w:gridSpan w:val="3"/>
          </w:tcPr>
          <w:p>
            <w:pPr>
              <w:jc w:val="center"/>
              <w:spacing w:after="0"/>
              <w:rPr>
                <w:sz w:val="20"/>
                <w:szCs w:val="20"/>
                <w:color w:val="auto"/>
              </w:rPr>
            </w:pPr>
            <w:r>
              <w:rPr>
                <w:rFonts w:ascii="Arial" w:cs="Arial" w:eastAsia="Arial" w:hAnsi="Arial"/>
                <w:sz w:val="18"/>
                <w:szCs w:val="18"/>
                <w:i w:val="1"/>
                <w:iCs w:val="1"/>
                <w:color w:val="auto"/>
                <w:w w:val="95"/>
              </w:rPr>
              <w:t>(Principal Financial Officer and Principal Accounting Officer)</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Ackermann, Ph.D.</w:t>
            </w:r>
          </w:p>
        </w:tc>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9"/>
              </w:rPr>
              <w:t>Chairman</w:t>
            </w:r>
          </w:p>
        </w:tc>
        <w:tc>
          <w:tcPr>
            <w:tcW w:w="150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October 20, 2020</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Michael Ackermann, Ph.D.</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ectPr>
          <w:pgSz w:w="11900" w:h="16838" w:orient="portrait"/>
          <w:cols w:equalWidth="0" w:num="1">
            <w:col w:w="11000"/>
          </w:cols>
          <w:pgMar w:left="440" w:top="270" w:right="45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Signature</w:t>
            </w:r>
          </w:p>
        </w:tc>
        <w:tc>
          <w:tcPr>
            <w:tcW w:w="3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80" w:type="dxa"/>
            <w:vAlign w:val="bottom"/>
          </w:tcPr>
          <w:p>
            <w:pPr>
              <w:spacing w:after="0"/>
              <w:rPr>
                <w:sz w:val="14"/>
                <w:szCs w:val="14"/>
                <w:color w:val="auto"/>
              </w:rPr>
            </w:pPr>
          </w:p>
        </w:tc>
      </w:tr>
      <w:tr>
        <w:trPr>
          <w:trHeight w:val="425"/>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Bhaskar Chaudhuri, Ph.D.</w:t>
            </w:r>
          </w:p>
        </w:tc>
        <w:tc>
          <w:tcPr>
            <w:tcW w:w="4080" w:type="dxa"/>
            <w:vAlign w:val="bottom"/>
            <w:gridSpan w:val="3"/>
          </w:tcPr>
          <w:p>
            <w:pPr>
              <w:jc w:val="center"/>
              <w:ind w:left="910"/>
              <w:spacing w:after="0"/>
              <w:rPr>
                <w:sz w:val="20"/>
                <w:szCs w:val="20"/>
                <w:color w:val="auto"/>
              </w:rPr>
            </w:pPr>
            <w:r>
              <w:rPr>
                <w:rFonts w:ascii="Arial" w:cs="Arial" w:eastAsia="Arial" w:hAnsi="Arial"/>
                <w:sz w:val="18"/>
                <w:szCs w:val="18"/>
                <w:color w:val="auto"/>
                <w:w w:val="95"/>
              </w:rPr>
              <w:t>Director</w:t>
            </w:r>
          </w:p>
        </w:tc>
        <w:tc>
          <w:tcPr>
            <w:tcW w:w="2500" w:type="dxa"/>
            <w:vAlign w:val="bottom"/>
            <w:gridSpan w:val="3"/>
          </w:tcPr>
          <w:p>
            <w:pPr>
              <w:jc w:val="center"/>
              <w:ind w:left="1150"/>
              <w:spacing w:after="0"/>
              <w:rPr>
                <w:sz w:val="20"/>
                <w:szCs w:val="20"/>
                <w:color w:val="auto"/>
              </w:rPr>
            </w:pPr>
            <w:r>
              <w:rPr>
                <w:rFonts w:ascii="Arial" w:cs="Arial" w:eastAsia="Arial" w:hAnsi="Arial"/>
                <w:sz w:val="18"/>
                <w:szCs w:val="18"/>
                <w:color w:val="auto"/>
                <w:w w:val="90"/>
              </w:rPr>
              <w:t>October 20, 2020</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Bhaskar Chaudhuri, Ph.D.</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Goldberg, M.D.</w:t>
            </w:r>
          </w:p>
        </w:tc>
        <w:tc>
          <w:tcPr>
            <w:tcW w:w="4080" w:type="dxa"/>
            <w:vAlign w:val="bottom"/>
            <w:gridSpan w:val="3"/>
          </w:tcPr>
          <w:p>
            <w:pPr>
              <w:jc w:val="center"/>
              <w:ind w:left="910"/>
              <w:spacing w:after="0"/>
              <w:rPr>
                <w:sz w:val="20"/>
                <w:szCs w:val="20"/>
                <w:color w:val="auto"/>
              </w:rPr>
            </w:pPr>
            <w:r>
              <w:rPr>
                <w:rFonts w:ascii="Arial" w:cs="Arial" w:eastAsia="Arial" w:hAnsi="Arial"/>
                <w:sz w:val="18"/>
                <w:szCs w:val="18"/>
                <w:color w:val="auto"/>
                <w:w w:val="95"/>
              </w:rPr>
              <w:t>Director</w:t>
            </w:r>
          </w:p>
        </w:tc>
        <w:tc>
          <w:tcPr>
            <w:tcW w:w="2500" w:type="dxa"/>
            <w:vAlign w:val="bottom"/>
            <w:gridSpan w:val="3"/>
          </w:tcPr>
          <w:p>
            <w:pPr>
              <w:jc w:val="center"/>
              <w:ind w:left="1150"/>
              <w:spacing w:after="0"/>
              <w:rPr>
                <w:sz w:val="20"/>
                <w:szCs w:val="20"/>
                <w:color w:val="auto"/>
              </w:rPr>
            </w:pPr>
            <w:r>
              <w:rPr>
                <w:rFonts w:ascii="Arial" w:cs="Arial" w:eastAsia="Arial" w:hAnsi="Arial"/>
                <w:sz w:val="18"/>
                <w:szCs w:val="18"/>
                <w:color w:val="auto"/>
                <w:w w:val="90"/>
              </w:rPr>
              <w:t>October 20, 2020</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Andrew Goldberg, M.D.</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J. Link, Ph.D.</w:t>
            </w:r>
          </w:p>
        </w:tc>
        <w:tc>
          <w:tcPr>
            <w:tcW w:w="4080" w:type="dxa"/>
            <w:vAlign w:val="bottom"/>
            <w:gridSpan w:val="3"/>
          </w:tcPr>
          <w:p>
            <w:pPr>
              <w:jc w:val="center"/>
              <w:ind w:left="910"/>
              <w:spacing w:after="0"/>
              <w:rPr>
                <w:sz w:val="20"/>
                <w:szCs w:val="20"/>
                <w:color w:val="auto"/>
              </w:rPr>
            </w:pPr>
            <w:r>
              <w:rPr>
                <w:rFonts w:ascii="Arial" w:cs="Arial" w:eastAsia="Arial" w:hAnsi="Arial"/>
                <w:sz w:val="18"/>
                <w:szCs w:val="18"/>
                <w:color w:val="auto"/>
                <w:w w:val="95"/>
              </w:rPr>
              <w:t>Director</w:t>
            </w:r>
          </w:p>
        </w:tc>
        <w:tc>
          <w:tcPr>
            <w:tcW w:w="2500" w:type="dxa"/>
            <w:vAlign w:val="bottom"/>
            <w:gridSpan w:val="3"/>
          </w:tcPr>
          <w:p>
            <w:pPr>
              <w:jc w:val="center"/>
              <w:ind w:left="1150"/>
              <w:spacing w:after="0"/>
              <w:rPr>
                <w:sz w:val="20"/>
                <w:szCs w:val="20"/>
                <w:color w:val="auto"/>
              </w:rPr>
            </w:pPr>
            <w:r>
              <w:rPr>
                <w:rFonts w:ascii="Arial" w:cs="Arial" w:eastAsia="Arial" w:hAnsi="Arial"/>
                <w:sz w:val="18"/>
                <w:szCs w:val="18"/>
                <w:color w:val="auto"/>
                <w:w w:val="90"/>
              </w:rPr>
              <w:t>October 20, 2020</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William J. Link, Ph.D.</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Jason Tester</w:t>
            </w:r>
          </w:p>
        </w:tc>
        <w:tc>
          <w:tcPr>
            <w:tcW w:w="4080" w:type="dxa"/>
            <w:vAlign w:val="bottom"/>
            <w:gridSpan w:val="3"/>
          </w:tcPr>
          <w:p>
            <w:pPr>
              <w:jc w:val="center"/>
              <w:ind w:left="910"/>
              <w:spacing w:after="0"/>
              <w:rPr>
                <w:sz w:val="20"/>
                <w:szCs w:val="20"/>
                <w:color w:val="auto"/>
              </w:rPr>
            </w:pPr>
            <w:r>
              <w:rPr>
                <w:rFonts w:ascii="Arial" w:cs="Arial" w:eastAsia="Arial" w:hAnsi="Arial"/>
                <w:sz w:val="18"/>
                <w:szCs w:val="18"/>
                <w:color w:val="auto"/>
                <w:w w:val="95"/>
              </w:rPr>
              <w:t>Director</w:t>
            </w:r>
          </w:p>
        </w:tc>
        <w:tc>
          <w:tcPr>
            <w:tcW w:w="2500" w:type="dxa"/>
            <w:vAlign w:val="bottom"/>
            <w:gridSpan w:val="3"/>
          </w:tcPr>
          <w:p>
            <w:pPr>
              <w:jc w:val="center"/>
              <w:ind w:left="1150"/>
              <w:spacing w:after="0"/>
              <w:rPr>
                <w:sz w:val="20"/>
                <w:szCs w:val="20"/>
                <w:color w:val="auto"/>
              </w:rPr>
            </w:pPr>
            <w:r>
              <w:rPr>
                <w:rFonts w:ascii="Arial" w:cs="Arial" w:eastAsia="Arial" w:hAnsi="Arial"/>
                <w:sz w:val="18"/>
                <w:szCs w:val="18"/>
                <w:color w:val="auto"/>
                <w:w w:val="90"/>
              </w:rPr>
              <w:t>October 20, 2020</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Jason Tester</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ectPr>
          <w:pgSz w:w="11900" w:h="16838" w:orient="portrait"/>
          <w:cols w:equalWidth="0" w:num="1">
            <w:col w:w="10760"/>
          </w:cols>
          <w:pgMar w:left="440" w:top="265" w:right="6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171450</wp:posOffset>
            </wp:positionV>
            <wp:extent cx="5332095" cy="1071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533209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Tarsus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15440 Laguna Canyon Road, Suite 160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Irvine, CA 92618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refer to the registration statement on Form S-8 (the “Registration Statement”) to be filed by Tarsus Pharmaceuticals, Inc., a Delaware corporation (the “Company”), with the Securities and Exchange Commission (the “Commission”) in connection with the registration under the Securities Act of 1933, as amended (the “Act”), of an aggregate of 13,732,980 shares of the Company’s common stock, $0.0001 par value per share (the “Shares”), that are subject to issuance by the Company (i) upon the exercise or settlement of awards granted or to be granted under the Company’s 2020 Equity Incentive Plan, (ii) the exercise of purchase rights to acquire shares of common stock granted or to be granted under the Company’s 2020 Employee Stock Purchase Plan and (iii) pursuant to awards granted under the Company’s 2016 Stock Plan. The Company’s 2020 Equity Incentive Plan, 2020 Employee Stock Purchase Plan and 2016 Stock Plan are collectively referred to in this letter as the “Plans.”</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connection with this opinion, we have reviewed the actions proposed to be taken by you in connection with the issuance and sale of the Shares to be issued under the Plans. We have also examined and relied upon the Registration Statement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“DGCL”).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132080</wp:posOffset>
            </wp:positionV>
            <wp:extent cx="5332095" cy="368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5332095" cy="36830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0" w:name="page11"/>
    <w:bookmarkEnd w:id="10"/>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Based upon and subject to the foregoing, we advise you that, in our opinion, when the Shares have been issued and sold by the Company pursuant to the applicable provisions of the Plans and pursuant to the agreements which accompany the Plans, and in accordance with the Registration Statement, such Shares will be validly issued, fully paid and nonassessable.</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hereby consent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Gunderson Dettmer Stough</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Villeneuve Franklin &amp; Hachigian, LLP</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GUNDERSON DETTMER STOUGH</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VILLENEUVE FRANKLIN &amp; HACHIGIAN, LLP</w:t>
      </w:r>
    </w:p>
    <w:p>
      <w:pPr>
        <w:sectPr>
          <w:pgSz w:w="11900" w:h="16838" w:orient="portrait"/>
          <w:cols w:equalWidth="0" w:num="1">
            <w:col w:w="11000"/>
          </w:cols>
          <w:pgMar w:left="440" w:top="274" w:right="4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Tarsus Pharmaceuticals, Inc. 2020 Equity Incentive Plan, the Tarsus Pharmaceuticals, Inc. 2020 Employee Stock Purchase Plan, and the Tarsus Pharmaceuticals, Inc. 2016 Stock Plan of Tarsus Pharmaceuticals, Inc. of our report dated August 7, 2020 (except for the retroactive effect of the 1-for-7.4276 reverse stock split as described in the second paragraph of Note 1(a), as to which the date is October 9, 2020), with respect to the financial statements of Tarsus Pharmaceuticals, Inc. for the year ended December 31, 2019 included in its Registration Statement on Form S-1,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20, 2020</w:t>
      </w:r>
    </w:p>
    <w:p>
      <w:pPr>
        <w:sectPr>
          <w:pgSz w:w="11900" w:h="16838" w:orient="portrait"/>
          <w:cols w:equalWidth="0" w:num="1">
            <w:col w:w="11020"/>
          </w:cols>
          <w:pgMar w:left="440" w:top="121"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ARSUS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 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CTOBER</w:t>
      </w:r>
      <w:r>
        <w:rPr>
          <w:rFonts w:ascii="Arial" w:cs="Arial" w:eastAsia="Arial" w:hAnsi="Arial"/>
          <w:sz w:val="18"/>
          <w:szCs w:val="18"/>
          <w:b w:val="1"/>
          <w:bCs w:val="1"/>
          <w:color w:val="auto"/>
        </w:rPr>
        <w:t xml:space="preserve"> 8, 2020)</w:t>
      </w:r>
    </w:p>
    <w:p>
      <w:pPr>
        <w:sectPr>
          <w:pgSz w:w="11900" w:h="16838" w:orient="portrait"/>
          <w:cols w:equalWidth="0" w:num="1">
            <w:col w:w="10020"/>
          </w:cols>
          <w:pgMar w:left="1440" w:top="121" w:right="439" w:bottom="1440" w:gutter="0" w:footer="0" w:header="0"/>
        </w:sectPr>
      </w:pPr>
    </w:p>
    <w:bookmarkStart w:id="13" w:name="page14"/>
    <w:bookmarkEnd w:id="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w:t>
      </w:r>
      <w:r>
        <w:rPr>
          <w:rFonts w:ascii="Arial" w:cs="Arial" w:eastAsia="Arial" w:hAnsi="Arial"/>
          <w:sz w:val="14"/>
          <w:szCs w:val="14"/>
          <w:b w:val="1"/>
          <w:bCs w:val="1"/>
          <w:color w:val="auto"/>
        </w:rPr>
        <w:t>ARSUS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1. INTRODUCTION.</w:t>
      </w:r>
    </w:p>
    <w:p>
      <w:pPr>
        <w:spacing w:after="0" w:line="121"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The Board adopted the Plan to become effective immediately, although no Awards may be granted prior to the IPO Date. The purpose of the Plan is to promote the long-term success of the Company and the creation of stockholder value by (a) encouraging Service Providers to focus on critical long-range corporate objectives, (b) encouraging the attraction and retention of Service Providers with exceptional qualifications and (c) linking Service Providers directly to stockholder interests through increased stock ownership. The Plan seeks to achieve this purpose by providing for Awards in the form of Options (which may be ISOs or NSOs), SARs, Restricted Shares and Restricted Stock Units. Capitalized terms used in this Plan are defined in Article 14.</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2. ADMINISTRATION.</w:t>
      </w:r>
    </w:p>
    <w:p>
      <w:pPr>
        <w:spacing w:after="0" w:line="117" w:lineRule="exact"/>
        <w:rPr>
          <w:sz w:val="20"/>
          <w:szCs w:val="20"/>
          <w:color w:val="auto"/>
        </w:rPr>
      </w:pPr>
    </w:p>
    <w:p>
      <w:pPr>
        <w:ind w:left="4" w:right="80" w:firstLine="440"/>
        <w:spacing w:after="0" w:line="29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General</w:t>
      </w:r>
      <w:r>
        <w:rPr>
          <w:rFonts w:ascii="Arial" w:cs="Arial" w:eastAsia="Arial" w:hAnsi="Arial"/>
          <w:sz w:val="16"/>
          <w:szCs w:val="16"/>
          <w:color w:val="auto"/>
        </w:rPr>
        <w:t>. The Plan may be administered by the Board or one or more Committees to which the Board (or an authorized Board committee) has delegated authority. If administration is delegated to a Committee, the Committee shall have the powers theretofore possessed by the Board, including, to the extent permitted by applicable law, the power to delegate to a subcommittee any of the administrative powers the Committee is authorized to exercise (and references in this Plan to either the Board or the Administrator shall hereafter also encompass the Committee or subcommittee, as applicable). The Board may abolish the Committee’s delegation at any time and the Board shall at all times also retain the authority it has delegated to the Committee. The Administrator shall comply with rules and regulations applicable to it, including under the rules of any exchange on which the Common Shares are traded, and shall have the authority and be responsible for such functions as have been assigned to it.</w:t>
      </w:r>
    </w:p>
    <w:p>
      <w:pPr>
        <w:spacing w:after="0" w:line="161"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2.2 Section 16</w:t>
      </w:r>
      <w:r>
        <w:rPr>
          <w:rFonts w:ascii="Arial" w:cs="Arial" w:eastAsia="Arial" w:hAnsi="Arial"/>
          <w:sz w:val="18"/>
          <w:szCs w:val="18"/>
          <w:color w:val="auto"/>
        </w:rPr>
        <w:t>. To the extent desirable to qualify transactions hereunder as exempt under Exchange Act Rule 16b-3, the transactions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will be approved by the entire Board or a Committee of two or more “non-employee directors” within the meaning of Exchange Act Rule 16b-3.</w:t>
      </w:r>
    </w:p>
    <w:p>
      <w:pPr>
        <w:spacing w:after="0" w:line="176" w:lineRule="exact"/>
        <w:rPr>
          <w:sz w:val="20"/>
          <w:szCs w:val="20"/>
          <w:color w:val="auto"/>
        </w:rPr>
      </w:pPr>
    </w:p>
    <w:p>
      <w:pPr>
        <w:ind w:left="4" w:right="280" w:firstLine="440"/>
        <w:spacing w:after="0" w:line="289" w:lineRule="auto"/>
        <w:rPr>
          <w:sz w:val="20"/>
          <w:szCs w:val="20"/>
          <w:color w:val="auto"/>
        </w:rPr>
      </w:pPr>
      <w:r>
        <w:rPr>
          <w:rFonts w:ascii="Arial" w:cs="Arial" w:eastAsia="Arial" w:hAnsi="Arial"/>
          <w:sz w:val="16"/>
          <w:szCs w:val="16"/>
          <w:b w:val="1"/>
          <w:bCs w:val="1"/>
          <w:color w:val="auto"/>
        </w:rPr>
        <w:t>2.3 Powers of Administrator</w:t>
      </w:r>
      <w:r>
        <w:rPr>
          <w:rFonts w:ascii="Arial" w:cs="Arial" w:eastAsia="Arial" w:hAnsi="Arial"/>
          <w:sz w:val="16"/>
          <w:szCs w:val="16"/>
          <w:color w:val="auto"/>
        </w:rPr>
        <w:t>. Subject to the terms of the Plan, and in the case of a Committee, subject to the specific duties delegated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the Administrator shall have the authority to (a) select the Service Providers who are to receive Awards under the Plan, (b) determine the type, number, vesting requirements and other features and conditions of such Awards, (c) interpret the Plan and Awards granted under the Plan,</w:t>
      </w:r>
    </w:p>
    <w:p>
      <w:pPr>
        <w:spacing w:after="0" w:line="2" w:lineRule="exact"/>
        <w:rPr>
          <w:sz w:val="20"/>
          <w:szCs w:val="20"/>
          <w:color w:val="auto"/>
        </w:rPr>
      </w:pPr>
    </w:p>
    <w:p>
      <w:pPr>
        <w:ind w:left="4" w:right="60" w:hanging="4"/>
        <w:spacing w:after="0" w:line="287" w:lineRule="auto"/>
        <w:tabs>
          <w:tab w:leader="none" w:pos="259" w:val="left"/>
        </w:tabs>
        <w:numPr>
          <w:ilvl w:val="0"/>
          <w:numId w:val="6"/>
        </w:numPr>
        <w:rPr>
          <w:rFonts w:ascii="Arial" w:cs="Arial" w:eastAsia="Arial" w:hAnsi="Arial"/>
          <w:sz w:val="16"/>
          <w:szCs w:val="16"/>
          <w:color w:val="auto"/>
        </w:rPr>
      </w:pPr>
      <w:r>
        <w:rPr>
          <w:rFonts w:ascii="Arial" w:cs="Arial" w:eastAsia="Arial" w:hAnsi="Arial"/>
          <w:sz w:val="16"/>
          <w:szCs w:val="16"/>
          <w:color w:val="auto"/>
        </w:rPr>
        <w:t>determine whether, when and to what extent an Award has become vested and/or exercisable and whether any performance-based vesting conditions have been satisfied, (e) make, amend and rescind rules relating to the Plan and Awards granted under the Plan, including rules relating to sub-plans established for the purposes of satisfying applicable foreign laws or for qualifying for favorable tax treatment under applicable foreign laws, (f) impose such restrictions, conditions or limitations as it determines appropriate as to the timing and manner of any resales by a Participant of any Common Shares issued pursuant to an Award, including restrictions under an insider trading policy and restrictions as to the use of a specified brokerage firm for such resales, and (g) make all other decisions relating to the operation of the Plan and Awards granted under the Plan. In addition, with regard to the terms and conditions of Awards granted to Service Providers outside of the United States, the Administrator may vary from the provisions of the Plan (other than any requiring stockholder approval pursuant to Section 13.3) to the extent it determines it necessary and appropriate to do so.</w:t>
      </w:r>
    </w:p>
    <w:p>
      <w:pPr>
        <w:spacing w:after="0" w:line="166" w:lineRule="exact"/>
        <w:rPr>
          <w:sz w:val="20"/>
          <w:szCs w:val="20"/>
          <w:color w:val="auto"/>
        </w:rPr>
      </w:pPr>
    </w:p>
    <w:p>
      <w:pPr>
        <w:ind w:left="4" w:right="460" w:firstLine="440"/>
        <w:spacing w:after="0" w:line="282" w:lineRule="auto"/>
        <w:rPr>
          <w:sz w:val="20"/>
          <w:szCs w:val="20"/>
          <w:color w:val="auto"/>
        </w:rPr>
      </w:pPr>
      <w:r>
        <w:rPr>
          <w:rFonts w:ascii="Arial" w:cs="Arial" w:eastAsia="Arial" w:hAnsi="Arial"/>
          <w:sz w:val="18"/>
          <w:szCs w:val="18"/>
          <w:b w:val="1"/>
          <w:bCs w:val="1"/>
          <w:color w:val="auto"/>
        </w:rPr>
        <w:t>2.4 Effect of Administrator’s Decisions</w:t>
      </w:r>
      <w:r>
        <w:rPr>
          <w:rFonts w:ascii="Arial" w:cs="Arial" w:eastAsia="Arial" w:hAnsi="Arial"/>
          <w:sz w:val="18"/>
          <w:szCs w:val="18"/>
          <w:color w:val="auto"/>
        </w:rPr>
        <w:t>. The Administrator’s decisions, determinations and interpretations shall be final and binding on all</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parties.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14" w:name="page15"/>
    <w:bookmarkEnd w:id="14"/>
    <w:p>
      <w:pPr>
        <w:ind w:right="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2.5 Governing Law</w:t>
      </w:r>
      <w:r>
        <w:rPr>
          <w:rFonts w:ascii="Arial" w:cs="Arial" w:eastAsia="Arial" w:hAnsi="Arial"/>
          <w:sz w:val="18"/>
          <w:szCs w:val="18"/>
          <w:color w:val="auto"/>
        </w:rPr>
        <w:t>. The Plan shall be governed by, and construed in accordance with, the laws of the State of Delaware (except its choice-of-law</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SHARES AVAILABLE FOR GRANTS.</w:t>
      </w:r>
    </w:p>
    <w:p>
      <w:pPr>
        <w:spacing w:after="0" w:line="11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b w:val="1"/>
          <w:bCs w:val="1"/>
          <w:color w:val="auto"/>
        </w:rPr>
        <w:t>3.1 Basic Limitation</w:t>
      </w:r>
      <w:r>
        <w:rPr>
          <w:rFonts w:ascii="Arial" w:cs="Arial" w:eastAsia="Arial" w:hAnsi="Arial"/>
          <w:sz w:val="17"/>
          <w:szCs w:val="17"/>
          <w:color w:val="auto"/>
        </w:rPr>
        <w:t>. Common Shares issued pursuant to the Plan may be authorized but unissued shares or treasury shares. The aggregate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Common Shares issued under the Plan shall not exceed the sum of (a) 9,000,000 Common Shares, (b) any Common Shares subject to awards granted under the Predecessor Plan that are outstanding on the IPO Date that subsequently are forfeited, expire or lapse unexercised or unsettled and Common Shares issued pursuant to awards granted under the Predecessor Plan that are outstanding on the IPO Date and that are subsequently forfeited to or reacquired by the Company, (c) the number of Common Shares reserved under the Predecessor Plan that are not issued or subject to outstanding awards under the Predecessor Plan on the IPO Date and (d) the additional Common Shares described in Articles 3.2 and 3.3; provided, however, that no more than 2,433,395 Common Shares, in the aggregate, shall be added to the Plan pursuant to clauses (b) and (c). The Company shall reserve and keep available such number of Common Shares as will be sufficient to satisfy the requirements of the Plan. The numerical limitations in this Article 3.1 shall be subject to adjustment pursuant to Article 9.</w:t>
      </w:r>
    </w:p>
    <w:p>
      <w:pPr>
        <w:spacing w:after="0" w:line="173"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3.2 Annual Increase in Shares</w:t>
      </w:r>
      <w:r>
        <w:rPr>
          <w:rFonts w:ascii="Arial" w:cs="Arial" w:eastAsia="Arial" w:hAnsi="Arial"/>
          <w:sz w:val="18"/>
          <w:szCs w:val="18"/>
          <w:color w:val="auto"/>
        </w:rPr>
        <w:t>. On the first day of each fiscal year of the Company during the term of the Plan, commencing in 2021 and ending</w:t>
      </w:r>
      <w:r>
        <w:rPr>
          <w:rFonts w:ascii="Arial" w:cs="Arial" w:eastAsia="Arial" w:hAnsi="Arial"/>
          <w:sz w:val="18"/>
          <w:szCs w:val="18"/>
          <w:b w:val="1"/>
          <w:bCs w:val="1"/>
          <w:color w:val="auto"/>
        </w:rPr>
        <w:t xml:space="preserve"> </w:t>
      </w:r>
      <w:r>
        <w:rPr>
          <w:rFonts w:ascii="Arial" w:cs="Arial" w:eastAsia="Arial" w:hAnsi="Arial"/>
          <w:sz w:val="18"/>
          <w:szCs w:val="18"/>
          <w:color w:val="auto"/>
        </w:rPr>
        <w:t>in (and including) 2030, the aggregate number of Common Shares that may be issued under the Plan shall automatically increase by a number equal to the lesser of (a) 4% of the total number of Common Shares actually issued and outstanding on the last day of the preceding fiscal year or (b) a number of Common Shares determined by the Board.</w:t>
      </w:r>
    </w:p>
    <w:p>
      <w:pPr>
        <w:spacing w:after="0" w:line="180"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b w:val="1"/>
          <w:bCs w:val="1"/>
          <w:color w:val="auto"/>
        </w:rPr>
        <w:t>3.3 Shares Returned to Reserve</w:t>
      </w:r>
      <w:r>
        <w:rPr>
          <w:rFonts w:ascii="Arial" w:cs="Arial" w:eastAsia="Arial" w:hAnsi="Arial"/>
          <w:sz w:val="16"/>
          <w:szCs w:val="16"/>
          <w:color w:val="auto"/>
        </w:rPr>
        <w:t>. To the extent that Options, SARs, Restricted Stock Units or other Awards are forfeited, cancelled or expire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reason before being exercised or settled in full, the Common Shares subject to such Awards shall again become available for issuance under the Plan. If SARs are exercised or Restricted Stock Units are settled, then only the number of Common Shares (if any) actually issued to the Participant upon exercise of such SARs or settlement of such Restricted Stock Units, as applicable, shall reduce the number of Common Shares available under Article 3.1 and the balance shall again become available for issuance under the Plan. If Restricted Shares or Common Shares issued upon the exercise of Options are reacquired by the Company pursuant to a forfeiture provision, repurchase right or for any other reason, then such Common Shares shall again become available for issuance under the Plan. Common Shares applied to pay the Exercise Price of Options or to satisfy tax withholding obligations related to any Award shall again become available for issuance under the Plan. To the extent that an Award is settled in cash rather than Common Shares, the cash settlement shall not reduce the number of Shares available for issuance under the Plan.</w:t>
      </w:r>
    </w:p>
    <w:p>
      <w:pPr>
        <w:spacing w:after="0" w:line="166" w:lineRule="exact"/>
        <w:rPr>
          <w:sz w:val="20"/>
          <w:szCs w:val="20"/>
          <w:color w:val="auto"/>
        </w:rPr>
      </w:pPr>
    </w:p>
    <w:p>
      <w:pPr>
        <w:ind w:right="80" w:firstLine="440"/>
        <w:spacing w:after="0" w:line="298" w:lineRule="auto"/>
        <w:rPr>
          <w:sz w:val="20"/>
          <w:szCs w:val="20"/>
          <w:color w:val="auto"/>
        </w:rPr>
      </w:pPr>
      <w:r>
        <w:rPr>
          <w:rFonts w:ascii="Arial" w:cs="Arial" w:eastAsia="Arial" w:hAnsi="Arial"/>
          <w:sz w:val="16"/>
          <w:szCs w:val="16"/>
          <w:b w:val="1"/>
          <w:bCs w:val="1"/>
          <w:color w:val="auto"/>
        </w:rPr>
        <w:t>3.4 Awards Not Reducing Share Reserve</w:t>
      </w:r>
      <w:r>
        <w:rPr>
          <w:rFonts w:ascii="Arial" w:cs="Arial" w:eastAsia="Arial" w:hAnsi="Arial"/>
          <w:sz w:val="16"/>
          <w:szCs w:val="16"/>
          <w:color w:val="auto"/>
        </w:rPr>
        <w:t>. To the extent permitted under applicable exchange listing standards, any dividend equivalents paid or</w:t>
      </w:r>
      <w:r>
        <w:rPr>
          <w:rFonts w:ascii="Arial" w:cs="Arial" w:eastAsia="Arial" w:hAnsi="Arial"/>
          <w:sz w:val="16"/>
          <w:szCs w:val="16"/>
          <w:b w:val="1"/>
          <w:bCs w:val="1"/>
          <w:color w:val="auto"/>
        </w:rPr>
        <w:t xml:space="preserve"> </w:t>
      </w:r>
      <w:r>
        <w:rPr>
          <w:rFonts w:ascii="Arial" w:cs="Arial" w:eastAsia="Arial" w:hAnsi="Arial"/>
          <w:sz w:val="16"/>
          <w:szCs w:val="16"/>
          <w:color w:val="auto"/>
        </w:rPr>
        <w:t>credited under the Plan with respect to Restricted Stock Units shall not be applied against the number of Common Shares that may be issued under the Plan, whether or not such dividend equivalents are converted into Restricted Stock Units. In addition, Common Shares subject to Substitute Awards granted by the Company shall not reduce the number of Common Shares that may be issued under Article 3.1, nor shall shares subject to Substitute Awards again be available for Awards under the Plan in the event of any forfeiture, expiration or cash settlement of such Substitute Awards.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3.5 Code Section 422 and Other Limits. </w:t>
      </w:r>
      <w:r>
        <w:rPr>
          <w:rFonts w:ascii="Arial" w:cs="Arial" w:eastAsia="Arial" w:hAnsi="Arial"/>
          <w:sz w:val="18"/>
          <w:szCs w:val="18"/>
          <w:color w:val="auto"/>
        </w:rPr>
        <w:t>Subject to adjustment in accordance with Article 9:</w:t>
      </w:r>
    </w:p>
    <w:p>
      <w:pPr>
        <w:spacing w:after="0" w:line="229" w:lineRule="exact"/>
        <w:rPr>
          <w:sz w:val="20"/>
          <w:szCs w:val="20"/>
          <w:color w:val="auto"/>
        </w:rPr>
      </w:pPr>
    </w:p>
    <w:p>
      <w:pPr>
        <w:ind w:left="5460" w:right="2580" w:hanging="4473"/>
        <w:spacing w:after="0" w:line="449" w:lineRule="auto"/>
        <w:tabs>
          <w:tab w:leader="none" w:pos="1233"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more than 20,633,395 Common Shares may be issued under the Plan upon the exercise of ISOs. 2</w:t>
      </w:r>
    </w:p>
    <w:p>
      <w:pPr>
        <w:sectPr>
          <w:pgSz w:w="11900" w:h="16838" w:orient="portrait"/>
          <w:cols w:equalWidth="0" w:num="1">
            <w:col w:w="11000"/>
          </w:cols>
          <w:pgMar w:left="440" w:top="270" w:right="459" w:bottom="1440" w:gutter="0" w:footer="0" w:header="0"/>
        </w:sectPr>
      </w:pPr>
    </w:p>
    <w:bookmarkStart w:id="15" w:name="page16"/>
    <w:bookmarkEnd w:id="15"/>
    <w:p>
      <w:pPr>
        <w:ind w:right="80" w:firstLine="987"/>
        <w:spacing w:after="0" w:line="254" w:lineRule="auto"/>
        <w:tabs>
          <w:tab w:leader="none" w:pos="1246"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aggregate grant date fair value of Awards granted to an Outside Director during any one fiscal year of the Company, together with the value of any cash compensation paid to the Outside Director during such fiscal year, may not exceed $800,000 (on a per-Director basis); provided however that the limitation that will apply in the fiscal year in which the Outside Director is initially appointed or elected to the Board shall instead be $1,200,000. For purposes of this limitation, the grant date fair value of an Award shall be determined in accordance with the assumptions that the Company uses to estimate the value of share-based payments for financial reporting purposes. For the sake of clarity, neither Awards granted, nor compensation paid, to an individual for his or her service as an Employee or Consultant, but not as an Outside Director, shall count towards this limitation.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ELIGIBILITY.</w:t>
      </w:r>
    </w:p>
    <w:p>
      <w:pPr>
        <w:spacing w:after="0" w:line="117"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4.1 Incentive Stock Options</w:t>
      </w:r>
      <w:r>
        <w:rPr>
          <w:rFonts w:ascii="Arial" w:cs="Arial" w:eastAsia="Arial" w:hAnsi="Arial"/>
          <w:sz w:val="18"/>
          <w:szCs w:val="18"/>
          <w:color w:val="auto"/>
        </w:rPr>
        <w:t>. Only Employees who are common-law employees of the Company, a Parent or a Subsidiary shall be eligible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ISOs. In addition, an Employee who owns more than 10% of the total combined voting power of all classes of outstanding stock of the Company or any of its Parents or Subsidiaries shall not be eligible for the grant of an ISO unless the additional requirements set forth in Code Section 422(c)(5) are satisfied.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 Other Awards</w:t>
      </w:r>
      <w:r>
        <w:rPr>
          <w:rFonts w:ascii="Arial" w:cs="Arial" w:eastAsia="Arial" w:hAnsi="Arial"/>
          <w:sz w:val="18"/>
          <w:szCs w:val="18"/>
          <w:color w:val="auto"/>
        </w:rPr>
        <w:t>. Awards other than ISOs may be granted to both Employees and other Service Providers.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OPTIONS.</w:t>
      </w:r>
    </w:p>
    <w:p>
      <w:pPr>
        <w:spacing w:after="0" w:line="117"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5.1 Stock Option Agreement</w:t>
      </w:r>
      <w:r>
        <w:rPr>
          <w:rFonts w:ascii="Arial" w:cs="Arial" w:eastAsia="Arial" w:hAnsi="Arial"/>
          <w:sz w:val="18"/>
          <w:szCs w:val="18"/>
          <w:color w:val="auto"/>
        </w:rPr>
        <w:t>. Each grant of an Option under the Plan shall be evidenced by a Stock Option Agreement between the Optionee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Such Option shall be subject to all applicable terms of the Plan and may be subject to any other terms that are not inconsistent with the Plan. The Stock Option Agreement shall specify whether the Option is intended to be an ISO or an NSO. The provisions of the various Stock Option Agreements entered into under the Plan need not be identical.</w:t>
      </w:r>
    </w:p>
    <w:p>
      <w:pPr>
        <w:spacing w:after="0" w:line="180"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5.2 Number of Shares</w:t>
      </w:r>
      <w:r>
        <w:rPr>
          <w:rFonts w:ascii="Arial" w:cs="Arial" w:eastAsia="Arial" w:hAnsi="Arial"/>
          <w:sz w:val="18"/>
          <w:szCs w:val="18"/>
          <w:color w:val="auto"/>
        </w:rPr>
        <w:t>. Each Stock Option Agreement shall specify the number of Common Shares subject to the Option, which number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adjust in accordance with Article 9.</w:t>
      </w:r>
    </w:p>
    <w:p>
      <w:pPr>
        <w:spacing w:after="0" w:line="162"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5.3 Exercise Price</w:t>
      </w:r>
      <w:r>
        <w:rPr>
          <w:rFonts w:ascii="Arial" w:cs="Arial" w:eastAsia="Arial" w:hAnsi="Arial"/>
          <w:sz w:val="18"/>
          <w:szCs w:val="18"/>
          <w:color w:val="auto"/>
        </w:rPr>
        <w:t>. Each Stock Option Agreement shall specify the Exercise Price, which shall not be less than 100% of the Fair Market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a Common Share on the date of grant. The preceding sentence shall not apply to an Option that is a Substitute Award granted in a manner that would satisfy the requirements of Code Section 409A and, if applicable, Code Section 424(a).</w:t>
      </w:r>
    </w:p>
    <w:p>
      <w:pPr>
        <w:spacing w:after="0" w:line="176"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5.4 Exercisability and Term</w:t>
      </w:r>
      <w:r>
        <w:rPr>
          <w:rFonts w:ascii="Arial" w:cs="Arial" w:eastAsia="Arial" w:hAnsi="Arial"/>
          <w:sz w:val="16"/>
          <w:szCs w:val="16"/>
          <w:color w:val="auto"/>
        </w:rPr>
        <w:t>. Each Stock Option Agreement shall specify the date or event when all or any installment of the Option is to become</w:t>
      </w:r>
      <w:r>
        <w:rPr>
          <w:rFonts w:ascii="Arial" w:cs="Arial" w:eastAsia="Arial" w:hAnsi="Arial"/>
          <w:sz w:val="16"/>
          <w:szCs w:val="16"/>
          <w:b w:val="1"/>
          <w:bCs w:val="1"/>
          <w:color w:val="auto"/>
        </w:rPr>
        <w:t xml:space="preserve"> </w:t>
      </w:r>
      <w:r>
        <w:rPr>
          <w:rFonts w:ascii="Arial" w:cs="Arial" w:eastAsia="Arial" w:hAnsi="Arial"/>
          <w:sz w:val="16"/>
          <w:szCs w:val="16"/>
          <w:color w:val="auto"/>
        </w:rPr>
        <w:t>vested and/or exercisable. The vesting and exercisability conditions applicable to the Option may include service-based conditions, performance-based conditions, such other conditions as the Administrator may determine, or any combination of such conditions. The Stock Option Agreement shall also specify the term of the Option; provided that, except to the extent necessary to comply with applicable foreign law, the term of an Option shall in no event exceed 10 years from the date of grant. A Stock Option Agreement may provide for accelerated vesting and/or exercisability upon certain specified events and may provide for expiration prior to the end of its term in the event of the termination of the Optionee’s service.</w:t>
      </w:r>
    </w:p>
    <w:p>
      <w:pPr>
        <w:spacing w:after="0" w:line="160"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5.5 Death of Optionee</w:t>
      </w:r>
      <w:r>
        <w:rPr>
          <w:rFonts w:ascii="Arial" w:cs="Arial" w:eastAsia="Arial" w:hAnsi="Arial"/>
          <w:sz w:val="18"/>
          <w:szCs w:val="18"/>
          <w:color w:val="auto"/>
        </w:rPr>
        <w:t>. After an Optionee’s death, any vested and exercisable Options held by such Optionee may be exercised by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beneficiary or beneficiaries. Each 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Options held by the Optionee may be exercised by his or her estate.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6" w:name="page17"/>
    <w:bookmarkEnd w:id="16"/>
    <w:p>
      <w:pPr>
        <w:ind w:right="60" w:firstLine="44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5.6 Modification or Assumption of Options</w:t>
      </w:r>
      <w:r>
        <w:rPr>
          <w:rFonts w:ascii="Arial" w:cs="Arial" w:eastAsia="Arial" w:hAnsi="Arial"/>
          <w:sz w:val="17"/>
          <w:szCs w:val="17"/>
          <w:color w:val="auto"/>
        </w:rPr>
        <w:t>. Within the limitations of the Plan, the Administrator may modify, extend or assume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The foregoing notwithstanding, no modification of an Option shall, without the consent of the Optionee, materially impair his or her rights or obligations under such Option. Notwithstanding anything in this Plan to the contrary, and except for the adjustments provided in Article 9, neither the Administrator nor any other person may (a) decrease the exercise price for any outstanding Option after the date of grant, (b) cancel or allow an Optionee to surrender an outstanding Option to the Company in exchange for cash or as consideration for the grant of a new Option with a lower exercise price or the grant of another type of Award the effect of which is to reduce the exercise price of any outstanding Option, or (c) take any other action with respect to an Option that would be treated as a repricing under the rules and regulations of the Nasdaq Stock Market (or such other principal U.S. national securities exchange on which the Common Shares are traded).</w:t>
      </w:r>
    </w:p>
    <w:p>
      <w:pPr>
        <w:spacing w:after="0" w:line="172" w:lineRule="exact"/>
        <w:rPr>
          <w:sz w:val="20"/>
          <w:szCs w:val="20"/>
          <w:color w:val="auto"/>
        </w:rPr>
      </w:pPr>
    </w:p>
    <w:p>
      <w:pPr>
        <w:jc w:val="both"/>
        <w:ind w:right="260" w:firstLine="440"/>
        <w:spacing w:after="0" w:line="266" w:lineRule="auto"/>
        <w:rPr>
          <w:sz w:val="20"/>
          <w:szCs w:val="20"/>
          <w:color w:val="auto"/>
        </w:rPr>
      </w:pPr>
      <w:r>
        <w:rPr>
          <w:rFonts w:ascii="Arial" w:cs="Arial" w:eastAsia="Arial" w:hAnsi="Arial"/>
          <w:sz w:val="18"/>
          <w:szCs w:val="18"/>
          <w:b w:val="1"/>
          <w:bCs w:val="1"/>
          <w:color w:val="auto"/>
        </w:rPr>
        <w:t>5.7 Buyout Provisions</w:t>
      </w:r>
      <w:r>
        <w:rPr>
          <w:rFonts w:ascii="Arial" w:cs="Arial" w:eastAsia="Arial" w:hAnsi="Arial"/>
          <w:sz w:val="18"/>
          <w:szCs w:val="18"/>
          <w:color w:val="auto"/>
        </w:rPr>
        <w:t>. Except to the extent prohibited by Article 5.6, the Administrator may at any time (a) offer to buy out for a payment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or cash equivalents an Option previously granted or (b) authorize an Optionee to elect to cash out an Option previously granted, in either case at such time and based upon such terms and conditions as the Administrator shall establish.</w:t>
      </w:r>
    </w:p>
    <w:p>
      <w:pPr>
        <w:spacing w:after="0" w:line="176" w:lineRule="exact"/>
        <w:rPr>
          <w:sz w:val="20"/>
          <w:szCs w:val="20"/>
          <w:color w:val="auto"/>
        </w:rPr>
      </w:pPr>
    </w:p>
    <w:p>
      <w:pPr>
        <w:jc w:val="both"/>
        <w:ind w:right="180" w:firstLine="440"/>
        <w:spacing w:after="0" w:line="314" w:lineRule="auto"/>
        <w:rPr>
          <w:sz w:val="20"/>
          <w:szCs w:val="20"/>
          <w:color w:val="auto"/>
        </w:rPr>
      </w:pPr>
      <w:r>
        <w:rPr>
          <w:rFonts w:ascii="Arial" w:cs="Arial" w:eastAsia="Arial" w:hAnsi="Arial"/>
          <w:sz w:val="16"/>
          <w:szCs w:val="16"/>
          <w:b w:val="1"/>
          <w:bCs w:val="1"/>
          <w:color w:val="auto"/>
        </w:rPr>
        <w:t>5.8 Payment for Option Shares</w:t>
      </w:r>
      <w:r>
        <w:rPr>
          <w:rFonts w:ascii="Arial" w:cs="Arial" w:eastAsia="Arial" w:hAnsi="Arial"/>
          <w:sz w:val="16"/>
          <w:szCs w:val="16"/>
          <w:color w:val="auto"/>
        </w:rPr>
        <w:t>. The entire Exercise Price of Common Shares issued upon exercise of Options shall be payable in cash or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at the time when such Common Shares are purchased. In addition, the Administrator may, in its sole discretion and to the extent permitted by applicable law, accept payment of all or a portion of the Exercise Price through any one or a combination of the following forms or methods:</w:t>
      </w:r>
    </w:p>
    <w:p>
      <w:pPr>
        <w:spacing w:after="0" w:line="38" w:lineRule="exact"/>
        <w:rPr>
          <w:sz w:val="20"/>
          <w:szCs w:val="20"/>
          <w:color w:val="auto"/>
        </w:rPr>
      </w:pPr>
    </w:p>
    <w:p>
      <w:pPr>
        <w:jc w:val="both"/>
        <w:ind w:right="200" w:firstLine="987"/>
        <w:spacing w:after="0" w:line="263"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any conditions or limitations established by the Administrator, by surrendering, or attesting to the ownership of, Common Shares that are already owned by the Optionee with a value on the date of surrender equal to the aggregate exercise price of the Common Shares as to which such Option will be exercised;</w:t>
      </w:r>
    </w:p>
    <w:p>
      <w:pPr>
        <w:spacing w:after="0" w:line="183" w:lineRule="exact"/>
        <w:rPr>
          <w:rFonts w:ascii="Arial" w:cs="Arial" w:eastAsia="Arial" w:hAnsi="Arial"/>
          <w:sz w:val="18"/>
          <w:szCs w:val="18"/>
          <w:color w:val="auto"/>
        </w:rPr>
      </w:pPr>
    </w:p>
    <w:p>
      <w:pPr>
        <w:ind w:right="120" w:firstLine="987"/>
        <w:spacing w:after="0" w:line="308" w:lineRule="auto"/>
        <w:tabs>
          <w:tab w:leader="none" w:pos="1246"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delivering (on a form prescribed by the Company) an irrevocable direction to a securities broker approved by the Company to sell all or part of the Common Shares being purchased under the Plan and to deliver all or part of the sales proceeds to the Company;</w:t>
      </w:r>
    </w:p>
    <w:p>
      <w:pPr>
        <w:spacing w:after="0" w:line="146" w:lineRule="exact"/>
        <w:rPr>
          <w:rFonts w:ascii="Arial" w:cs="Arial" w:eastAsia="Arial" w:hAnsi="Arial"/>
          <w:sz w:val="17"/>
          <w:szCs w:val="17"/>
          <w:color w:val="auto"/>
        </w:rPr>
      </w:pPr>
    </w:p>
    <w:p>
      <w:pPr>
        <w:ind w:left="1240" w:hanging="253"/>
        <w:spacing w:after="0"/>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Subject to such conditions and requirements as the Administrator may impose from time to time, through a net exercise procedure; or</w:t>
      </w:r>
    </w:p>
    <w:p>
      <w:pPr>
        <w:spacing w:after="0" w:line="248" w:lineRule="exact"/>
        <w:rPr>
          <w:rFonts w:ascii="Arial" w:cs="Arial" w:eastAsia="Arial" w:hAnsi="Arial"/>
          <w:sz w:val="16"/>
          <w:szCs w:val="16"/>
          <w:color w:val="auto"/>
        </w:rPr>
      </w:pPr>
    </w:p>
    <w:p>
      <w:pPr>
        <w:ind w:left="1240" w:hanging="25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any other form or method consistent with applicable laws, regulations and rules.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STOCK APPRECIATION RIGHTS.</w:t>
      </w:r>
    </w:p>
    <w:p>
      <w:pPr>
        <w:spacing w:after="0" w:line="117"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6.1 SAR Agreement</w:t>
      </w:r>
      <w:r>
        <w:rPr>
          <w:rFonts w:ascii="Arial" w:cs="Arial" w:eastAsia="Arial" w:hAnsi="Arial"/>
          <w:sz w:val="18"/>
          <w:szCs w:val="18"/>
          <w:color w:val="auto"/>
        </w:rPr>
        <w:t>. Each grant of a SAR under the Plan shall be evidenced by a SAR Agreement between the Optionee and the Company.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SAR shall be subject to all applicable terms of the Plan and may be subject to any other terms that are not inconsistent with the Plan. The provisions of the various SAR Agreements entered into under the Plan need not be identical.</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Arial" w:cs="Arial" w:eastAsia="Arial" w:hAnsi="Arial"/>
          <w:sz w:val="18"/>
          <w:szCs w:val="18"/>
          <w:b w:val="1"/>
          <w:bCs w:val="1"/>
          <w:color w:val="auto"/>
        </w:rPr>
        <w:t>6.2 Number of Shares</w:t>
      </w:r>
      <w:r>
        <w:rPr>
          <w:rFonts w:ascii="Arial" w:cs="Arial" w:eastAsia="Arial" w:hAnsi="Arial"/>
          <w:sz w:val="18"/>
          <w:szCs w:val="18"/>
          <w:color w:val="auto"/>
        </w:rPr>
        <w:t>. Each SAR Agreement shall specify the number of Common Shares to which the SAR pertains, which number shall adjust</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Article 9.</w:t>
      </w:r>
    </w:p>
    <w:p>
      <w:pPr>
        <w:spacing w:after="0" w:line="162"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b w:val="1"/>
          <w:bCs w:val="1"/>
          <w:color w:val="auto"/>
        </w:rPr>
        <w:t>6.3 Exercise Price</w:t>
      </w:r>
      <w:r>
        <w:rPr>
          <w:rFonts w:ascii="Arial" w:cs="Arial" w:eastAsia="Arial" w:hAnsi="Arial"/>
          <w:sz w:val="18"/>
          <w:szCs w:val="18"/>
          <w:color w:val="auto"/>
        </w:rPr>
        <w:t>. Each SAR Agreement shall specify the Exercise Price, which shall in no event be less than 100% of the Fair Market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a Common Share on the date of grant. The preceding sentence shall not apply to a SAR that is a Substitute Award granted in a manner that would satisfy the requirements of Code Section 409A.</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17" w:name="page18"/>
    <w:bookmarkEnd w:id="17"/>
    <w:p>
      <w:pPr>
        <w:ind w:right="60"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6.4 Exercisability and Term</w:t>
      </w:r>
      <w:r>
        <w:rPr>
          <w:rFonts w:ascii="Arial" w:cs="Arial" w:eastAsia="Arial" w:hAnsi="Arial"/>
          <w:sz w:val="17"/>
          <w:szCs w:val="17"/>
          <w:color w:val="auto"/>
        </w:rPr>
        <w:t>. Each SAR Agreement shall specify the date when all or any installment of the SAR is to become vested and</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The vesting and exercisability conditions applicable to the SAR may include service-based conditions, performance-based conditions, such other conditions as the Administrator may determine, or any combination thereof. The SAR Agreement shall also specify the term of the SAR; provided that except to the extent necessary to comply with applicable foreign law, the term of a SAR shall not exceed 10 years from the date of grant. A SAR Agreement may provide for accelerated vesting and exercisability upon certain specified events and may provide for expiration prior to the end of its term in the event of the termination of the Optionee’s service.</w:t>
      </w:r>
    </w:p>
    <w:p>
      <w:pPr>
        <w:spacing w:after="0" w:line="173"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b w:val="1"/>
          <w:bCs w:val="1"/>
          <w:color w:val="auto"/>
        </w:rPr>
        <w:t>6.5 Exercise of SARs</w:t>
      </w:r>
      <w:r>
        <w:rPr>
          <w:rFonts w:ascii="Arial" w:cs="Arial" w:eastAsia="Arial" w:hAnsi="Arial"/>
          <w:sz w:val="17"/>
          <w:szCs w:val="17"/>
          <w:color w:val="auto"/>
        </w:rPr>
        <w:t>. Upon exercise of a SAR, the Optionee (or any person having the right to exercise the SAR after his or her death) shall</w:t>
      </w:r>
      <w:r>
        <w:rPr>
          <w:rFonts w:ascii="Arial" w:cs="Arial" w:eastAsia="Arial" w:hAnsi="Arial"/>
          <w:sz w:val="17"/>
          <w:szCs w:val="17"/>
          <w:b w:val="1"/>
          <w:bCs w:val="1"/>
          <w:color w:val="auto"/>
        </w:rPr>
        <w:t xml:space="preserve"> </w:t>
      </w:r>
      <w:r>
        <w:rPr>
          <w:rFonts w:ascii="Arial" w:cs="Arial" w:eastAsia="Arial" w:hAnsi="Arial"/>
          <w:sz w:val="17"/>
          <w:szCs w:val="17"/>
          <w:color w:val="auto"/>
        </w:rPr>
        <w:t>receive from the Company (a) Common Shares, (b) cash or (c) a combination of Common Shares and cash, as the Administrator shall determine. The amount of cash and/or the Fair Market Value of Common Shares received upon exercise of SARs shall, in the aggregate, not exceed the amount by which the Fair Market Value (on the date of surrender) of the Common Shares subject to the SARs exceeds the Exercise Price. If, on the date when a SAR expires, the Exercise Price is less than the Fair Market Value on such date but any portion of such SAR has not been exercised or surrendered, then such SAR shall automatically be deemed to be exercised as of such date with respect to such portion. A SAR Agreement may also provide for an automatic exercise of the SAR on an earlier date.</w:t>
      </w:r>
    </w:p>
    <w:p>
      <w:pPr>
        <w:spacing w:after="0" w:line="172"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6.6 Death of Optionee</w:t>
      </w:r>
      <w:r>
        <w:rPr>
          <w:rFonts w:ascii="Arial" w:cs="Arial" w:eastAsia="Arial" w:hAnsi="Arial"/>
          <w:sz w:val="18"/>
          <w:szCs w:val="18"/>
          <w:color w:val="auto"/>
        </w:rPr>
        <w:t>. After an Optionee’s death, any vested and exercisable SARs held by such Optionee may be exercised by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beneficiary or beneficiaries. Each 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SARs held by the Optionee at the time of his or her death may be exercised by his or her estate.</w:t>
      </w:r>
    </w:p>
    <w:p>
      <w:pPr>
        <w:spacing w:after="0" w:line="183"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b w:val="1"/>
          <w:bCs w:val="1"/>
          <w:color w:val="auto"/>
        </w:rPr>
        <w:t>6.7 Modification or Assumption of SARs</w:t>
      </w:r>
      <w:r>
        <w:rPr>
          <w:rFonts w:ascii="Arial" w:cs="Arial" w:eastAsia="Arial" w:hAnsi="Arial"/>
          <w:sz w:val="17"/>
          <w:szCs w:val="17"/>
          <w:color w:val="auto"/>
        </w:rPr>
        <w:t>. Within the limitations of the Plan, the Administrator may modify, extend or assume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SARs. The foregoing notwithstanding, no modification of a SAR shall, without the consent of the Optionee, materially impair his or her rights or obligations under such SAR. Notwithstanding anything in this Plan to the contrary, and except for the adjustments provided in Article 9, neither the Administrator nor any other person may (a) decrease the exercise price for any outstanding SAR after the date of grant, (b) cancel or allow an Optionee to surrender an outstanding SAR to the Company in exchange for cash or as consideration for the grant of a new SAR with a lower exercise price or the grant of another type of Award the effect of which is to reduce the exercise price of any outstanding SAR, or (c) take any other action with respect to a SAR that would be treated as a repricing under the rules and regulations of the Nasdaq Stock Market (or such other principal U.S. national securities exchange on which the Common Shares are traded).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RESTRICTED SHARES.</w:t>
      </w:r>
    </w:p>
    <w:p>
      <w:pPr>
        <w:spacing w:after="0" w:line="117" w:lineRule="exact"/>
        <w:rPr>
          <w:sz w:val="20"/>
          <w:szCs w:val="20"/>
          <w:color w:val="auto"/>
        </w:rPr>
      </w:pPr>
    </w:p>
    <w:p>
      <w:pPr>
        <w:jc w:val="both"/>
        <w:ind w:firstLine="440"/>
        <w:spacing w:after="0" w:line="314" w:lineRule="auto"/>
        <w:rPr>
          <w:sz w:val="20"/>
          <w:szCs w:val="20"/>
          <w:color w:val="auto"/>
        </w:rPr>
      </w:pPr>
      <w:r>
        <w:rPr>
          <w:rFonts w:ascii="Arial" w:cs="Arial" w:eastAsia="Arial" w:hAnsi="Arial"/>
          <w:sz w:val="16"/>
          <w:szCs w:val="16"/>
          <w:b w:val="1"/>
          <w:bCs w:val="1"/>
          <w:color w:val="auto"/>
        </w:rPr>
        <w:t>7.1 Restricted Stock Agreement</w:t>
      </w:r>
      <w:r>
        <w:rPr>
          <w:rFonts w:ascii="Arial" w:cs="Arial" w:eastAsia="Arial" w:hAnsi="Arial"/>
          <w:sz w:val="16"/>
          <w:szCs w:val="16"/>
          <w:color w:val="auto"/>
        </w:rPr>
        <w:t>. Each grant of Restricted Shares under the Plan shall be evidenced by a Restricted Stock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recipient and the Company. Such Restricted Shares shall be subject to all applicable terms of the Plan and may be subject to any other terms that are not inconsistent with the Plan. The provisions of the various Restricted Stock Agreements entered into under the Plan need not be identical.</w:t>
      </w:r>
    </w:p>
    <w:p>
      <w:pPr>
        <w:spacing w:after="0" w:line="142"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b w:val="1"/>
          <w:bCs w:val="1"/>
          <w:color w:val="auto"/>
        </w:rPr>
        <w:t>7.2 Payment for Awards</w:t>
      </w:r>
      <w:r>
        <w:rPr>
          <w:rFonts w:ascii="Arial" w:cs="Arial" w:eastAsia="Arial" w:hAnsi="Arial"/>
          <w:sz w:val="18"/>
          <w:szCs w:val="18"/>
          <w:color w:val="auto"/>
        </w:rPr>
        <w:t>. Restricted Shares may be sold or awarded under the Plan for such consideration as the Administrator may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cash, cash equivalents, property, cancellation of other equity awards, promissory notes, past services and future services, and such other methods of payment as are permitted by applicable law.</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18" w:name="page19"/>
    <w:bookmarkEnd w:id="18"/>
    <w:p>
      <w:pPr>
        <w:ind w:right="2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7.3 Vesting Conditions</w:t>
      </w:r>
      <w:r>
        <w:rPr>
          <w:rFonts w:ascii="Arial" w:cs="Arial" w:eastAsia="Arial" w:hAnsi="Arial"/>
          <w:sz w:val="18"/>
          <w:szCs w:val="18"/>
          <w:color w:val="auto"/>
        </w:rPr>
        <w:t>. Each Award of Restricted Shares may or may not be subject to vesting and/or other conditions as the Administrator may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Vesting shall occur, in full or in installments, upon satisfaction of the conditions specified in the Restricted Stock Agreement. A Restricted Stock Agreement may provide for accelerated vesting upon certain specified events.</w:t>
      </w:r>
    </w:p>
    <w:p>
      <w:pPr>
        <w:spacing w:after="0" w:line="176" w:lineRule="exact"/>
        <w:rPr>
          <w:sz w:val="20"/>
          <w:szCs w:val="20"/>
          <w:color w:val="auto"/>
        </w:rPr>
      </w:pPr>
    </w:p>
    <w:p>
      <w:pPr>
        <w:jc w:val="both"/>
        <w:ind w:right="120" w:firstLine="440"/>
        <w:spacing w:after="0" w:line="289" w:lineRule="auto"/>
        <w:rPr>
          <w:sz w:val="20"/>
          <w:szCs w:val="20"/>
          <w:color w:val="auto"/>
        </w:rPr>
      </w:pPr>
      <w:r>
        <w:rPr>
          <w:rFonts w:ascii="Arial" w:cs="Arial" w:eastAsia="Arial" w:hAnsi="Arial"/>
          <w:sz w:val="16"/>
          <w:szCs w:val="16"/>
          <w:b w:val="1"/>
          <w:bCs w:val="1"/>
          <w:color w:val="auto"/>
        </w:rPr>
        <w:t>7.4 Voting and Dividend Rights</w:t>
      </w:r>
      <w:r>
        <w:rPr>
          <w:rFonts w:ascii="Arial" w:cs="Arial" w:eastAsia="Arial" w:hAnsi="Arial"/>
          <w:sz w:val="16"/>
          <w:szCs w:val="16"/>
          <w:color w:val="auto"/>
        </w:rPr>
        <w:t>. The holders of Restricted Shares awarded under the Plan shall have the same voting, dividend and other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as the Company’s other stockholders, unless the Administrator otherwise provides. A Restricted Stock Agreement, however, may require that any cash dividends paid on Restricted Shares (a) be accumulated and paid when such Restricted Shares vest, or (b) be invested in additional Restricted Shares.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Such additional Restricted Shares shall be subject to the same conditions and restrictions as the shares subject to the Award with respect to which the dividends were paid. In addition, unless the Administrator provides otherwise, if any dividends or other distributions are paid in Common Shares, such Common Shares shall be subject to the same restrictions on transferability and forfeitability as the Restricted Shares with respect to which they were paid.</w:t>
      </w:r>
    </w:p>
    <w:p>
      <w:pPr>
        <w:spacing w:after="0" w:line="189"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7.5 Modification or Assumption of Restricted Shares</w:t>
      </w:r>
      <w:r>
        <w:rPr>
          <w:rFonts w:ascii="Arial" w:cs="Arial" w:eastAsia="Arial" w:hAnsi="Arial"/>
          <w:sz w:val="18"/>
          <w:szCs w:val="18"/>
          <w:color w:val="auto"/>
        </w:rPr>
        <w:t>. Within the limitations of the Plan, the Administrator may modify or assume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Shares or may accept the cancellation of outstanding restricted shares (whether granted by the Company or by another issuer) in return for the grant of new Restricted Shares for the same or a different number of shares or in return for the grant of a different type of Award. The foregoing notwithstanding, no modification of Restricted Shares shall, without the consent of the Participant, materially impair his or her rights or obligations under such Restricted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RESTRICTED STOCK UNITS.</w:t>
      </w:r>
    </w:p>
    <w:p>
      <w:pPr>
        <w:spacing w:after="0" w:line="117"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8.1 Restricted Stock Unit Agreement</w:t>
      </w:r>
      <w:r>
        <w:rPr>
          <w:rFonts w:ascii="Arial" w:cs="Arial" w:eastAsia="Arial" w:hAnsi="Arial"/>
          <w:sz w:val="18"/>
          <w:szCs w:val="18"/>
          <w:color w:val="auto"/>
        </w:rPr>
        <w:t>. Each grant of Restricted Stock Units under the Plan shall be evidenced by a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recipient and the Company. Such Restricted Stock Units shall be subject to all applicable terms of the Plan and may be subject to any other terms that are not inconsistent with the Plan. The provisions of the various Restricted Stock Unit Agreements entered into under the Plan need not be identical.</w:t>
      </w:r>
    </w:p>
    <w:p>
      <w:pPr>
        <w:spacing w:after="0" w:line="180"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8.2 Payment for Awards</w:t>
      </w:r>
      <w:r>
        <w:rPr>
          <w:rFonts w:ascii="Arial" w:cs="Arial" w:eastAsia="Arial" w:hAnsi="Arial"/>
          <w:sz w:val="18"/>
          <w:szCs w:val="18"/>
          <w:color w:val="auto"/>
        </w:rPr>
        <w:t>. To the extent that an Award is granted in the form of Restricted Stock Units, no cash consideration shall be required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recipients.</w:t>
      </w:r>
    </w:p>
    <w:p>
      <w:pPr>
        <w:spacing w:after="0" w:line="162"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b w:val="1"/>
          <w:bCs w:val="1"/>
          <w:color w:val="auto"/>
        </w:rPr>
        <w:t>8.3 Vesting Conditions</w:t>
      </w:r>
      <w:r>
        <w:rPr>
          <w:rFonts w:ascii="Arial" w:cs="Arial" w:eastAsia="Arial" w:hAnsi="Arial"/>
          <w:sz w:val="17"/>
          <w:szCs w:val="17"/>
          <w:color w:val="auto"/>
        </w:rPr>
        <w:t>. Each Award of Restricted Stock Units may or may not be subject to vesting, as determined by the Administrator. Vesting</w:t>
      </w:r>
      <w:r>
        <w:rPr>
          <w:rFonts w:ascii="Arial" w:cs="Arial" w:eastAsia="Arial" w:hAnsi="Arial"/>
          <w:sz w:val="17"/>
          <w:szCs w:val="17"/>
          <w:b w:val="1"/>
          <w:bCs w:val="1"/>
          <w:color w:val="auto"/>
        </w:rPr>
        <w:t xml:space="preserve"> </w:t>
      </w:r>
      <w:r>
        <w:rPr>
          <w:rFonts w:ascii="Arial" w:cs="Arial" w:eastAsia="Arial" w:hAnsi="Arial"/>
          <w:sz w:val="17"/>
          <w:szCs w:val="17"/>
          <w:color w:val="auto"/>
        </w:rPr>
        <w:t>shall occur, in full or in installments, upon satisfaction of the conditions specified in the Restricted Stock Unit Agreement. Vesting conditions may include service-based conditions, performance-based conditions, such other conditions as the Administrator may determine, or any combination thereof. A Restricted Stock Unit Agreement may provide for accelerated vesting upon certain specified events.</w:t>
      </w:r>
    </w:p>
    <w:p>
      <w:pPr>
        <w:spacing w:after="0" w:line="165"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b w:val="1"/>
          <w:bCs w:val="1"/>
          <w:color w:val="auto"/>
        </w:rPr>
        <w:t>8.4 Voting and Dividend Rights</w:t>
      </w:r>
      <w:r>
        <w:rPr>
          <w:rFonts w:ascii="Arial" w:cs="Arial" w:eastAsia="Arial" w:hAnsi="Arial"/>
          <w:sz w:val="18"/>
          <w:szCs w:val="18"/>
          <w:color w:val="auto"/>
        </w:rPr>
        <w:t>. The holders of Restricted Stock Units shall have no voting rights. Prior to settlement or forfeiture,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awarded under the Plan may, at the Administrator’s discretion, provide for a right to dividend equivalents. Such right entitles the holder to be credited with an amount equal to all cash dividends paid on one Common Share while the Restricted Stock Unit is outstanding. Dividend equivalents may be converted into additional Restricted Stock Units. Settlement of dividend equivalents may be made in the form of cash, in the form of Common Shares, or in a combination of both. Prior to distribution, any dividend equivalents shall be subject to the same conditions and restrictions as the Restricted Stock Units to which they attach.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19" w:name="page20"/>
    <w:bookmarkEnd w:id="19"/>
    <w:p>
      <w:pPr>
        <w:ind w:left="44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8.5 Form and Time of Settlement of Restricted Stock Units</w:t>
      </w:r>
      <w:r>
        <w:rPr>
          <w:rFonts w:ascii="Arial" w:cs="Arial" w:eastAsia="Arial" w:hAnsi="Arial"/>
          <w:sz w:val="16"/>
          <w:szCs w:val="16"/>
          <w:color w:val="auto"/>
        </w:rPr>
        <w:t>. Settlement of vested Restricted Stock Units may be made in the form of (a) cash,</w:t>
      </w:r>
    </w:p>
    <w:p>
      <w:pPr>
        <w:spacing w:after="0" w:line="50" w:lineRule="exact"/>
        <w:rPr>
          <w:sz w:val="20"/>
          <w:szCs w:val="20"/>
          <w:color w:val="auto"/>
        </w:rPr>
      </w:pPr>
    </w:p>
    <w:p>
      <w:pPr>
        <w:ind w:left="4" w:right="180" w:hanging="4"/>
        <w:spacing w:after="0" w:line="292" w:lineRule="auto"/>
        <w:tabs>
          <w:tab w:leader="none" w:pos="259"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Common Shares or (c) any combination of both, as determined by the Administrator. The actual number of Restricted Stock Units eligible for settlement may be larger or smaller than the number included in the original Award, based on predetermined performance factors. Methods of converting Restricted Stock Units into cash may include (without limitation) a method based on the average value of Common Shares over a series of trading days. Vested Restricted Stock Units shall be settled in such manner and at such time(s) as specified in the Restricted Stock Unit Agreement. Until an Award of Restricted Stock Units is settled, the number of such Restricted Stock Units shall be subject to adjustment pursuant to Article 9.</w:t>
      </w:r>
    </w:p>
    <w:p>
      <w:pPr>
        <w:spacing w:after="0" w:line="158"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7"/>
          <w:szCs w:val="17"/>
          <w:b w:val="1"/>
          <w:bCs w:val="1"/>
          <w:color w:val="auto"/>
        </w:rPr>
        <w:t>8.6 Death of Recipient</w:t>
      </w:r>
      <w:r>
        <w:rPr>
          <w:rFonts w:ascii="Arial" w:cs="Arial" w:eastAsia="Arial" w:hAnsi="Arial"/>
          <w:sz w:val="17"/>
          <w:szCs w:val="17"/>
          <w:color w:val="auto"/>
        </w:rPr>
        <w:t>. Any Restricted Stock Units that become payable after the recipient’s death shall be distributed to the recipient’s</w:t>
      </w:r>
      <w:r>
        <w:rPr>
          <w:rFonts w:ascii="Arial" w:cs="Arial" w:eastAsia="Arial" w:hAnsi="Arial"/>
          <w:sz w:val="17"/>
          <w:szCs w:val="17"/>
          <w:b w:val="1"/>
          <w:bCs w:val="1"/>
          <w:color w:val="auto"/>
        </w:rPr>
        <w:t xml:space="preserve"> </w:t>
      </w:r>
      <w:r>
        <w:rPr>
          <w:rFonts w:ascii="Arial" w:cs="Arial" w:eastAsia="Arial" w:hAnsi="Arial"/>
          <w:sz w:val="17"/>
          <w:szCs w:val="17"/>
          <w:color w:val="auto"/>
        </w:rPr>
        <w:t>beneficiary or beneficiaries. Each recipient of Restricted Stock Units under the Plan may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Restricted Stock Units that become payable after the recipient’s death shall be distributed to the recipient’s estate.</w:t>
      </w:r>
    </w:p>
    <w:p>
      <w:pPr>
        <w:spacing w:after="0" w:line="168" w:lineRule="exact"/>
        <w:rPr>
          <w:sz w:val="20"/>
          <w:szCs w:val="20"/>
          <w:color w:val="auto"/>
        </w:rPr>
      </w:pPr>
    </w:p>
    <w:p>
      <w:pPr>
        <w:ind w:left="4" w:right="80" w:firstLine="440"/>
        <w:spacing w:after="0" w:line="258" w:lineRule="auto"/>
        <w:rPr>
          <w:sz w:val="20"/>
          <w:szCs w:val="20"/>
          <w:color w:val="auto"/>
        </w:rPr>
      </w:pPr>
      <w:r>
        <w:rPr>
          <w:rFonts w:ascii="Arial" w:cs="Arial" w:eastAsia="Arial" w:hAnsi="Arial"/>
          <w:sz w:val="18"/>
          <w:szCs w:val="18"/>
          <w:b w:val="1"/>
          <w:bCs w:val="1"/>
          <w:color w:val="auto"/>
        </w:rPr>
        <w:t>8.7 Modification or Assumption of Restricted Stock Units</w:t>
      </w:r>
      <w:r>
        <w:rPr>
          <w:rFonts w:ascii="Arial" w:cs="Arial" w:eastAsia="Arial" w:hAnsi="Arial"/>
          <w:sz w:val="18"/>
          <w:szCs w:val="18"/>
          <w:color w:val="auto"/>
        </w:rPr>
        <w:t>. Within the limitations of the Plan, the Administrator may modify or assume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restricted stock units or may accept the cancellation of outstanding restricted stock units (whether granted by the Company or by another issuer) in return for the grant of new Restricted Stock Units for the same or a different number of shares or in return for the grant of a different type of Award. The foregoing notwithstanding, no modification of a Restricted Stock Unit shall, without the consent of the Participant, materially impair his or her rights or obligations under such Restricted Stock Unit.</w:t>
      </w:r>
    </w:p>
    <w:p>
      <w:pPr>
        <w:spacing w:after="0" w:line="183"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8.8 Creditors’ Rights</w:t>
      </w:r>
      <w:r>
        <w:rPr>
          <w:rFonts w:ascii="Arial" w:cs="Arial" w:eastAsia="Arial" w:hAnsi="Arial"/>
          <w:sz w:val="18"/>
          <w:szCs w:val="18"/>
          <w:color w:val="auto"/>
        </w:rPr>
        <w:t>. A holder of Restricted Stock Units shall have no rights other than those of a general creditor of the Company.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represent an unfunded and unsecured obligation of the Company, subject to the terms and conditions of the applicable Restricted Stock Unit Agreement.</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9. ADJUSTMENTS; DISSOLUTIONS AND LIQUIDATIONS; CORPORATE TRANSACTIONS.</w:t>
      </w:r>
    </w:p>
    <w:p>
      <w:pPr>
        <w:spacing w:after="0" w:line="117"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b w:val="1"/>
          <w:bCs w:val="1"/>
          <w:color w:val="auto"/>
        </w:rPr>
        <w:t>9.1 Adjustments</w:t>
      </w:r>
      <w:r>
        <w:rPr>
          <w:rFonts w:ascii="Arial" w:cs="Arial" w:eastAsia="Arial" w:hAnsi="Arial"/>
          <w:sz w:val="18"/>
          <w:szCs w:val="18"/>
          <w:color w:val="auto"/>
        </w:rPr>
        <w:t>. In the event of a subdivision of the outstanding Common Shares, a declaration of a dividend payable in Common Shares, a</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or consolidation of the outstanding Common Shares (by reclassification or otherwise) into a lesser number of Common Shares or any other increase or decrease in the number of issued Common Shares effected without receipt of consideration by the Company, proportionate adjustments shall be made to the following:</w:t>
      </w:r>
    </w:p>
    <w:p>
      <w:pPr>
        <w:spacing w:after="0" w:line="76" w:lineRule="exact"/>
        <w:rPr>
          <w:sz w:val="20"/>
          <w:szCs w:val="20"/>
          <w:color w:val="auto"/>
        </w:rPr>
      </w:pPr>
    </w:p>
    <w:p>
      <w:pPr>
        <w:ind w:left="1244" w:hanging="253"/>
        <w:spacing w:after="0"/>
        <w:tabs>
          <w:tab w:leader="none" w:pos="124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number and kind of shares available for issuance under Article 3, including the numerical share limits in Articles 3.1 and 3.5;</w:t>
      </w:r>
    </w:p>
    <w:p>
      <w:pPr>
        <w:spacing w:after="0" w:line="236" w:lineRule="exact"/>
        <w:rPr>
          <w:rFonts w:ascii="Arial" w:cs="Arial" w:eastAsia="Arial" w:hAnsi="Arial"/>
          <w:sz w:val="17"/>
          <w:szCs w:val="17"/>
          <w:color w:val="auto"/>
        </w:rPr>
      </w:pPr>
    </w:p>
    <w:p>
      <w:pPr>
        <w:ind w:left="1244" w:hanging="253"/>
        <w:spacing w:after="0"/>
        <w:tabs>
          <w:tab w:leader="none" w:pos="12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kind of shares covered by each outstanding Option, SAR, and Restricted Stock Unit; and/or</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Exercise Price applicable to each outstanding Option and SAR, and the repurchase price, if any, applicable to Restricted Shares.</w:t>
      </w:r>
    </w:p>
    <w:p>
      <w:pPr>
        <w:spacing w:after="0" w:line="248"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In the event of a declaration of an extraordinary dividend payable in a form other than Common Shares in an amount that has a material effect on the price of Common Shares, a recapitalization, a spin-off or a similar occurrence, the Administrator may make such adjustments as it, in its sole discretion, deems appropriate to the foregoing. Any adjustment in the number of shares subject to an Award under this</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0" w:right="499" w:bottom="1440" w:gutter="0" w:footer="0" w:header="0"/>
        </w:sectPr>
      </w:pPr>
    </w:p>
    <w:bookmarkStart w:id="20" w:name="page21"/>
    <w:bookmarkEnd w:id="20"/>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9.1 shall be rounded down to the nearest whole share, although the Administrator in its sole discretion may make a cash payment in lieu of a fractional share. Except as provided in this Article 9, a Participant shall have no rights by reason of any issuance by the Company of stock of any class or securities convertible into stock of any class, any subdivision or consolidation of shares of stock of any class, the payment of any stock dividend or any other increase or decrease in the number of shares of stock of any class.</w:t>
      </w:r>
    </w:p>
    <w:p>
      <w:pPr>
        <w:spacing w:after="0" w:line="183"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b w:val="1"/>
          <w:bCs w:val="1"/>
          <w:color w:val="auto"/>
        </w:rPr>
        <w:t>9.2 Dissolution or Liquidation</w:t>
      </w:r>
      <w:r>
        <w:rPr>
          <w:rFonts w:ascii="Arial" w:cs="Arial" w:eastAsia="Arial" w:hAnsi="Arial"/>
          <w:sz w:val="18"/>
          <w:szCs w:val="18"/>
          <w:color w:val="auto"/>
        </w:rPr>
        <w:t>. To the extent not previously exercised or settled, Options, SARs and Restricted Stock Units shall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the dissolution or liquidation of the Company.</w:t>
      </w:r>
    </w:p>
    <w:p>
      <w:pPr>
        <w:spacing w:after="0" w:line="378"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b w:val="1"/>
          <w:bCs w:val="1"/>
          <w:color w:val="auto"/>
        </w:rPr>
        <w:t>9.3 Corporate Transactions</w:t>
      </w:r>
      <w:r>
        <w:rPr>
          <w:rFonts w:ascii="Arial" w:cs="Arial" w:eastAsia="Arial" w:hAnsi="Arial"/>
          <w:sz w:val="18"/>
          <w:szCs w:val="18"/>
          <w:color w:val="auto"/>
        </w:rPr>
        <w:t>. In the event that the Company is a party to a merger, consolidation, or a Change in Control (other than one</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Article 14.6(d)), all Common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Administrator, with such determination having final and binding effect on all parties), which agreement or determination need not treat all Awards (or portions thereof) in an identical manner. Unless an Award Agreement provides otherwise, the treatment specified in the transaction agreement or by the Administrator may include (without limitation) one or more of the following with respect to each outstanding Award:</w:t>
      </w:r>
    </w:p>
    <w:p>
      <w:pPr>
        <w:spacing w:after="0" w:line="85" w:lineRule="exact"/>
        <w:rPr>
          <w:sz w:val="20"/>
          <w:szCs w:val="20"/>
          <w:color w:val="auto"/>
        </w:rPr>
      </w:pPr>
    </w:p>
    <w:p>
      <w:pPr>
        <w:ind w:left="1100" w:hanging="241"/>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continuation of such outstanding Award by the Company (if the Company is the surviving entity);</w:t>
      </w:r>
    </w:p>
    <w:p>
      <w:pPr>
        <w:spacing w:after="0" w:line="117" w:lineRule="exact"/>
        <w:rPr>
          <w:rFonts w:ascii="Arial" w:cs="Arial" w:eastAsia="Arial" w:hAnsi="Arial"/>
          <w:sz w:val="18"/>
          <w:szCs w:val="18"/>
          <w:color w:val="auto"/>
        </w:rPr>
      </w:pPr>
    </w:p>
    <w:p>
      <w:pPr>
        <w:ind w:left="440" w:right="320" w:firstLine="419"/>
        <w:spacing w:after="0" w:line="277" w:lineRule="auto"/>
        <w:tabs>
          <w:tab w:leader="none" w:pos="11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assumption of such outstanding Award by the surviving entity or its parent, provided that the assumption of an Option or a SAR shall comply with applicable tax requirements;</w:t>
      </w:r>
    </w:p>
    <w:p>
      <w:pPr>
        <w:spacing w:after="0" w:line="62" w:lineRule="exact"/>
        <w:rPr>
          <w:rFonts w:ascii="Arial" w:cs="Arial" w:eastAsia="Arial" w:hAnsi="Arial"/>
          <w:sz w:val="18"/>
          <w:szCs w:val="18"/>
          <w:color w:val="auto"/>
        </w:rPr>
      </w:pPr>
    </w:p>
    <w:p>
      <w:pPr>
        <w:jc w:val="both"/>
        <w:ind w:left="440" w:firstLine="419"/>
        <w:spacing w:after="0" w:line="263" w:lineRule="auto"/>
        <w:tabs>
          <w:tab w:leader="none" w:pos="110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substitution by the surviving entity or its parent of an equivalent award for such outstanding Award (including, but not limited to, an award to acquire the same consideration paid to the holders of Common Shares in the transaction), provided that the substitution of an Option or a SAR shall comply with applicable tax requirements;</w:t>
      </w:r>
    </w:p>
    <w:p>
      <w:pPr>
        <w:spacing w:after="0" w:line="75" w:lineRule="exact"/>
        <w:rPr>
          <w:rFonts w:ascii="Arial" w:cs="Arial" w:eastAsia="Arial" w:hAnsi="Arial"/>
          <w:sz w:val="18"/>
          <w:szCs w:val="18"/>
          <w:color w:val="auto"/>
        </w:rPr>
      </w:pPr>
    </w:p>
    <w:p>
      <w:pPr>
        <w:ind w:left="440" w:right="220" w:firstLine="419"/>
        <w:spacing w:after="0" w:line="296" w:lineRule="auto"/>
        <w:tabs>
          <w:tab w:leader="none" w:pos="1118"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case of an Option or SAR, the cancellation of such Award without payment of any consideration. An Optionee shall be able to exercise his or her outstanding Option or SAR, to the extent such Option or SAR is then vested or become vested as of the effective time of the transaction, during a period of not less than five full business days preceding the closing date of the transaction, unless (i) a shorter period is required to permit a timely closing of the transaction and (ii) such shorter period still offers the Optionees a reasonable opportunity to exercise such Option or SAR. Any exercise of such Option or SAR during such period may be contingent on the closing of the transaction;</w:t>
      </w:r>
    </w:p>
    <w:p>
      <w:pPr>
        <w:spacing w:after="0" w:line="53" w:lineRule="exact"/>
        <w:rPr>
          <w:rFonts w:ascii="Arial" w:cs="Arial" w:eastAsia="Arial" w:hAnsi="Arial"/>
          <w:sz w:val="16"/>
          <w:szCs w:val="16"/>
          <w:color w:val="auto"/>
        </w:rPr>
      </w:pPr>
    </w:p>
    <w:p>
      <w:pPr>
        <w:ind w:left="440" w:right="80" w:firstLine="419"/>
        <w:spacing w:after="0" w:line="275" w:lineRule="auto"/>
        <w:tabs>
          <w:tab w:leader="none" w:pos="110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cancellation of such Award and a payment to the Participant with respect to each share subject to the portion of the Award that is vested or becomes vested as of the effective time of the transaction equal to the excess of (A) the value, as determined by the Administrator in its absolute discretion, of the property (including cash) received by the holder of a Common Share as a result of the transaction, over (if applicable) (B) the per-share Exercise Price of such Award (such excess, if any, the “</w:t>
      </w:r>
      <w:r>
        <w:rPr>
          <w:rFonts w:ascii="Arial" w:cs="Arial" w:eastAsia="Arial" w:hAnsi="Arial"/>
          <w:sz w:val="17"/>
          <w:szCs w:val="17"/>
          <w:b w:val="1"/>
          <w:bCs w:val="1"/>
          <w:color w:val="auto"/>
        </w:rPr>
        <w:t>Spread</w:t>
      </w:r>
      <w:r>
        <w:rPr>
          <w:rFonts w:ascii="Arial" w:cs="Arial" w:eastAsia="Arial" w:hAnsi="Arial"/>
          <w:sz w:val="17"/>
          <w:szCs w:val="17"/>
          <w:color w:val="auto"/>
        </w:rPr>
        <w:t>”). Such payment shall be made in the form of cash, cash equivalents, or securities of the surviving entity or its parent having a value equal to the Spread. In</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21" w:name="page22"/>
    <w:bookmarkEnd w:id="21"/>
    <w:p>
      <w:pPr>
        <w:ind w:left="440"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 any escrow, holdback, earn-out or similar provisions in the transaction agreement may apply to such payment to the same extent and in the same manner as such provisions apply to the holders of Common Shares. If the Spread applicable to an Award (whether or not vested) is zero or a negative number, then the Award may be cancelled without making a payment to the Participant. In the event that an Award is subject to Code Section 409A, the payment described in this clause (e) shall be made on the settlement date specified in the applicable Award Agreement, provided that settlement may be accelerated in accordance with Treasury Regulation Section 1.409A-3(j)(4); or</w:t>
      </w:r>
    </w:p>
    <w:p>
      <w:pPr>
        <w:spacing w:after="0" w:line="53" w:lineRule="exact"/>
        <w:rPr>
          <w:sz w:val="20"/>
          <w:szCs w:val="20"/>
          <w:color w:val="auto"/>
        </w:rPr>
      </w:pPr>
    </w:p>
    <w:p>
      <w:pPr>
        <w:ind w:left="440" w:right="480" w:firstLine="419"/>
        <w:spacing w:after="0" w:line="263" w:lineRule="auto"/>
        <w:tabs>
          <w:tab w:leader="none" w:pos="10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assignment of any reacquisition or repurchase rights held by the Company in respect of an Award of Restricted Shares to the surviving entity or its parent, with corresponding proportionate adjustments made to the price per share to be paid upon exercise of any such reacquisition or repurchase rights.</w:t>
      </w:r>
    </w:p>
    <w:p>
      <w:pPr>
        <w:spacing w:after="0" w:line="18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Unless an Award Agreement provides otherwise, each outstanding Award held by a Participant who remains a Service Provider as of the effective time of a merger, consolidation or Change in Control (other than one described in Article 14.6(d)) (a “</w:t>
      </w:r>
      <w:r>
        <w:rPr>
          <w:rFonts w:ascii="Arial" w:cs="Arial" w:eastAsia="Arial" w:hAnsi="Arial"/>
          <w:sz w:val="16"/>
          <w:szCs w:val="16"/>
          <w:b w:val="1"/>
          <w:bCs w:val="1"/>
          <w:color w:val="auto"/>
        </w:rPr>
        <w:t>Current Participant</w:t>
      </w:r>
      <w:r>
        <w:rPr>
          <w:rFonts w:ascii="Arial" w:cs="Arial" w:eastAsia="Arial" w:hAnsi="Arial"/>
          <w:sz w:val="16"/>
          <w:szCs w:val="16"/>
          <w:color w:val="auto"/>
        </w:rPr>
        <w:t xml:space="preserve">”) shall become fully vested and, if applicable, exercisable immediately prior to the effective time of the transaction and, in the case of an Award subject to performance-based vesting conditions, such performance-based vesting conditions shall be deemed achieved at 100% of target levels. However, the prior sentence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apply, and an outstanding Award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become vested and, if applicable, exercisable, if and to the extent the Award is continued, assumed or substituted as provided for in clauses (a), (b) or (c) above. In addition, the prior two sentences shall not apply to an Award held by a Participant who is not a Current Participant unless an Award Agreement provides otherwise or unless the Company and the acquirer agree otherwise.</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avoidance of doubt, the Administrator shall have the discretion, exercisable either at the time an Award is granted or at any time while the Award remains outstanding, to provide for the acceleration of vesting upon the occurrence of a Change in Control, whether or not the Award is to be assumed or replaced in the transaction, or in connection with a termination of the Participant’s service following a transaction.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Any action taken under this Article 9.3 shall either preserve an Award’s status as exempt from Code Section 409A or comply with Code Section 409A.</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OTHER AWARDS.</w:t>
      </w:r>
    </w:p>
    <w:p>
      <w:pPr>
        <w:spacing w:after="0" w:line="121"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Subject in all events to the limitations under Article 3 above as to the number of Common Shares available for issuance under this Plan, the Company may grant other forms of Awards not specifically described herein and may grant awards under other plans or programs, where such awards are settled in the form of Common Shares issued under this Plan. Such Common Shares shall be treated for all purposes under the Plan like Common Shares issued in settlement of Restricted Stock Units and shall, when issued, reduce the number of Common Shares available under Article 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LIMITATION ON RIGHTS.</w:t>
      </w:r>
    </w:p>
    <w:p>
      <w:pPr>
        <w:spacing w:after="0" w:line="117" w:lineRule="exact"/>
        <w:rPr>
          <w:sz w:val="20"/>
          <w:szCs w:val="20"/>
          <w:color w:val="auto"/>
        </w:rPr>
      </w:pPr>
    </w:p>
    <w:p>
      <w:pPr>
        <w:ind w:right="40" w:firstLine="440"/>
        <w:spacing w:after="0" w:line="314" w:lineRule="auto"/>
        <w:rPr>
          <w:sz w:val="20"/>
          <w:szCs w:val="20"/>
          <w:color w:val="auto"/>
        </w:rPr>
      </w:pPr>
      <w:r>
        <w:rPr>
          <w:rFonts w:ascii="Arial" w:cs="Arial" w:eastAsia="Arial" w:hAnsi="Arial"/>
          <w:sz w:val="16"/>
          <w:szCs w:val="16"/>
          <w:b w:val="1"/>
          <w:bCs w:val="1"/>
          <w:color w:val="auto"/>
        </w:rPr>
        <w:t>11.1 Retention Rights</w:t>
      </w:r>
      <w:r>
        <w:rPr>
          <w:rFonts w:ascii="Arial" w:cs="Arial" w:eastAsia="Arial" w:hAnsi="Arial"/>
          <w:sz w:val="16"/>
          <w:szCs w:val="16"/>
          <w:color w:val="auto"/>
        </w:rPr>
        <w:t>. Neither the Plan nor any Award granted under the Plan shall be deemed to give any individual a right to remain a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The Company and its Parents, Subsidiaries and Affiliates reserve the right to terminate the Service of any Service Provider at any time, with or without cause, subject to applicable laws, the Company’s certificate of incorporation and by-laws and a written employment agreement (if 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2" w:name="page23"/>
    <w:bookmarkEnd w:id="22"/>
    <w:p>
      <w:pPr>
        <w:ind w:left="4" w:right="6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11.2 Stockholders’ Rights</w:t>
      </w:r>
      <w:r>
        <w:rPr>
          <w:rFonts w:ascii="Arial" w:cs="Arial" w:eastAsia="Arial" w:hAnsi="Arial"/>
          <w:sz w:val="18"/>
          <w:szCs w:val="18"/>
          <w:color w:val="auto"/>
        </w:rPr>
        <w:t>. Except as set forth in Article 7.4 or 8.4 above, a Participant shall have no dividend rights, voting rights or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as a stockholder with respect to any Common Shares covered by his or her Award prior to the time when a stock certificate for such Common Shares is issued or, if applicable, the time when he or she becomes entitled to receive such Common Shares by filing any required notice of exercise and paying any required Exercise Price. No adjustment shall be made for cash dividends or other rights for which the record date is prior to such time, except as expressly provided in the Plan.</w:t>
      </w:r>
    </w:p>
    <w:p>
      <w:pPr>
        <w:spacing w:after="0" w:line="183" w:lineRule="exact"/>
        <w:rPr>
          <w:sz w:val="20"/>
          <w:szCs w:val="20"/>
          <w:color w:val="auto"/>
        </w:rPr>
      </w:pPr>
    </w:p>
    <w:p>
      <w:pPr>
        <w:ind w:left="4" w:firstLine="440"/>
        <w:spacing w:after="0" w:line="292" w:lineRule="auto"/>
        <w:rPr>
          <w:sz w:val="20"/>
          <w:szCs w:val="20"/>
          <w:color w:val="auto"/>
        </w:rPr>
      </w:pPr>
      <w:r>
        <w:rPr>
          <w:rFonts w:ascii="Arial" w:cs="Arial" w:eastAsia="Arial" w:hAnsi="Arial"/>
          <w:sz w:val="16"/>
          <w:szCs w:val="16"/>
          <w:b w:val="1"/>
          <w:bCs w:val="1"/>
          <w:color w:val="auto"/>
        </w:rPr>
        <w:t>11.3 Regulatory Requirements</w:t>
      </w:r>
      <w:r>
        <w:rPr>
          <w:rFonts w:ascii="Arial" w:cs="Arial" w:eastAsia="Arial" w:hAnsi="Arial"/>
          <w:sz w:val="16"/>
          <w:szCs w:val="16"/>
          <w:color w:val="auto"/>
        </w:rPr>
        <w:t>. Any other provision of the Plan notwithstanding, the obligation of the Company to issue Common Shares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 subject to all applicable laws, rules and regulations and such approval by any regulatory body as may be required. The Company reserves the right to restrict, in whole or in part, the delivery of Common Shares pursuant to any Award prior to the satisfaction of all legal requirements relating to the issuance of such Common Shares, to their registration, qualification or listing or to an exemption from registration, qualification or listing. The inability of the Company to obtain authority from any regulatory body having jurisdiction, which authority is deemed necessary by the Company’s counsel to be necessary to the lawful issuance and sale of any Common Shares hereunder, will relieve the Company of any liability in respect of the failure to issue or sell such Common Shares as to which such requisite authority will not have been obtained.</w:t>
      </w:r>
    </w:p>
    <w:p>
      <w:pPr>
        <w:spacing w:after="0" w:line="161"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b w:val="1"/>
          <w:bCs w:val="1"/>
          <w:color w:val="auto"/>
        </w:rPr>
        <w:t xml:space="preserve">11.4 Transferability of Awards. </w:t>
      </w:r>
      <w:r>
        <w:rPr>
          <w:rFonts w:ascii="Arial" w:cs="Arial" w:eastAsia="Arial" w:hAnsi="Arial"/>
          <w:sz w:val="16"/>
          <w:szCs w:val="16"/>
          <w:color w:val="auto"/>
        </w:rPr>
        <w:t>The Administrator may, in its sole discretion, permit transfer of an Award in a manner consistent with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 Unless otherwise determined by the Administrator, Awards shall be transferable by a Participant only by (a) beneficiary designation, (b) a will or</w:t>
      </w:r>
    </w:p>
    <w:p>
      <w:pPr>
        <w:spacing w:after="0" w:line="1" w:lineRule="exact"/>
        <w:rPr>
          <w:sz w:val="20"/>
          <w:szCs w:val="20"/>
          <w:color w:val="auto"/>
        </w:rPr>
      </w:pPr>
    </w:p>
    <w:p>
      <w:pPr>
        <w:ind w:left="4" w:right="260" w:hanging="4"/>
        <w:spacing w:after="0" w:line="323"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laws of descent and distribution; provided that, in any event, an ISO may only be transferred by will or by the laws of descent and distribution and may be exercised during the lifetime of the Optionee only by the Optionee or by the Optionee’s guardian or legal representative.</w:t>
      </w:r>
    </w:p>
    <w:p>
      <w:pPr>
        <w:spacing w:after="0" w:line="134" w:lineRule="exact"/>
        <w:rPr>
          <w:sz w:val="20"/>
          <w:szCs w:val="20"/>
          <w:color w:val="auto"/>
        </w:rPr>
      </w:pPr>
    </w:p>
    <w:p>
      <w:pPr>
        <w:ind w:left="4" w:right="60" w:firstLine="440"/>
        <w:spacing w:after="0" w:line="303" w:lineRule="auto"/>
        <w:rPr>
          <w:sz w:val="20"/>
          <w:szCs w:val="20"/>
          <w:color w:val="auto"/>
        </w:rPr>
      </w:pPr>
      <w:r>
        <w:rPr>
          <w:rFonts w:ascii="Arial" w:cs="Arial" w:eastAsia="Arial" w:hAnsi="Arial"/>
          <w:sz w:val="16"/>
          <w:szCs w:val="16"/>
          <w:b w:val="1"/>
          <w:bCs w:val="1"/>
          <w:color w:val="auto"/>
        </w:rPr>
        <w:t xml:space="preserve">11.5 Recoupment Policy. </w:t>
      </w:r>
      <w:r>
        <w:rPr>
          <w:rFonts w:ascii="Arial" w:cs="Arial" w:eastAsia="Arial" w:hAnsi="Arial"/>
          <w:sz w:val="16"/>
          <w:szCs w:val="16"/>
          <w:color w:val="auto"/>
        </w:rPr>
        <w:t>All Awards granted under the Plan, all amounts paid under the Plan and all Common Shares issued under the Plan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subject to recoupment, clawback or recovery by the Company in accordance with applicable law and with Company policy (whenever adopted) regarding same, whether or not such policy is intended to satisfy the requirements of the Dodd-Frank Wall Street Reform and Consumer Protection Act, the Sarbanes-Oxley Act, or other applicable law, as well as any implementing regulations and/or listing standards thereunder.</w:t>
      </w:r>
    </w:p>
    <w:p>
      <w:pPr>
        <w:spacing w:after="0" w:line="151" w:lineRule="exact"/>
        <w:rPr>
          <w:sz w:val="20"/>
          <w:szCs w:val="20"/>
          <w:color w:val="auto"/>
        </w:rPr>
      </w:pPr>
    </w:p>
    <w:p>
      <w:pPr>
        <w:ind w:left="4" w:right="100" w:firstLine="440"/>
        <w:spacing w:after="0" w:line="294" w:lineRule="auto"/>
        <w:rPr>
          <w:sz w:val="20"/>
          <w:szCs w:val="20"/>
          <w:color w:val="auto"/>
        </w:rPr>
      </w:pPr>
      <w:r>
        <w:rPr>
          <w:rFonts w:ascii="Arial" w:cs="Arial" w:eastAsia="Arial" w:hAnsi="Arial"/>
          <w:sz w:val="16"/>
          <w:szCs w:val="16"/>
          <w:b w:val="1"/>
          <w:bCs w:val="1"/>
          <w:color w:val="auto"/>
        </w:rPr>
        <w:t>11.6 Other Conditions and Restrictions on Common Shares</w:t>
      </w:r>
      <w:r>
        <w:rPr>
          <w:rFonts w:ascii="Arial" w:cs="Arial" w:eastAsia="Arial" w:hAnsi="Arial"/>
          <w:sz w:val="16"/>
          <w:szCs w:val="16"/>
          <w:color w:val="auto"/>
        </w:rPr>
        <w:t>. Any Common Shares issued under the Plan shall be subject to such forfeiture</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rights of repurchase, rights of first refusal, other transfer restrictions and such other terms and conditions as the Administrator may determine. Such conditions and restrictions shall be set forth in the applicable Award Agreement and shall apply in addition to any restrictions that may apply to holders of Common Shares generally. In addition, Common Shares issued under the Plan shall be subject to such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12. TAXES.</w:t>
      </w:r>
    </w:p>
    <w:p>
      <w:pPr>
        <w:spacing w:after="0" w:line="117" w:lineRule="exact"/>
        <w:rPr>
          <w:sz w:val="20"/>
          <w:szCs w:val="20"/>
          <w:color w:val="auto"/>
        </w:rPr>
      </w:pPr>
    </w:p>
    <w:p>
      <w:pPr>
        <w:ind w:left="4" w:right="20" w:firstLine="440"/>
        <w:spacing w:after="0" w:line="314" w:lineRule="auto"/>
        <w:rPr>
          <w:sz w:val="20"/>
          <w:szCs w:val="20"/>
          <w:color w:val="auto"/>
        </w:rPr>
      </w:pPr>
      <w:r>
        <w:rPr>
          <w:rFonts w:ascii="Arial" w:cs="Arial" w:eastAsia="Arial" w:hAnsi="Arial"/>
          <w:sz w:val="16"/>
          <w:szCs w:val="16"/>
          <w:b w:val="1"/>
          <w:bCs w:val="1"/>
          <w:color w:val="auto"/>
        </w:rPr>
        <w:t>12.1 General</w:t>
      </w:r>
      <w:r>
        <w:rPr>
          <w:rFonts w:ascii="Arial" w:cs="Arial" w:eastAsia="Arial" w:hAnsi="Arial"/>
          <w:sz w:val="16"/>
          <w:szCs w:val="16"/>
          <w:color w:val="auto"/>
        </w:rPr>
        <w:t>. It is a condition to each Award under the Plan that a Participant or his or her successor shall make arrangements satisfactory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 the satisfaction of any federal, state, local or foreign withholding tax obligations that arise in connection with any Award granted under the Plan. The Company shall not be required to issue any Common Shares or make any cash payment under the Plan unless such obligations are satisfied.</w:t>
      </w:r>
    </w:p>
    <w:p>
      <w:pPr>
        <w:spacing w:after="0" w:line="142" w:lineRule="exact"/>
        <w:rPr>
          <w:sz w:val="20"/>
          <w:szCs w:val="20"/>
          <w:color w:val="auto"/>
        </w:rPr>
      </w:pPr>
    </w:p>
    <w:p>
      <w:pPr>
        <w:ind w:left="4" w:right="140" w:firstLine="440"/>
        <w:spacing w:after="0" w:line="258" w:lineRule="auto"/>
        <w:rPr>
          <w:sz w:val="20"/>
          <w:szCs w:val="20"/>
          <w:color w:val="auto"/>
        </w:rPr>
      </w:pPr>
      <w:r>
        <w:rPr>
          <w:rFonts w:ascii="Arial" w:cs="Arial" w:eastAsia="Arial" w:hAnsi="Arial"/>
          <w:sz w:val="18"/>
          <w:szCs w:val="18"/>
          <w:b w:val="1"/>
          <w:bCs w:val="1"/>
          <w:color w:val="auto"/>
        </w:rPr>
        <w:t>12.2 Share Withholding</w:t>
      </w:r>
      <w:r>
        <w:rPr>
          <w:rFonts w:ascii="Arial" w:cs="Arial" w:eastAsia="Arial" w:hAnsi="Arial"/>
          <w:sz w:val="18"/>
          <w:szCs w:val="18"/>
          <w:color w:val="auto"/>
        </w:rPr>
        <w:t>. To the extent that applicable law subjects a Participant to tax withholding obligations, the Administrator may permit</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Participant to satisfy all or part of such obligations by having the Company withhold all or a portion of any Common Shares that otherwise would be issued to him or her or by surrendering all or a portion of any Common Shares that he or she previously acquired. Such Common Shares shall be valued on the date when they are withheld or surrendered. Any payment of taxes by assigning Common Shares to the Company may be subject to restrictions including any restrictions required by SEC, accounting or other rules.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0" w:right="459" w:bottom="1440" w:gutter="0" w:footer="0" w:header="0"/>
        </w:sectPr>
      </w:pPr>
    </w:p>
    <w:bookmarkStart w:id="23" w:name="page24"/>
    <w:bookmarkEnd w:id="23"/>
    <w:p>
      <w:pPr>
        <w:ind w:firstLine="4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12.3 Section 409A Matters</w:t>
      </w:r>
      <w:r>
        <w:rPr>
          <w:rFonts w:ascii="Arial" w:cs="Arial" w:eastAsia="Arial" w:hAnsi="Arial"/>
          <w:sz w:val="16"/>
          <w:szCs w:val="16"/>
          <w:color w:val="auto"/>
        </w:rPr>
        <w:t>. Except as otherwise expressly set forth in an Award Agreement, it is intended that Awards granted under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either be exempt from, or comply with, the requirements of Code Section 409A. To the extent an Award is subject to Code Section 409A (a “</w:t>
      </w:r>
      <w:r>
        <w:rPr>
          <w:rFonts w:ascii="Arial" w:cs="Arial" w:eastAsia="Arial" w:hAnsi="Arial"/>
          <w:sz w:val="16"/>
          <w:szCs w:val="16"/>
          <w:b w:val="1"/>
          <w:bCs w:val="1"/>
          <w:color w:val="auto"/>
        </w:rPr>
        <w:t>409A</w:t>
      </w:r>
      <w:r>
        <w:rPr>
          <w:rFonts w:ascii="Arial" w:cs="Arial" w:eastAsia="Arial" w:hAnsi="Arial"/>
          <w:sz w:val="16"/>
          <w:szCs w:val="16"/>
          <w:color w:val="auto"/>
        </w:rPr>
        <w:t xml:space="preserve"> </w:t>
      </w:r>
      <w:r>
        <w:rPr>
          <w:rFonts w:ascii="Arial" w:cs="Arial" w:eastAsia="Arial" w:hAnsi="Arial"/>
          <w:sz w:val="16"/>
          <w:szCs w:val="16"/>
          <w:b w:val="1"/>
          <w:bCs w:val="1"/>
          <w:color w:val="auto"/>
        </w:rPr>
        <w:t>Award</w:t>
      </w:r>
      <w:r>
        <w:rPr>
          <w:rFonts w:ascii="Arial" w:cs="Arial" w:eastAsia="Arial" w:hAnsi="Arial"/>
          <w:sz w:val="16"/>
          <w:szCs w:val="16"/>
          <w:color w:val="auto"/>
        </w:rPr>
        <w:t>”), the terms of the Plan, the Award and any written agreement governing the Award shall be interpreted to comply with the requirements of Code</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so that the Award is not subject to additional tax or interest under Code Section 409A, unless the Administrator expressly provides otherwise. A 409A Award shall be subject to such additional rules and requirements as specified by the Administrator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Code Section 409A(a)(1).</w:t>
      </w:r>
    </w:p>
    <w:p>
      <w:pPr>
        <w:spacing w:after="0" w:line="166"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12.4 Limitation on Liability</w:t>
      </w:r>
      <w:r>
        <w:rPr>
          <w:rFonts w:ascii="Arial" w:cs="Arial" w:eastAsia="Arial" w:hAnsi="Arial"/>
          <w:sz w:val="18"/>
          <w:szCs w:val="18"/>
          <w:color w:val="auto"/>
        </w:rPr>
        <w:t>. Neither the Company nor any person serving as Administrator shall have any liability to a Participant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an Award held by the Participant fails to achieve its intended characterization under applicable tax law.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FUTURE OF THE PLAN.</w:t>
      </w:r>
    </w:p>
    <w:p>
      <w:pPr>
        <w:spacing w:after="0" w:line="117" w:lineRule="exact"/>
        <w:rPr>
          <w:sz w:val="20"/>
          <w:szCs w:val="20"/>
          <w:color w:val="auto"/>
        </w:rPr>
      </w:pPr>
    </w:p>
    <w:p>
      <w:pPr>
        <w:ind w:right="300" w:firstLine="440"/>
        <w:spacing w:after="0" w:line="347" w:lineRule="auto"/>
        <w:rPr>
          <w:sz w:val="20"/>
          <w:szCs w:val="20"/>
          <w:color w:val="auto"/>
        </w:rPr>
      </w:pPr>
      <w:r>
        <w:rPr>
          <w:rFonts w:ascii="Arial" w:cs="Arial" w:eastAsia="Arial" w:hAnsi="Arial"/>
          <w:sz w:val="16"/>
          <w:szCs w:val="16"/>
          <w:b w:val="1"/>
          <w:bCs w:val="1"/>
          <w:color w:val="auto"/>
        </w:rPr>
        <w:t>13.1 Term of the Plan</w:t>
      </w:r>
      <w:r>
        <w:rPr>
          <w:rFonts w:ascii="Arial" w:cs="Arial" w:eastAsia="Arial" w:hAnsi="Arial"/>
          <w:sz w:val="16"/>
          <w:szCs w:val="16"/>
          <w:color w:val="auto"/>
        </w:rPr>
        <w:t>. The Plan, as set forth herein, shall become effective on the date of its adoption by the Board, subject to approval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stockholders under Article 13.3 below. The Plan shall terminate automatically 10 years after the date when the Board adopted the Plan.</w:t>
      </w:r>
    </w:p>
    <w:p>
      <w:pPr>
        <w:spacing w:after="0" w:line="11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13.2 Amendment or Termination</w:t>
      </w:r>
      <w:r>
        <w:rPr>
          <w:rFonts w:ascii="Arial" w:cs="Arial" w:eastAsia="Arial" w:hAnsi="Arial"/>
          <w:sz w:val="18"/>
          <w:szCs w:val="18"/>
          <w:color w:val="auto"/>
        </w:rPr>
        <w:t>. The Board may, at any time and for any reason, amend or terminate the Plan. No Awards shall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after the termination thereof. The termination of the Plan, or any amendment thereof, shall not affect any Award previously granted under the Plan.</w:t>
      </w:r>
    </w:p>
    <w:p>
      <w:pPr>
        <w:spacing w:after="0" w:line="176" w:lineRule="exact"/>
        <w:rPr>
          <w:sz w:val="20"/>
          <w:szCs w:val="20"/>
          <w:color w:val="auto"/>
        </w:rPr>
      </w:pPr>
    </w:p>
    <w:p>
      <w:pPr>
        <w:jc w:val="both"/>
        <w:ind w:right="360" w:firstLine="440"/>
        <w:spacing w:after="0" w:line="266" w:lineRule="auto"/>
        <w:rPr>
          <w:sz w:val="20"/>
          <w:szCs w:val="20"/>
          <w:color w:val="auto"/>
        </w:rPr>
      </w:pPr>
      <w:r>
        <w:rPr>
          <w:rFonts w:ascii="Arial" w:cs="Arial" w:eastAsia="Arial" w:hAnsi="Arial"/>
          <w:sz w:val="18"/>
          <w:szCs w:val="18"/>
          <w:b w:val="1"/>
          <w:bCs w:val="1"/>
          <w:color w:val="auto"/>
        </w:rPr>
        <w:t>13.3 Stockholder Approval</w:t>
      </w:r>
      <w:r>
        <w:rPr>
          <w:rFonts w:ascii="Arial" w:cs="Arial" w:eastAsia="Arial" w:hAnsi="Arial"/>
          <w:sz w:val="18"/>
          <w:szCs w:val="18"/>
          <w:color w:val="auto"/>
        </w:rPr>
        <w:t>. To the extent required by applicable law, the Plan will be subject to the approval of the Company’s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12 months of its adoption date. An amendment of the Plan shall be subject to the approval of the Company’s stockholders only to the extent required by applicable laws, regulations or rules.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DEFINITIONS.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14.1 “</w:t>
      </w:r>
      <w:r>
        <w:rPr>
          <w:rFonts w:ascii="Arial" w:cs="Arial" w:eastAsia="Arial" w:hAnsi="Arial"/>
          <w:sz w:val="18"/>
          <w:szCs w:val="18"/>
          <w:b w:val="1"/>
          <w:bCs w:val="1"/>
          <w:color w:val="auto"/>
        </w:rPr>
        <w:t>Administrator</w:t>
      </w:r>
      <w:r>
        <w:rPr>
          <w:rFonts w:ascii="Arial" w:cs="Arial" w:eastAsia="Arial" w:hAnsi="Arial"/>
          <w:sz w:val="18"/>
          <w:szCs w:val="18"/>
          <w:color w:val="auto"/>
        </w:rPr>
        <w:t>” means the Board or any Committee administering the Plan in accordance with Article 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14.2 “</w:t>
      </w:r>
      <w:r>
        <w:rPr>
          <w:rFonts w:ascii="Arial" w:cs="Arial" w:eastAsia="Arial" w:hAnsi="Arial"/>
          <w:sz w:val="16"/>
          <w:szCs w:val="16"/>
          <w:b w:val="1"/>
          <w:bCs w:val="1"/>
          <w:color w:val="auto"/>
        </w:rPr>
        <w:t>Affiliate</w:t>
      </w:r>
      <w:r>
        <w:rPr>
          <w:rFonts w:ascii="Arial" w:cs="Arial" w:eastAsia="Arial" w:hAnsi="Arial"/>
          <w:sz w:val="16"/>
          <w:szCs w:val="16"/>
          <w:color w:val="auto"/>
        </w:rPr>
        <w:t>” means any entity other than a Subsidiary, if the Company and/or one or more Subsidiaries own not less than 50% of such entity.</w:t>
      </w:r>
    </w:p>
    <w:p>
      <w:pPr>
        <w:spacing w:after="0" w:line="248"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b w:val="1"/>
          <w:bCs w:val="1"/>
          <w:color w:val="auto"/>
        </w:rPr>
        <w:t>Award</w:t>
      </w:r>
      <w:r>
        <w:rPr>
          <w:rFonts w:ascii="Arial" w:cs="Arial" w:eastAsia="Arial" w:hAnsi="Arial"/>
          <w:sz w:val="18"/>
          <w:szCs w:val="18"/>
          <w:color w:val="auto"/>
        </w:rPr>
        <w:t>” means any award granted under the Plan, including as an Option, a SAR, a Restricted Share award, a Restricted Stock Unit award or another form of equity-based compensation award.</w:t>
      </w:r>
    </w:p>
    <w:p>
      <w:pPr>
        <w:spacing w:after="0" w:line="162" w:lineRule="exact"/>
        <w:rPr>
          <w:sz w:val="20"/>
          <w:szCs w:val="20"/>
          <w:color w:val="auto"/>
        </w:rPr>
      </w:pPr>
    </w:p>
    <w:p>
      <w:pPr>
        <w:ind w:right="760" w:firstLine="440"/>
        <w:spacing w:after="0" w:line="282" w:lineRule="auto"/>
        <w:rPr>
          <w:sz w:val="20"/>
          <w:szCs w:val="20"/>
          <w:color w:val="auto"/>
        </w:rPr>
      </w:pPr>
      <w:r>
        <w:rPr>
          <w:rFonts w:ascii="Arial" w:cs="Arial" w:eastAsia="Arial" w:hAnsi="Arial"/>
          <w:sz w:val="18"/>
          <w:szCs w:val="18"/>
          <w:color w:val="auto"/>
        </w:rPr>
        <w:t>14.4 “</w:t>
      </w:r>
      <w:r>
        <w:rPr>
          <w:rFonts w:ascii="Arial" w:cs="Arial" w:eastAsia="Arial" w:hAnsi="Arial"/>
          <w:sz w:val="18"/>
          <w:szCs w:val="18"/>
          <w:b w:val="1"/>
          <w:bCs w:val="1"/>
          <w:color w:val="auto"/>
        </w:rPr>
        <w:t>Award Agreement</w:t>
      </w:r>
      <w:r>
        <w:rPr>
          <w:rFonts w:ascii="Arial" w:cs="Arial" w:eastAsia="Arial" w:hAnsi="Arial"/>
          <w:sz w:val="18"/>
          <w:szCs w:val="18"/>
          <w:color w:val="auto"/>
        </w:rPr>
        <w:t>” means a Stock Option Agreement, a SAR Agreement, a Restricted Stock Agreement, a Restricted Stock Unit Agreement or such other agreement evidencing an Award granted under the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24" w:name="page25"/>
    <w:bookmarkEnd w:id="24"/>
    <w:p>
      <w:pPr>
        <w:ind w:right="4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14.5 “</w:t>
      </w:r>
      <w:r>
        <w:rPr>
          <w:rFonts w:ascii="Arial" w:cs="Arial" w:eastAsia="Arial" w:hAnsi="Arial"/>
          <w:sz w:val="18"/>
          <w:szCs w:val="18"/>
          <w:b w:val="1"/>
          <w:bCs w:val="1"/>
          <w:color w:val="auto"/>
        </w:rPr>
        <w:t>Board</w:t>
      </w:r>
      <w:r>
        <w:rPr>
          <w:rFonts w:ascii="Arial" w:cs="Arial" w:eastAsia="Arial" w:hAnsi="Arial"/>
          <w:sz w:val="18"/>
          <w:szCs w:val="18"/>
          <w:color w:val="auto"/>
        </w:rPr>
        <w:t>” means the Company’s Board of Directors, as constituted from time to time and, where the context so requires, reference to the “Board” may refer to a Committee to whom the Board has delegated authority to administer any aspect of this Plan.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14.6 “</w:t>
      </w:r>
      <w:r>
        <w:rPr>
          <w:rFonts w:ascii="Arial" w:cs="Arial" w:eastAsia="Arial" w:hAnsi="Arial"/>
          <w:sz w:val="18"/>
          <w:szCs w:val="18"/>
          <w:b w:val="1"/>
          <w:bCs w:val="1"/>
          <w:color w:val="auto"/>
        </w:rPr>
        <w:t>Change in Control</w:t>
      </w:r>
      <w:r>
        <w:rPr>
          <w:rFonts w:ascii="Arial" w:cs="Arial" w:eastAsia="Arial" w:hAnsi="Arial"/>
          <w:sz w:val="18"/>
          <w:szCs w:val="18"/>
          <w:color w:val="auto"/>
        </w:rPr>
        <w:t>” means:</w:t>
      </w:r>
    </w:p>
    <w:p>
      <w:pPr>
        <w:spacing w:after="0" w:line="229" w:lineRule="exact"/>
        <w:rPr>
          <w:sz w:val="20"/>
          <w:szCs w:val="20"/>
          <w:color w:val="auto"/>
        </w:rPr>
      </w:pPr>
    </w:p>
    <w:p>
      <w:pPr>
        <w:ind w:right="260" w:firstLine="987"/>
        <w:spacing w:after="0" w:line="263" w:lineRule="auto"/>
        <w:tabs>
          <w:tab w:leader="none" w:pos="12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225" w:lineRule="exact"/>
        <w:rPr>
          <w:rFonts w:ascii="Arial" w:cs="Arial" w:eastAsia="Arial" w:hAnsi="Arial"/>
          <w:sz w:val="18"/>
          <w:szCs w:val="18"/>
          <w:color w:val="auto"/>
        </w:rPr>
      </w:pPr>
    </w:p>
    <w:p>
      <w:pPr>
        <w:ind w:right="20" w:firstLine="987"/>
        <w:spacing w:after="0" w:line="301" w:lineRule="auto"/>
        <w:tabs>
          <w:tab w:leader="none" w:pos="12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w:t>
      </w:r>
    </w:p>
    <w:p>
      <w:pPr>
        <w:spacing w:after="0" w:line="153" w:lineRule="exact"/>
        <w:rPr>
          <w:rFonts w:ascii="Arial" w:cs="Arial" w:eastAsia="Arial" w:hAnsi="Arial"/>
          <w:sz w:val="16"/>
          <w:szCs w:val="16"/>
          <w:color w:val="auto"/>
        </w:rPr>
      </w:pPr>
    </w:p>
    <w:p>
      <w:pPr>
        <w:ind w:right="60" w:firstLine="987"/>
        <w:spacing w:after="0" w:line="261" w:lineRule="auto"/>
        <w:tabs>
          <w:tab w:leader="none" w:pos="12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Individuals who are members of the Board (the “</w:t>
      </w:r>
      <w:r>
        <w:rPr>
          <w:rFonts w:ascii="Arial" w:cs="Arial" w:eastAsia="Arial" w:hAnsi="Arial"/>
          <w:sz w:val="18"/>
          <w:szCs w:val="18"/>
          <w:b w:val="1"/>
          <w:bCs w:val="1"/>
          <w:color w:val="auto"/>
        </w:rPr>
        <w:t>Incumbent Board</w:t>
      </w:r>
      <w:r>
        <w:rPr>
          <w:rFonts w:ascii="Arial" w:cs="Arial" w:eastAsia="Arial" w:hAnsi="Arial"/>
          <w:sz w:val="18"/>
          <w:szCs w:val="18"/>
          <w:color w:val="auto"/>
        </w:rPr>
        <w:t>”) cease for any reason to constitute at least a majority of the members of the Board over a period of 12 months;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In addition, if a Change in Control constitutes a payment event with respect to any Award which provides for a deferral of compensation and is subject to Code Section 409A, then notwithstanding anything to the contrary in the Plan or applicable Award Agreement the transaction with respect to such Award must also constitute a “change in control event” as defined in Treasury Regulation Section 1.409A-3(i)(5) to the extent required by Code Section 409A.</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14.7 “</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color w:val="auto"/>
        </w:rPr>
        <w:t>14.8 “</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of one or more members of the Board, or of other individuals satisfying applicable laws, appointed by the Board to administer the Plan.</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14.9 “</w:t>
      </w:r>
      <w:r>
        <w:rPr>
          <w:rFonts w:ascii="Arial" w:cs="Arial" w:eastAsia="Arial" w:hAnsi="Arial"/>
          <w:sz w:val="18"/>
          <w:szCs w:val="18"/>
          <w:b w:val="1"/>
          <w:bCs w:val="1"/>
          <w:color w:val="auto"/>
        </w:rPr>
        <w:t>Common Share</w:t>
      </w:r>
      <w:r>
        <w:rPr>
          <w:rFonts w:ascii="Arial" w:cs="Arial" w:eastAsia="Arial" w:hAnsi="Arial"/>
          <w:sz w:val="18"/>
          <w:szCs w:val="18"/>
          <w:color w:val="auto"/>
        </w:rPr>
        <w:t>” means one share of the Company’s common stock.</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14.10 “</w:t>
      </w:r>
      <w:r>
        <w:rPr>
          <w:rFonts w:ascii="Arial" w:cs="Arial" w:eastAsia="Arial" w:hAnsi="Arial"/>
          <w:sz w:val="18"/>
          <w:szCs w:val="18"/>
          <w:b w:val="1"/>
          <w:bCs w:val="1"/>
          <w:color w:val="auto"/>
        </w:rPr>
        <w:t>Company</w:t>
      </w:r>
      <w:r>
        <w:rPr>
          <w:rFonts w:ascii="Arial" w:cs="Arial" w:eastAsia="Arial" w:hAnsi="Arial"/>
          <w:sz w:val="18"/>
          <w:szCs w:val="18"/>
          <w:color w:val="auto"/>
        </w:rPr>
        <w:t>” means Tarsus Pharmaceuticals, Inc., a Delaware corporation.</w:t>
      </w:r>
    </w:p>
    <w:p>
      <w:pPr>
        <w:spacing w:after="0" w:line="225" w:lineRule="exact"/>
        <w:rPr>
          <w:sz w:val="20"/>
          <w:szCs w:val="20"/>
          <w:color w:val="auto"/>
        </w:rPr>
      </w:pPr>
    </w:p>
    <w:p>
      <w:pPr>
        <w:ind w:right="120" w:firstLine="991"/>
        <w:spacing w:after="0" w:line="347" w:lineRule="auto"/>
        <w:rPr>
          <w:sz w:val="20"/>
          <w:szCs w:val="20"/>
          <w:color w:val="auto"/>
        </w:rPr>
      </w:pPr>
      <w:r>
        <w:rPr>
          <w:rFonts w:ascii="Arial" w:cs="Arial" w:eastAsia="Arial" w:hAnsi="Arial"/>
          <w:sz w:val="16"/>
          <w:szCs w:val="16"/>
          <w:color w:val="auto"/>
        </w:rPr>
        <w:t>14.11 “</w:t>
      </w:r>
      <w:r>
        <w:rPr>
          <w:rFonts w:ascii="Arial" w:cs="Arial" w:eastAsia="Arial" w:hAnsi="Arial"/>
          <w:sz w:val="16"/>
          <w:szCs w:val="16"/>
          <w:b w:val="1"/>
          <w:bCs w:val="1"/>
          <w:color w:val="auto"/>
        </w:rPr>
        <w:t>Consultant</w:t>
      </w:r>
      <w:r>
        <w:rPr>
          <w:rFonts w:ascii="Arial" w:cs="Arial" w:eastAsia="Arial" w:hAnsi="Arial"/>
          <w:sz w:val="16"/>
          <w:szCs w:val="16"/>
          <w:color w:val="auto"/>
        </w:rPr>
        <w:t xml:space="preserve">” means a consultant or adviser who provides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services to the Company, a Parent, a Subsidiary or an Affiliate as an independent contractor and who qualifies as a consultant or advisor under Instruction A.1.(a)(1) of Form S-8 under the Securities Act.</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14.12 “</w:t>
      </w:r>
      <w:r>
        <w:rPr>
          <w:rFonts w:ascii="Arial" w:cs="Arial" w:eastAsia="Arial" w:hAnsi="Arial"/>
          <w:sz w:val="18"/>
          <w:szCs w:val="18"/>
          <w:b w:val="1"/>
          <w:bCs w:val="1"/>
          <w:color w:val="auto"/>
        </w:rPr>
        <w:t>Employee</w:t>
      </w:r>
      <w:r>
        <w:rPr>
          <w:rFonts w:ascii="Arial" w:cs="Arial" w:eastAsia="Arial" w:hAnsi="Arial"/>
          <w:sz w:val="18"/>
          <w:szCs w:val="18"/>
          <w:color w:val="auto"/>
        </w:rPr>
        <w:t>” means a common-law employee of the Company, a Parent, a Subsidiary or an Affiliate.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14.13 “</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25" w:name="page26"/>
    <w:bookmarkEnd w:id="25"/>
    <w:p>
      <w:pPr>
        <w:ind w:right="40" w:firstLine="991"/>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14.14 “</w:t>
      </w:r>
      <w:r>
        <w:rPr>
          <w:rFonts w:ascii="Arial" w:cs="Arial" w:eastAsia="Arial" w:hAnsi="Arial"/>
          <w:sz w:val="18"/>
          <w:szCs w:val="18"/>
          <w:b w:val="1"/>
          <w:bCs w:val="1"/>
          <w:color w:val="auto"/>
        </w:rPr>
        <w:t>Exercise Price</w:t>
      </w:r>
      <w:r>
        <w:rPr>
          <w:rFonts w:ascii="Arial" w:cs="Arial" w:eastAsia="Arial" w:hAnsi="Arial"/>
          <w:sz w:val="18"/>
          <w:szCs w:val="18"/>
          <w:color w:val="auto"/>
        </w:rPr>
        <w:t>,” in the case of an Option, means the amount for which one Common Share may be purchased upon exercise of such Option, as specified in the applicable Stock Option Agreement. “Exercise Price,” in the case of a SAR, means an amount, as specified in the applicable SAR Agreement, which is subtracted from the Fair Market Value of one Common Share in determining the amount payable upon exercise of such SAR.</w:t>
      </w:r>
    </w:p>
    <w:p>
      <w:pPr>
        <w:spacing w:after="0" w:line="180"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14.15 “</w:t>
      </w:r>
      <w:r>
        <w:rPr>
          <w:rFonts w:ascii="Arial" w:cs="Arial" w:eastAsia="Arial" w:hAnsi="Arial"/>
          <w:sz w:val="18"/>
          <w:szCs w:val="18"/>
          <w:b w:val="1"/>
          <w:bCs w:val="1"/>
          <w:color w:val="auto"/>
        </w:rPr>
        <w:t>Fair Market Value</w:t>
      </w:r>
      <w:r>
        <w:rPr>
          <w:rFonts w:ascii="Arial" w:cs="Arial" w:eastAsia="Arial" w:hAnsi="Arial"/>
          <w:sz w:val="18"/>
          <w:szCs w:val="18"/>
          <w:color w:val="auto"/>
        </w:rPr>
        <w:t>” means the closing price of a Common Share on any established stock exchange or a national market system on the applicable date or, if the applicable date is not a trading day, on the last trading day prior to the applicable date, as reported in a source that the Administrator deems reliable. If Common Shares are not traded on an established stock exchange or a national market system, the Fair Market Value shall be determined by the Administrator in good faith on such basis as it deems appropriate. The Administrator’s determination shall be conclusive and binding on all persons. Notwithstanding the foregoing, the determination of the Fair Market Value in all cases shall be in accordance with the requirements set forth under Section 409A of the Code to the extent necessary for an Award to comply with, or be exempt from, Section 409A of the Code.</w:t>
      </w:r>
    </w:p>
    <w:p>
      <w:pPr>
        <w:spacing w:after="0" w:line="189" w:lineRule="exact"/>
        <w:rPr>
          <w:sz w:val="20"/>
          <w:szCs w:val="20"/>
          <w:color w:val="auto"/>
        </w:rPr>
      </w:pPr>
    </w:p>
    <w:p>
      <w:pPr>
        <w:ind w:right="740" w:firstLine="991"/>
        <w:spacing w:after="0" w:line="282" w:lineRule="auto"/>
        <w:rPr>
          <w:sz w:val="20"/>
          <w:szCs w:val="20"/>
          <w:color w:val="auto"/>
        </w:rPr>
      </w:pPr>
      <w:r>
        <w:rPr>
          <w:rFonts w:ascii="Arial" w:cs="Arial" w:eastAsia="Arial" w:hAnsi="Arial"/>
          <w:sz w:val="18"/>
          <w:szCs w:val="18"/>
          <w:color w:val="auto"/>
        </w:rPr>
        <w:t>14.16 “</w:t>
      </w:r>
      <w:r>
        <w:rPr>
          <w:rFonts w:ascii="Arial" w:cs="Arial" w:eastAsia="Arial" w:hAnsi="Arial"/>
          <w:sz w:val="18"/>
          <w:szCs w:val="18"/>
          <w:b w:val="1"/>
          <w:bCs w:val="1"/>
          <w:color w:val="auto"/>
        </w:rPr>
        <w:t>IPO Date</w:t>
      </w:r>
      <w:r>
        <w:rPr>
          <w:rFonts w:ascii="Arial" w:cs="Arial" w:eastAsia="Arial" w:hAnsi="Arial"/>
          <w:sz w:val="18"/>
          <w:szCs w:val="18"/>
          <w:color w:val="auto"/>
        </w:rPr>
        <w:t>” means the effective date of the registration statement filed by the Company with the Securities and Exchange Commission for its initial offering of the Common Shares to the public.</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14.17 “</w:t>
      </w:r>
      <w:r>
        <w:rPr>
          <w:rFonts w:ascii="Arial" w:cs="Arial" w:eastAsia="Arial" w:hAnsi="Arial"/>
          <w:sz w:val="18"/>
          <w:szCs w:val="18"/>
          <w:b w:val="1"/>
          <w:bCs w:val="1"/>
          <w:color w:val="auto"/>
        </w:rPr>
        <w:t>ISO</w:t>
      </w:r>
      <w:r>
        <w:rPr>
          <w:rFonts w:ascii="Arial" w:cs="Arial" w:eastAsia="Arial" w:hAnsi="Arial"/>
          <w:sz w:val="18"/>
          <w:szCs w:val="18"/>
          <w:color w:val="auto"/>
        </w:rPr>
        <w:t>” means an incentive stock option described in Code Section 422(b).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14.18 “</w:t>
      </w:r>
      <w:r>
        <w:rPr>
          <w:rFonts w:ascii="Arial" w:cs="Arial" w:eastAsia="Arial" w:hAnsi="Arial"/>
          <w:sz w:val="18"/>
          <w:szCs w:val="18"/>
          <w:b w:val="1"/>
          <w:bCs w:val="1"/>
          <w:color w:val="auto"/>
        </w:rPr>
        <w:t>NSO</w:t>
      </w:r>
      <w:r>
        <w:rPr>
          <w:rFonts w:ascii="Arial" w:cs="Arial" w:eastAsia="Arial" w:hAnsi="Arial"/>
          <w:sz w:val="18"/>
          <w:szCs w:val="18"/>
          <w:color w:val="auto"/>
        </w:rPr>
        <w:t>” means a stock option not described in Code Sections 422 or 423.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14.19 “</w:t>
      </w:r>
      <w:r>
        <w:rPr>
          <w:rFonts w:ascii="Arial" w:cs="Arial" w:eastAsia="Arial" w:hAnsi="Arial"/>
          <w:sz w:val="18"/>
          <w:szCs w:val="18"/>
          <w:b w:val="1"/>
          <w:bCs w:val="1"/>
          <w:color w:val="auto"/>
        </w:rPr>
        <w:t>Option</w:t>
      </w:r>
      <w:r>
        <w:rPr>
          <w:rFonts w:ascii="Arial" w:cs="Arial" w:eastAsia="Arial" w:hAnsi="Arial"/>
          <w:sz w:val="18"/>
          <w:szCs w:val="18"/>
          <w:color w:val="auto"/>
        </w:rPr>
        <w:t>” means an ISO or NSO granted under the Plan and entitling the holder to purchase Common Shares.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14.20 “</w:t>
      </w:r>
      <w:r>
        <w:rPr>
          <w:rFonts w:ascii="Arial" w:cs="Arial" w:eastAsia="Arial" w:hAnsi="Arial"/>
          <w:sz w:val="18"/>
          <w:szCs w:val="18"/>
          <w:b w:val="1"/>
          <w:bCs w:val="1"/>
          <w:color w:val="auto"/>
        </w:rPr>
        <w:t>Optionee</w:t>
      </w:r>
      <w:r>
        <w:rPr>
          <w:rFonts w:ascii="Arial" w:cs="Arial" w:eastAsia="Arial" w:hAnsi="Arial"/>
          <w:sz w:val="18"/>
          <w:szCs w:val="18"/>
          <w:color w:val="auto"/>
        </w:rPr>
        <w:t>” means an individual or estate holding an Option or SAR.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14.21 “</w:t>
      </w:r>
      <w:r>
        <w:rPr>
          <w:rFonts w:ascii="Arial" w:cs="Arial" w:eastAsia="Arial" w:hAnsi="Arial"/>
          <w:sz w:val="18"/>
          <w:szCs w:val="18"/>
          <w:b w:val="1"/>
          <w:bCs w:val="1"/>
          <w:color w:val="auto"/>
        </w:rPr>
        <w:t>Outside Director</w:t>
      </w:r>
      <w:r>
        <w:rPr>
          <w:rFonts w:ascii="Arial" w:cs="Arial" w:eastAsia="Arial" w:hAnsi="Arial"/>
          <w:sz w:val="18"/>
          <w:szCs w:val="18"/>
          <w:color w:val="auto"/>
        </w:rPr>
        <w:t>” means a member of the Board who is not an Employee.</w:t>
      </w:r>
    </w:p>
    <w:p>
      <w:pPr>
        <w:spacing w:after="0" w:line="225" w:lineRule="exact"/>
        <w:rPr>
          <w:sz w:val="20"/>
          <w:szCs w:val="20"/>
          <w:color w:val="auto"/>
        </w:rPr>
      </w:pPr>
    </w:p>
    <w:p>
      <w:pPr>
        <w:ind w:right="60" w:firstLine="991"/>
        <w:spacing w:after="0" w:line="261" w:lineRule="auto"/>
        <w:rPr>
          <w:sz w:val="20"/>
          <w:szCs w:val="20"/>
          <w:color w:val="auto"/>
        </w:rPr>
      </w:pPr>
      <w:r>
        <w:rPr>
          <w:rFonts w:ascii="Arial" w:cs="Arial" w:eastAsia="Arial" w:hAnsi="Arial"/>
          <w:sz w:val="18"/>
          <w:szCs w:val="18"/>
          <w:color w:val="auto"/>
        </w:rPr>
        <w:t>14.22 “</w:t>
      </w:r>
      <w:r>
        <w:rPr>
          <w:rFonts w:ascii="Arial" w:cs="Arial" w:eastAsia="Arial" w:hAnsi="Arial"/>
          <w:sz w:val="18"/>
          <w:szCs w:val="18"/>
          <w:b w:val="1"/>
          <w:bCs w:val="1"/>
          <w:color w:val="auto"/>
        </w:rPr>
        <w:t>Parent</w:t>
      </w:r>
      <w:r>
        <w:rPr>
          <w:rFonts w:ascii="Arial" w:cs="Arial" w:eastAsia="Arial" w:hAnsi="Arial"/>
          <w:sz w:val="18"/>
          <w:szCs w:val="18"/>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14.23 “</w:t>
      </w:r>
      <w:r>
        <w:rPr>
          <w:rFonts w:ascii="Arial" w:cs="Arial" w:eastAsia="Arial" w:hAnsi="Arial"/>
          <w:sz w:val="18"/>
          <w:szCs w:val="18"/>
          <w:b w:val="1"/>
          <w:bCs w:val="1"/>
          <w:color w:val="auto"/>
        </w:rPr>
        <w:t>Participant</w:t>
      </w:r>
      <w:r>
        <w:rPr>
          <w:rFonts w:ascii="Arial" w:cs="Arial" w:eastAsia="Arial" w:hAnsi="Arial"/>
          <w:sz w:val="18"/>
          <w:szCs w:val="18"/>
          <w:color w:val="auto"/>
        </w:rPr>
        <w:t>” means an individual or estate holding an Award.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14.24 “</w:t>
      </w:r>
      <w:r>
        <w:rPr>
          <w:rFonts w:ascii="Arial" w:cs="Arial" w:eastAsia="Arial" w:hAnsi="Arial"/>
          <w:sz w:val="18"/>
          <w:szCs w:val="18"/>
          <w:b w:val="1"/>
          <w:bCs w:val="1"/>
          <w:color w:val="auto"/>
        </w:rPr>
        <w:t>Plan</w:t>
      </w:r>
      <w:r>
        <w:rPr>
          <w:rFonts w:ascii="Arial" w:cs="Arial" w:eastAsia="Arial" w:hAnsi="Arial"/>
          <w:sz w:val="18"/>
          <w:szCs w:val="18"/>
          <w:color w:val="auto"/>
        </w:rPr>
        <w:t>” means this Tarsus Pharmaceuticals, Inc. 2020 Equity Incentive Plan, as amended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14.25 “</w:t>
      </w:r>
      <w:r>
        <w:rPr>
          <w:rFonts w:ascii="Arial" w:cs="Arial" w:eastAsia="Arial" w:hAnsi="Arial"/>
          <w:sz w:val="18"/>
          <w:szCs w:val="18"/>
          <w:b w:val="1"/>
          <w:bCs w:val="1"/>
          <w:color w:val="auto"/>
        </w:rPr>
        <w:t>Predecessor Plan</w:t>
      </w:r>
      <w:r>
        <w:rPr>
          <w:rFonts w:ascii="Arial" w:cs="Arial" w:eastAsia="Arial" w:hAnsi="Arial"/>
          <w:sz w:val="18"/>
          <w:szCs w:val="18"/>
          <w:color w:val="auto"/>
        </w:rPr>
        <w:t>” means the Company’s 2016 Stock Plan,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14.26 “</w:t>
      </w:r>
      <w:r>
        <w:rPr>
          <w:rFonts w:ascii="Arial" w:cs="Arial" w:eastAsia="Arial" w:hAnsi="Arial"/>
          <w:sz w:val="18"/>
          <w:szCs w:val="18"/>
          <w:b w:val="1"/>
          <w:bCs w:val="1"/>
          <w:color w:val="auto"/>
        </w:rPr>
        <w:t>Restricted Share</w:t>
      </w:r>
      <w:r>
        <w:rPr>
          <w:rFonts w:ascii="Arial" w:cs="Arial" w:eastAsia="Arial" w:hAnsi="Arial"/>
          <w:sz w:val="18"/>
          <w:szCs w:val="18"/>
          <w:color w:val="auto"/>
        </w:rPr>
        <w:t>” means a Common Share awarded under the Plan.</w:t>
      </w:r>
    </w:p>
    <w:p>
      <w:pPr>
        <w:spacing w:after="0" w:line="225"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color w:val="auto"/>
        </w:rPr>
        <w:t>14.27 “</w:t>
      </w:r>
      <w:r>
        <w:rPr>
          <w:rFonts w:ascii="Arial" w:cs="Arial" w:eastAsia="Arial" w:hAnsi="Arial"/>
          <w:sz w:val="18"/>
          <w:szCs w:val="18"/>
          <w:b w:val="1"/>
          <w:bCs w:val="1"/>
          <w:color w:val="auto"/>
        </w:rPr>
        <w:t>Restricted Stock Agreement</w:t>
      </w:r>
      <w:r>
        <w:rPr>
          <w:rFonts w:ascii="Arial" w:cs="Arial" w:eastAsia="Arial" w:hAnsi="Arial"/>
          <w:sz w:val="18"/>
          <w:szCs w:val="18"/>
          <w:color w:val="auto"/>
        </w:rPr>
        <w:t>” means the agreement consistent with the terms of the Plan between the Company and the recipient of a Restricted Share that contains the terms, conditions and restrictions pertaining to such Restricted Share.</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14.28 “</w:t>
      </w:r>
      <w:r>
        <w:rPr>
          <w:rFonts w:ascii="Arial" w:cs="Arial" w:eastAsia="Arial" w:hAnsi="Arial"/>
          <w:sz w:val="16"/>
          <w:szCs w:val="16"/>
          <w:b w:val="1"/>
          <w:bCs w:val="1"/>
          <w:color w:val="auto"/>
        </w:rPr>
        <w:t>Restricted Stock Unit</w:t>
      </w:r>
      <w:r>
        <w:rPr>
          <w:rFonts w:ascii="Arial" w:cs="Arial" w:eastAsia="Arial" w:hAnsi="Arial"/>
          <w:sz w:val="16"/>
          <w:szCs w:val="16"/>
          <w:color w:val="auto"/>
        </w:rPr>
        <w:t>” means a bookkeeping entry representing the equivalent of one Common Share, as awarded under the Plan.</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0" w:right="499" w:bottom="1440" w:gutter="0" w:footer="0" w:header="0"/>
        </w:sectPr>
      </w:pPr>
    </w:p>
    <w:bookmarkStart w:id="26" w:name="page27"/>
    <w:bookmarkEnd w:id="26"/>
    <w:p>
      <w:pPr>
        <w:ind w:right="420" w:firstLine="991"/>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14.29 “</w:t>
      </w:r>
      <w:r>
        <w:rPr>
          <w:rFonts w:ascii="Arial" w:cs="Arial" w:eastAsia="Arial" w:hAnsi="Arial"/>
          <w:sz w:val="17"/>
          <w:szCs w:val="17"/>
          <w:b w:val="1"/>
          <w:bCs w:val="1"/>
          <w:color w:val="auto"/>
        </w:rPr>
        <w:t>Restricted Stock Unit Agreement</w:t>
      </w:r>
      <w:r>
        <w:rPr>
          <w:rFonts w:ascii="Arial" w:cs="Arial" w:eastAsia="Arial" w:hAnsi="Arial"/>
          <w:sz w:val="17"/>
          <w:szCs w:val="17"/>
          <w:color w:val="auto"/>
        </w:rPr>
        <w:t>” means the agreement consistent with the terms of the Plan between the Company and the recipient of a Restricted Stock Unit that contains the terms, conditions and restrictions pertaining to such Restricted Stock Unit.</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14.30 “</w:t>
      </w:r>
      <w:r>
        <w:rPr>
          <w:rFonts w:ascii="Arial" w:cs="Arial" w:eastAsia="Arial" w:hAnsi="Arial"/>
          <w:sz w:val="18"/>
          <w:szCs w:val="18"/>
          <w:b w:val="1"/>
          <w:bCs w:val="1"/>
          <w:color w:val="auto"/>
        </w:rPr>
        <w:t>SAR</w:t>
      </w:r>
      <w:r>
        <w:rPr>
          <w:rFonts w:ascii="Arial" w:cs="Arial" w:eastAsia="Arial" w:hAnsi="Arial"/>
          <w:sz w:val="18"/>
          <w:szCs w:val="18"/>
          <w:color w:val="auto"/>
        </w:rPr>
        <w:t>” means a stock appreciation right granted under the Plan.</w:t>
      </w:r>
    </w:p>
    <w:p>
      <w:pPr>
        <w:spacing w:after="0" w:line="225"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color w:val="auto"/>
        </w:rPr>
        <w:t>14.31 “</w:t>
      </w:r>
      <w:r>
        <w:rPr>
          <w:rFonts w:ascii="Arial" w:cs="Arial" w:eastAsia="Arial" w:hAnsi="Arial"/>
          <w:sz w:val="18"/>
          <w:szCs w:val="18"/>
          <w:b w:val="1"/>
          <w:bCs w:val="1"/>
          <w:color w:val="auto"/>
        </w:rPr>
        <w:t>SAR Agreement</w:t>
      </w:r>
      <w:r>
        <w:rPr>
          <w:rFonts w:ascii="Arial" w:cs="Arial" w:eastAsia="Arial" w:hAnsi="Arial"/>
          <w:sz w:val="18"/>
          <w:szCs w:val="18"/>
          <w:color w:val="auto"/>
        </w:rPr>
        <w:t>” means the agreement consistent with the terms of the Plan between the Company and an Optionee that contains the terms, conditions and restrictions pertaining to his or her SAR.</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14.32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14.33 “</w:t>
      </w:r>
      <w:r>
        <w:rPr>
          <w:rFonts w:ascii="Arial" w:cs="Arial" w:eastAsia="Arial" w:hAnsi="Arial"/>
          <w:sz w:val="18"/>
          <w:szCs w:val="18"/>
          <w:b w:val="1"/>
          <w:bCs w:val="1"/>
          <w:color w:val="auto"/>
        </w:rPr>
        <w:t>Service Provider</w:t>
      </w:r>
      <w:r>
        <w:rPr>
          <w:rFonts w:ascii="Arial" w:cs="Arial" w:eastAsia="Arial" w:hAnsi="Arial"/>
          <w:sz w:val="18"/>
          <w:szCs w:val="18"/>
          <w:color w:val="auto"/>
        </w:rPr>
        <w:t>” means any individual who is an Employee, Outside Director or Consultant, including any prospective Employee, Outside Director or Consultant who has accepted an offer of employment or service and will be an Employee, Outside Director or Consultant after the commencement of their service.</w:t>
      </w:r>
    </w:p>
    <w:p>
      <w:pPr>
        <w:spacing w:after="0" w:line="176"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color w:val="auto"/>
        </w:rPr>
        <w:t>14.34 “</w:t>
      </w:r>
      <w:r>
        <w:rPr>
          <w:rFonts w:ascii="Arial" w:cs="Arial" w:eastAsia="Arial" w:hAnsi="Arial"/>
          <w:sz w:val="18"/>
          <w:szCs w:val="18"/>
          <w:b w:val="1"/>
          <w:bCs w:val="1"/>
          <w:color w:val="auto"/>
        </w:rPr>
        <w:t>Stock Option Agreement</w:t>
      </w:r>
      <w:r>
        <w:rPr>
          <w:rFonts w:ascii="Arial" w:cs="Arial" w:eastAsia="Arial" w:hAnsi="Arial"/>
          <w:sz w:val="18"/>
          <w:szCs w:val="18"/>
          <w:color w:val="auto"/>
        </w:rPr>
        <w:t>” means the agreement consistent with the terms of the Plan between the Company and an Optionee that contains the terms, conditions and restrictions pertaining to his or her Option.</w:t>
      </w:r>
    </w:p>
    <w:p>
      <w:pPr>
        <w:spacing w:after="0" w:line="162" w:lineRule="exact"/>
        <w:rPr>
          <w:sz w:val="20"/>
          <w:szCs w:val="20"/>
          <w:color w:val="auto"/>
        </w:rPr>
      </w:pPr>
    </w:p>
    <w:p>
      <w:pPr>
        <w:ind w:right="80" w:firstLine="991"/>
        <w:spacing w:after="0" w:line="261" w:lineRule="auto"/>
        <w:rPr>
          <w:sz w:val="20"/>
          <w:szCs w:val="20"/>
          <w:color w:val="auto"/>
        </w:rPr>
      </w:pPr>
      <w:r>
        <w:rPr>
          <w:rFonts w:ascii="Arial" w:cs="Arial" w:eastAsia="Arial" w:hAnsi="Arial"/>
          <w:sz w:val="18"/>
          <w:szCs w:val="18"/>
          <w:color w:val="auto"/>
        </w:rPr>
        <w:t>14.35 “</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80" w:lineRule="exact"/>
        <w:rPr>
          <w:sz w:val="20"/>
          <w:szCs w:val="20"/>
          <w:color w:val="auto"/>
        </w:rPr>
      </w:pPr>
    </w:p>
    <w:p>
      <w:pPr>
        <w:jc w:val="both"/>
        <w:ind w:right="160" w:firstLine="991"/>
        <w:spacing w:after="0" w:line="314" w:lineRule="auto"/>
        <w:rPr>
          <w:sz w:val="20"/>
          <w:szCs w:val="20"/>
          <w:color w:val="auto"/>
        </w:rPr>
      </w:pPr>
      <w:r>
        <w:rPr>
          <w:rFonts w:ascii="Arial" w:cs="Arial" w:eastAsia="Arial" w:hAnsi="Arial"/>
          <w:sz w:val="16"/>
          <w:szCs w:val="16"/>
          <w:color w:val="auto"/>
        </w:rPr>
        <w:t>14.36 “</w:t>
      </w:r>
      <w:r>
        <w:rPr>
          <w:rFonts w:ascii="Arial" w:cs="Arial" w:eastAsia="Arial" w:hAnsi="Arial"/>
          <w:sz w:val="16"/>
          <w:szCs w:val="16"/>
          <w:b w:val="1"/>
          <w:bCs w:val="1"/>
          <w:color w:val="auto"/>
        </w:rPr>
        <w:t>Substitute Awards</w:t>
      </w:r>
      <w:r>
        <w:rPr>
          <w:rFonts w:ascii="Arial" w:cs="Arial" w:eastAsia="Arial" w:hAnsi="Arial"/>
          <w:sz w:val="16"/>
          <w:szCs w:val="16"/>
          <w:color w:val="auto"/>
        </w:rPr>
        <w:t>” means Awards or Common Shares issued by the Company in assumption of, or substitution or exchange for, awards previously granted, or the right or obligation to make future awards, in each case by a corporation acquired by the Company or any Affiliate or with which the Company or any Affiliate combines to the extent permitted by the applicable exchange listing standards.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4"/>
          <w:szCs w:val="14"/>
          <w:b w:val="1"/>
          <w:bCs w:val="1"/>
          <w:color w:val="auto"/>
        </w:rPr>
        <w:t>ARSUS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You have been granted the following option to purchase shares of the common stock of Tarsus Pharmaceuticals, Inc. (the “Company”):</w:t>
      </w:r>
    </w:p>
    <w:p>
      <w:pPr>
        <w:sectPr>
          <w:pgSz w:w="11900" w:h="16838" w:orient="portrait"/>
          <w:cols w:equalWidth="0" w:num="1">
            <w:col w:w="11000"/>
          </w:cols>
          <w:pgMar w:left="440" w:top="270" w:right="459" w:bottom="1440" w:gutter="0" w:footer="0" w:header="0"/>
        </w:sectPr>
      </w:pPr>
    </w:p>
    <w:p>
      <w:pPr>
        <w:spacing w:after="0" w:line="27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40" w:lineRule="exact"/>
        <w:rPr>
          <w:sz w:val="20"/>
          <w:szCs w:val="20"/>
          <w:color w:val="auto"/>
        </w:rPr>
      </w:pPr>
    </w:p>
    <w:p>
      <w:pPr>
        <w:sectPr>
          <w:pgSz w:w="11900" w:h="16838" w:orient="portrait"/>
          <w:cols w:equalWidth="0" w:num="2">
            <w:col w:w="5440" w:space="720"/>
            <w:col w:w="4840"/>
          </w:cols>
          <w:pgMar w:left="440" w:top="270" w:right="4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«TotalShares»</w:t>
      </w:r>
    </w:p>
    <w:p>
      <w:pPr>
        <w:spacing w:after="0" w:line="151" w:lineRule="exact"/>
        <w:rPr>
          <w:sz w:val="20"/>
          <w:szCs w:val="20"/>
          <w:color w:val="auto"/>
        </w:rPr>
      </w:pPr>
    </w:p>
    <w:p>
      <w:pPr>
        <w:sectPr>
          <w:pgSz w:w="11900" w:h="16838" w:orient="portrait"/>
          <w:cols w:equalWidth="0" w:num="2">
            <w:col w:w="5440" w:space="720"/>
            <w:col w:w="4840"/>
          </w:cols>
          <w:pgMar w:left="440" w:top="270" w:right="4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«ISO» Incentive Stock Option</w:t>
      </w:r>
    </w:p>
    <w:p>
      <w:pPr>
        <w:spacing w:after="0" w:line="140" w:lineRule="exact"/>
        <w:rPr>
          <w:sz w:val="20"/>
          <w:szCs w:val="20"/>
          <w:color w:val="auto"/>
        </w:rPr>
      </w:pPr>
    </w:p>
    <w:p>
      <w:pPr>
        <w:sectPr>
          <w:pgSz w:w="11900" w:h="16838" w:orient="portrait"/>
          <w:cols w:equalWidth="0" w:num="2">
            <w:col w:w="5440" w:space="720"/>
            <w:col w:w="4840"/>
          </w:cols>
          <w:pgMar w:left="440" w:top="270" w:right="459" w:bottom="1440" w:gutter="0" w:footer="0" w:header="0"/>
          <w:type w:val="continuous"/>
        </w:sectPr>
      </w:pPr>
    </w:p>
    <w:p>
      <w:pPr>
        <w:ind w:left="6160"/>
        <w:spacing w:after="0"/>
        <w:rPr>
          <w:sz w:val="20"/>
          <w:szCs w:val="20"/>
          <w:color w:val="auto"/>
        </w:rPr>
      </w:pPr>
      <w:r>
        <w:rPr>
          <w:rFonts w:ascii="Arial" w:cs="Arial" w:eastAsia="Arial" w:hAnsi="Arial"/>
          <w:sz w:val="16"/>
          <w:szCs w:val="16"/>
          <w:color w:val="auto"/>
        </w:rPr>
        <w:t>«NSO»Nonstatutory Stock Option</w:t>
      </w:r>
    </w:p>
    <w:p>
      <w:pPr>
        <w:sectPr>
          <w:pgSz w:w="11900" w:h="16838" w:orient="portrait"/>
          <w:cols w:equalWidth="0" w:num="1">
            <w:col w:w="11000"/>
          </w:cols>
          <w:pgMar w:left="440" w:top="270" w:right="459" w:bottom="1440" w:gutter="0" w:footer="0" w:header="0"/>
          <w:type w:val="continuous"/>
        </w:sectPr>
      </w:pPr>
    </w:p>
    <w:p>
      <w:pPr>
        <w:spacing w:after="0" w:line="14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Exercise Price per Share: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540"/>
        <w:spacing w:after="0"/>
        <w:rPr>
          <w:sz w:val="20"/>
          <w:szCs w:val="20"/>
          <w:color w:val="auto"/>
        </w:rPr>
      </w:pPr>
      <w:r>
        <w:rPr>
          <w:rFonts w:ascii="Arial" w:cs="Arial" w:eastAsia="Arial" w:hAnsi="Arial"/>
          <w:sz w:val="15"/>
          <w:szCs w:val="15"/>
          <w:color w:val="auto"/>
        </w:rPr>
        <w:t>$«PricePerShare»</w:t>
      </w:r>
    </w:p>
    <w:p>
      <w:pPr>
        <w:spacing w:after="0" w:line="151" w:lineRule="exact"/>
        <w:rPr>
          <w:sz w:val="20"/>
          <w:szCs w:val="20"/>
          <w:color w:val="auto"/>
        </w:rPr>
      </w:pPr>
    </w:p>
    <w:p>
      <w:pPr>
        <w:sectPr>
          <w:pgSz w:w="11900" w:h="16838" w:orient="portrait"/>
          <w:cols w:equalWidth="0" w:num="2">
            <w:col w:w="5440" w:space="720"/>
            <w:col w:w="4840"/>
          </w:cols>
          <w:pgMar w:left="440" w:top="270" w:right="4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jc w:val="center"/>
        <w:ind w:right="3900"/>
        <w:spacing w:after="0"/>
        <w:rPr>
          <w:sz w:val="20"/>
          <w:szCs w:val="20"/>
          <w:color w:val="auto"/>
        </w:rPr>
      </w:pPr>
      <w:r>
        <w:rPr>
          <w:rFonts w:ascii="Arial" w:cs="Arial" w:eastAsia="Arial" w:hAnsi="Arial"/>
          <w:sz w:val="16"/>
          <w:szCs w:val="16"/>
          <w:color w:val="auto"/>
        </w:rPr>
        <w:t>«DateGrant»</w:t>
      </w:r>
    </w:p>
    <w:p>
      <w:pPr>
        <w:spacing w:after="0" w:line="140" w:lineRule="exact"/>
        <w:rPr>
          <w:sz w:val="20"/>
          <w:szCs w:val="20"/>
          <w:color w:val="auto"/>
        </w:rPr>
      </w:pPr>
    </w:p>
    <w:p>
      <w:pPr>
        <w:sectPr>
          <w:pgSz w:w="11900" w:h="16838" w:orient="portrait"/>
          <w:cols w:equalWidth="0" w:num="2">
            <w:col w:w="5440" w:space="720"/>
            <w:col w:w="4840"/>
          </w:cols>
          <w:pgMar w:left="440" w:top="270" w:right="4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«VestDay»</w:t>
      </w:r>
    </w:p>
    <w:p>
      <w:pPr>
        <w:spacing w:after="0" w:line="140" w:lineRule="exact"/>
        <w:rPr>
          <w:sz w:val="20"/>
          <w:szCs w:val="20"/>
          <w:color w:val="auto"/>
        </w:rPr>
      </w:pPr>
    </w:p>
    <w:p>
      <w:pPr>
        <w:sectPr>
          <w:pgSz w:w="11900" w:h="16838" w:orient="portrait"/>
          <w:cols w:equalWidth="0" w:num="2">
            <w:col w:w="5440" w:space="720"/>
            <w:col w:w="4840"/>
          </w:cols>
          <w:pgMar w:left="440" w:top="270" w:right="4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ind w:right="120"/>
        <w:spacing w:after="0" w:line="290" w:lineRule="auto"/>
        <w:rPr>
          <w:sz w:val="20"/>
          <w:szCs w:val="20"/>
          <w:color w:val="auto"/>
        </w:rPr>
      </w:pPr>
      <w:r>
        <w:rPr>
          <w:rFonts w:ascii="Arial" w:cs="Arial" w:eastAsia="Arial" w:hAnsi="Arial"/>
          <w:sz w:val="16"/>
          <w:szCs w:val="16"/>
          <w:color w:val="auto"/>
        </w:rPr>
        <w:t>This option shall vest and become exercisable with respect to the first «CliffPercent» of the shares subject to this option when you complete «CliffPeriod» months of continuous service as an [Employee or Consultant][Outside Director] (“Service”) after the Vesting Commencement Date. This option shall vest and become exercisable with respect to an additional «IncrementalPercent» of the shares subject to this option when you complete each additional month of continuous Service thereafter.</w:t>
      </w:r>
    </w:p>
    <w:p>
      <w:pPr>
        <w:spacing w:after="0" w:line="57" w:lineRule="exact"/>
        <w:rPr>
          <w:sz w:val="20"/>
          <w:szCs w:val="20"/>
          <w:color w:val="auto"/>
        </w:rPr>
      </w:pPr>
    </w:p>
    <w:p>
      <w:pPr>
        <w:sectPr>
          <w:pgSz w:w="11900" w:h="16838" w:orient="portrait"/>
          <w:cols w:equalWidth="0" w:num="2">
            <w:col w:w="5440" w:space="720"/>
            <w:col w:w="4840"/>
          </w:cols>
          <w:pgMar w:left="440" w:top="270" w:right="4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ind w:right="100"/>
        <w:spacing w:after="0" w:line="301" w:lineRule="auto"/>
        <w:rPr>
          <w:sz w:val="20"/>
          <w:szCs w:val="20"/>
          <w:color w:val="auto"/>
        </w:rPr>
      </w:pPr>
      <w:r>
        <w:rPr>
          <w:rFonts w:ascii="Arial" w:cs="Arial" w:eastAsia="Arial" w:hAnsi="Arial"/>
          <w:sz w:val="16"/>
          <w:szCs w:val="16"/>
          <w:color w:val="auto"/>
        </w:rPr>
        <w:t>«ExpDate». This option expires earlier if your Service terminates earlier, as described in the Stock Option Agreement, and may terminate earlier in connection with certain corporate transactions as described in Article 9 of the Plan.</w:t>
      </w:r>
    </w:p>
    <w:p>
      <w:pPr>
        <w:spacing w:after="0" w:line="157" w:lineRule="exact"/>
        <w:rPr>
          <w:sz w:val="20"/>
          <w:szCs w:val="20"/>
          <w:color w:val="auto"/>
        </w:rPr>
      </w:pPr>
    </w:p>
    <w:p>
      <w:pPr>
        <w:sectPr>
          <w:pgSz w:w="11900" w:h="16838" w:orient="portrait"/>
          <w:cols w:equalWidth="0" w:num="2">
            <w:col w:w="5440" w:space="720"/>
            <w:col w:w="4840"/>
          </w:cols>
          <w:pgMar w:left="440" w:top="270" w:right="459" w:bottom="1440" w:gutter="0" w:footer="0" w:header="0"/>
          <w:type w:val="continuous"/>
        </w:sectPr>
      </w:pPr>
    </w:p>
    <w:p>
      <w:pPr>
        <w:ind w:right="60"/>
        <w:spacing w:after="0" w:line="263" w:lineRule="auto"/>
        <w:rPr>
          <w:sz w:val="20"/>
          <w:szCs w:val="20"/>
          <w:color w:val="auto"/>
        </w:rPr>
      </w:pPr>
      <w:r>
        <w:rPr>
          <w:rFonts w:ascii="Arial" w:cs="Arial" w:eastAsia="Arial" w:hAnsi="Arial"/>
          <w:sz w:val="18"/>
          <w:szCs w:val="18"/>
          <w:color w:val="auto"/>
        </w:rPr>
        <w:t>You and the Company agree that this option is granted under and governed by the terms and conditions of the Company’s 2020 Equity Incentive Plan (the “Plan”) and the Stock Option Agreement, both of which are attached to, and made a part of, this document. Capitalized terms not otherwise defined herein shall have the meanings assigned to such terms in the Plan.</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may, in its sole discretion, decide to deliver any documents related to options awarded under the Plan, future options that may be awarded under the Plan and all other documents that the Company is required to deliver to security holders (including annual reports and proxy statements) by email or other electronic means (including by posting them on a website maintained by the Company or a third party under contract with the Company). You hereby consent to receive such documents by electronic delivery and agree to participate in the Plan through any on-line or electronic system established and maintained by the Company or another third party designated by the Company. You acknowledge that you may incur costs in connection with any such delivery by means of electronic transmission, including the cost of accessing the Internet and printing fees, and that an interruption of Internet access may interfere with your ability to access the documents.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further agree to comply with the Company’s </w:t>
      </w:r>
      <w:r>
        <w:rPr>
          <w:rFonts w:ascii="Arial" w:cs="Arial" w:eastAsia="Arial" w:hAnsi="Arial"/>
          <w:sz w:val="18"/>
          <w:szCs w:val="18"/>
          <w:i w:val="1"/>
          <w:iCs w:val="1"/>
          <w:color w:val="auto"/>
        </w:rPr>
        <w:t>Insider Trading Policy</w:t>
      </w:r>
      <w:r>
        <w:rPr>
          <w:rFonts w:ascii="Arial" w:cs="Arial" w:eastAsia="Arial" w:hAnsi="Arial"/>
          <w:sz w:val="18"/>
          <w:szCs w:val="18"/>
          <w:color w:val="auto"/>
        </w:rPr>
        <w:t xml:space="preserve"> when selling shares of the Company’s common stock.</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type w:val="continuous"/>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4"/>
          <w:szCs w:val="14"/>
          <w:b w:val="1"/>
          <w:bCs w:val="1"/>
          <w:color w:val="auto"/>
        </w:rPr>
        <w:t>ARSUS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80"/>
          </w:cols>
          <w:pgMar w:left="440" w:top="270" w:right="4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 of Option</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Subject to all of the terms and conditions set forth in the Notice of Stock Option Grant (the “Grant Notice”), this Stock Option Agreement (the “Agreement”) and the Plan, the Company has granted you an option to purchase up to the total number of shares specified in the Grant Notice at the exercise price indicated in the Grant Notice.</w:t>
      </w:r>
    </w:p>
    <w:p>
      <w:pPr>
        <w:spacing w:after="0" w:line="92"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ind w:left="3200" w:right="180"/>
        <w:spacing w:after="0" w:line="277" w:lineRule="auto"/>
        <w:rPr>
          <w:sz w:val="20"/>
          <w:szCs w:val="20"/>
          <w:color w:val="auto"/>
        </w:rPr>
      </w:pPr>
      <w:r>
        <w:rPr>
          <w:rFonts w:ascii="Arial" w:cs="Arial" w:eastAsia="Arial" w:hAnsi="Arial"/>
          <w:sz w:val="18"/>
          <w:szCs w:val="18"/>
          <w:color w:val="auto"/>
        </w:rPr>
        <w:t>All capitalized terms used in this Agreement shall have the meanings assigned to them in this Agreement, the Grant Notice or the Plan.</w:t>
      </w:r>
    </w:p>
    <w:p>
      <w:pPr>
        <w:sectPr>
          <w:pgSz w:w="11900" w:h="16838" w:orient="portrait"/>
          <w:cols w:equalWidth="0" w:num="1">
            <w:col w:w="10980"/>
          </w:cols>
          <w:pgMar w:left="440" w:top="270" w:right="47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Treatment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This option is intended to be an incentive stock option under Section 422 of the Code or a nonstatutory stock option, as provided in the Grant Notice. However, even if this option is designated as an incentive stock option in the Grant Notice, it shall be deemed to be a nonstatutory stock option to the extent it does not qualify as an incentive stock option under federal tax law, including under the $100,000 annual limitation under Section 422(d) of the Code.</w:t>
      </w:r>
    </w:p>
    <w:p>
      <w:pPr>
        <w:spacing w:after="0" w:line="64"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option vests and becomes exercisable in accordance with the vesting schedule set forth in the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 no event will this option vest or become exercisable for additional shares after your Service has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terminated for any reason unless expressly provided in a written agreement between you and the Company.</w:t>
      </w:r>
    </w:p>
    <w:p>
      <w:pPr>
        <w:spacing w:after="0" w:line="135"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Term of Option</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This option expires in any event at the close of business at Company headquarters on the day before the 10th anniversary of the Date of Grant, as shown in the Grant Notice. (This option will expire earlier if your Service terminates earlier, as described below, and this option may be terminated earlier as provided in Article 9 of the Plan.)</w:t>
      </w:r>
    </w:p>
    <w:p>
      <w:pPr>
        <w:spacing w:after="0" w:line="75"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Termination of Service</w:t>
      </w:r>
    </w:p>
    <w:p>
      <w:pPr>
        <w:spacing w:after="0" w:line="20" w:lineRule="exact"/>
        <w:rPr>
          <w:sz w:val="20"/>
          <w:szCs w:val="20"/>
          <w:color w:val="auto"/>
        </w:rPr>
      </w:pPr>
      <w:r>
        <w:rPr>
          <w:sz w:val="20"/>
          <w:szCs w:val="20"/>
          <w:color w:val="auto"/>
        </w:rPr>
        <w:br w:type="column"/>
      </w:r>
    </w:p>
    <w:p>
      <w:pPr>
        <w:jc w:val="both"/>
        <w:ind w:right="380"/>
        <w:spacing w:after="0" w:line="286" w:lineRule="auto"/>
        <w:rPr>
          <w:sz w:val="20"/>
          <w:szCs w:val="20"/>
          <w:color w:val="auto"/>
        </w:rPr>
      </w:pPr>
      <w:r>
        <w:rPr>
          <w:rFonts w:ascii="Arial" w:cs="Arial" w:eastAsia="Arial" w:hAnsi="Arial"/>
          <w:sz w:val="17"/>
          <w:szCs w:val="17"/>
          <w:color w:val="auto"/>
        </w:rPr>
        <w:t>If your Service terminates for any reason, this option will expire to the extent it is unvested as of your termination date and does not vest as a result of your termination of Service. The Company determines whether and when your Service terminates for all purposes of this option.</w:t>
      </w:r>
    </w:p>
    <w:p>
      <w:pPr>
        <w:spacing w:after="0" w:line="53"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Regular Termination</w:t>
      </w:r>
    </w:p>
    <w:p>
      <w:pPr>
        <w:spacing w:after="0" w:line="20" w:lineRule="exact"/>
        <w:rPr>
          <w:sz w:val="20"/>
          <w:szCs w:val="20"/>
          <w:color w:val="auto"/>
        </w:rPr>
      </w:pPr>
      <w:r>
        <w:rPr>
          <w:sz w:val="20"/>
          <w:szCs w:val="20"/>
          <w:color w:val="auto"/>
        </w:rPr>
        <w:br w:type="column"/>
      </w:r>
    </w:p>
    <w:p>
      <w:pPr>
        <w:jc w:val="both"/>
        <w:ind w:right="80"/>
        <w:spacing w:after="0" w:line="263" w:lineRule="auto"/>
        <w:rPr>
          <w:sz w:val="20"/>
          <w:szCs w:val="20"/>
          <w:color w:val="auto"/>
        </w:rPr>
      </w:pPr>
      <w:r>
        <w:rPr>
          <w:rFonts w:ascii="Arial" w:cs="Arial" w:eastAsia="Arial" w:hAnsi="Arial"/>
          <w:sz w:val="18"/>
          <w:szCs w:val="18"/>
          <w:color w:val="auto"/>
        </w:rPr>
        <w:t>If your Service terminates for any reason except death or total and permanent disability, then this option, to the extent vested as of your termination date, will expire at the close of business at Company headquarters on the date three months after your termination date.</w:t>
      </w:r>
    </w:p>
    <w:p>
      <w:pPr>
        <w:spacing w:after="0" w:line="72"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Death</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If your Service terminates as a result of your death, then this option, to the extent vested as of the date of your death, will expire at the close of business at Company headquarters on the date twelve months after the date of death.</w:t>
      </w:r>
    </w:p>
    <w:p>
      <w:pPr>
        <w:spacing w:after="0" w:line="116"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980"/>
          </w:cols>
          <w:pgMar w:left="440" w:top="270" w:right="47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Disability</w:t>
      </w:r>
    </w:p>
    <w:p>
      <w:pPr>
        <w:spacing w:after="0" w:line="20" w:lineRule="exact"/>
        <w:rPr>
          <w:sz w:val="20"/>
          <w:szCs w:val="20"/>
          <w:color w:val="auto"/>
        </w:rPr>
      </w:pPr>
      <w:r>
        <w:rPr>
          <w:sz w:val="20"/>
          <w:szCs w:val="20"/>
          <w:color w:val="auto"/>
        </w:rPr>
        <w:br w:type="column"/>
      </w:r>
    </w:p>
    <w:p>
      <w:pPr>
        <w:ind w:right="80"/>
        <w:spacing w:after="0" w:line="263" w:lineRule="auto"/>
        <w:rPr>
          <w:sz w:val="20"/>
          <w:szCs w:val="20"/>
          <w:color w:val="auto"/>
        </w:rPr>
      </w:pPr>
      <w:r>
        <w:rPr>
          <w:rFonts w:ascii="Arial" w:cs="Arial" w:eastAsia="Arial" w:hAnsi="Arial"/>
          <w:sz w:val="18"/>
          <w:szCs w:val="18"/>
          <w:color w:val="auto"/>
        </w:rPr>
        <w:t>If your Service terminates because of your total and permanent disability, then this option, to the extent vested as of your termination date, will expire at the close of business at Company headquarters on the date six months after your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-516890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2480" w:space="720"/>
            <w:col w:w="7800"/>
          </w:cols>
          <w:pgMar w:left="440" w:top="270" w:right="459" w:bottom="1440" w:gutter="0" w:footer="0" w:header="0"/>
        </w:sectPr>
      </w:pPr>
    </w:p>
    <w:p>
      <w:pPr>
        <w:ind w:left="3200" w:right="280"/>
        <w:spacing w:after="0" w:line="259" w:lineRule="auto"/>
        <w:rPr>
          <w:sz w:val="20"/>
          <w:szCs w:val="20"/>
          <w:color w:val="auto"/>
        </w:rPr>
      </w:pPr>
      <w:r>
        <w:rPr>
          <w:rFonts w:ascii="Arial" w:cs="Arial" w:eastAsia="Arial" w:hAnsi="Arial"/>
          <w:sz w:val="18"/>
          <w:szCs w:val="18"/>
          <w:color w:val="auto"/>
        </w:rPr>
        <w:t>For all purposes under this Agreement, “total and permanent disability” means that you are unable to engage in any substantial gainful activity by reason of any medically determinable physical or mental impairment which can be expected to result in death or which has lasted, or can be expected to last, for a continuous period of not less than one year.</w:t>
      </w:r>
    </w:p>
    <w:p>
      <w:pPr>
        <w:sectPr>
          <w:pgSz w:w="11900" w:h="16838" w:orient="portrait"/>
          <w:cols w:equalWidth="0" w:num="1">
            <w:col w:w="11000"/>
          </w:cols>
          <w:pgMar w:left="440" w:top="270" w:right="459" w:bottom="1440" w:gutter="0" w:footer="0" w:header="0"/>
          <w:type w:val="continuous"/>
        </w:sectPr>
      </w:pPr>
    </w:p>
    <w:p>
      <w:pPr>
        <w:spacing w:after="0" w:line="88" w:lineRule="exact"/>
        <w:rPr>
          <w:sz w:val="20"/>
          <w:szCs w:val="20"/>
          <w:color w:val="auto"/>
        </w:rPr>
      </w:pPr>
    </w:p>
    <w:p>
      <w:pPr>
        <w:ind w:left="3200" w:hanging="3198"/>
        <w:spacing w:after="0" w:line="258" w:lineRule="auto"/>
        <w:rPr>
          <w:sz w:val="20"/>
          <w:szCs w:val="20"/>
          <w:color w:val="auto"/>
        </w:rPr>
      </w:pPr>
      <w:r>
        <w:rPr>
          <w:rFonts w:ascii="Arial" w:cs="Arial" w:eastAsia="Arial" w:hAnsi="Arial"/>
          <w:sz w:val="18"/>
          <w:szCs w:val="18"/>
          <w:b w:val="1"/>
          <w:bCs w:val="1"/>
          <w:color w:val="auto"/>
        </w:rPr>
        <w:t xml:space="preserve">Leaves of Absence and Part-Time Work </w:t>
      </w:r>
      <w:r>
        <w:rPr>
          <w:rFonts w:ascii="Arial" w:cs="Arial" w:eastAsia="Arial" w:hAnsi="Arial"/>
          <w:sz w:val="18"/>
          <w:szCs w:val="18"/>
          <w:color w:val="auto"/>
        </w:rPr>
        <w:t>For purposes of this option, your Service does not terminate when you go on a military leave, a sick leave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another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leave of absence, if the leave was approved by the Company in writing, and if continued crediting of Service is required by applicable law, the Company’s leave of absence policy or the terms of your leave. However, your Service terminates when the approved leave ends, unless you immediately return to active work.</w:t>
      </w:r>
    </w:p>
    <w:p>
      <w:pPr>
        <w:spacing w:after="0" w:line="93" w:lineRule="exact"/>
        <w:rPr>
          <w:sz w:val="20"/>
          <w:szCs w:val="20"/>
          <w:color w:val="auto"/>
        </w:rPr>
      </w:pPr>
    </w:p>
    <w:p>
      <w:pPr>
        <w:jc w:val="both"/>
        <w:ind w:left="3200"/>
        <w:spacing w:after="0" w:line="311" w:lineRule="auto"/>
        <w:rPr>
          <w:sz w:val="20"/>
          <w:szCs w:val="20"/>
          <w:color w:val="auto"/>
        </w:rPr>
      </w:pPr>
      <w:r>
        <w:rPr>
          <w:rFonts w:ascii="Arial" w:cs="Arial" w:eastAsia="Arial" w:hAnsi="Arial"/>
          <w:sz w:val="16"/>
          <w:szCs w:val="16"/>
          <w:color w:val="auto"/>
        </w:rPr>
        <w:t>If you go on a leave of absence, or if you commence working on a part-time basis, the Company may adjust the vesting schedule in accordance with the Company’s leave of absence policy or the terms of your leave or so that the rate of vesting is commensurate with your reduced work schedule, as applicable.</w:t>
      </w:r>
    </w:p>
    <w:p>
      <w:pPr>
        <w:sectPr>
          <w:pgSz w:w="11900" w:h="16838" w:orient="portrait"/>
          <w:cols w:equalWidth="0" w:num="1">
            <w:col w:w="11000"/>
          </w:cols>
          <w:pgMar w:left="440" w:top="270" w:right="45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Restrictions on Exercise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will not permit you to exercise this option if the issuance of shares at that time would violate any law or regulation.</w:t>
      </w:r>
    </w:p>
    <w:p>
      <w:pPr>
        <w:spacing w:after="0" w:line="58"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Notice of Exercise</w:t>
      </w:r>
    </w:p>
    <w:p>
      <w:pPr>
        <w:spacing w:after="0" w:line="20" w:lineRule="exact"/>
        <w:rPr>
          <w:sz w:val="20"/>
          <w:szCs w:val="20"/>
          <w:color w:val="auto"/>
        </w:rPr>
      </w:pPr>
      <w:r>
        <w:rPr>
          <w:sz w:val="20"/>
          <w:szCs w:val="20"/>
          <w:color w:val="auto"/>
        </w:rPr>
        <w:br w:type="column"/>
      </w:r>
    </w:p>
    <w:p>
      <w:pPr>
        <w:ind w:right="260"/>
        <w:spacing w:after="0" w:line="257" w:lineRule="auto"/>
        <w:rPr>
          <w:sz w:val="20"/>
          <w:szCs w:val="20"/>
          <w:color w:val="auto"/>
        </w:rPr>
      </w:pPr>
      <w:r>
        <w:rPr>
          <w:rFonts w:ascii="Arial" w:cs="Arial" w:eastAsia="Arial" w:hAnsi="Arial"/>
          <w:sz w:val="18"/>
          <w:szCs w:val="18"/>
          <w:color w:val="auto"/>
        </w:rPr>
        <w:t>When you wish to exercise this option, you must notify the Company by filing the proper “Notice of Exercise” form at the address given on the form or, if the Company has designated a third party to administer the Plan, you must notify such third party in the manner such third party requires. Your notice must specify how many shares you wish to purchase. The notice will be effective when the Company receives it.</w:t>
      </w:r>
    </w:p>
    <w:p>
      <w:pPr>
        <w:spacing w:after="0" w:line="93"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200" w:right="180"/>
        <w:spacing w:after="0" w:line="308" w:lineRule="auto"/>
        <w:rPr>
          <w:sz w:val="20"/>
          <w:szCs w:val="20"/>
          <w:color w:val="auto"/>
        </w:rPr>
      </w:pPr>
      <w:r>
        <w:rPr>
          <w:rFonts w:ascii="Arial" w:cs="Arial" w:eastAsia="Arial" w:hAnsi="Arial"/>
          <w:sz w:val="17"/>
          <w:szCs w:val="17"/>
          <w:color w:val="auto"/>
        </w:rPr>
        <w:t>However, if you wish to exercise this option by executing a same-day sale (as described below), you must follow the instructions of the Company and the broker who will execute the sale.</w:t>
      </w:r>
    </w:p>
    <w:p>
      <w:pPr>
        <w:spacing w:after="0" w:line="52"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If someone else wants to exercise this option after your death, that person must prove to the Company’s</w:t>
      </w:r>
    </w:p>
    <w:p>
      <w:pPr>
        <w:spacing w:after="0" w:line="4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satisfaction that he or she is entitled to do so.</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You may only exercise your option for whole shares.</w:t>
      </w:r>
    </w:p>
    <w:p>
      <w:pPr>
        <w:sectPr>
          <w:pgSz w:w="11900" w:h="16838" w:orient="portrait"/>
          <w:cols w:equalWidth="0" w:num="1">
            <w:col w:w="11000"/>
          </w:cols>
          <w:pgMar w:left="440" w:top="270" w:right="45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of Payment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When you submit your notice of exercise, you must make arrangements for the payment of the option exercise price for the shares that you are purchasing. To the extent permitted by applicable law, payment may be made in one (or a combination of two or more) of the following forms:</w:t>
      </w:r>
    </w:p>
    <w:p>
      <w:pPr>
        <w:spacing w:after="0" w:line="71"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2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hanging="15"/>
        <w:spacing w:after="0" w:line="277" w:lineRule="auto"/>
        <w:rPr>
          <w:sz w:val="20"/>
          <w:szCs w:val="20"/>
          <w:color w:val="auto"/>
        </w:rPr>
      </w:pPr>
      <w:r>
        <w:rPr>
          <w:rFonts w:ascii="Arial" w:cs="Arial" w:eastAsia="Arial" w:hAnsi="Arial"/>
          <w:sz w:val="18"/>
          <w:szCs w:val="18"/>
          <w:color w:val="auto"/>
        </w:rPr>
        <w:t>By delivering to the Company your personal check, a cashier’s check or a money order, or arranging for a wire transfer.</w:t>
      </w:r>
    </w:p>
    <w:p>
      <w:pPr>
        <w:spacing w:after="0" w:line="76" w:lineRule="exact"/>
        <w:rPr>
          <w:sz w:val="20"/>
          <w:szCs w:val="20"/>
          <w:color w:val="auto"/>
        </w:rPr>
      </w:pPr>
    </w:p>
    <w:p>
      <w:pPr>
        <w:sectPr>
          <w:pgSz w:w="11900" w:h="16838" w:orient="portrait"/>
          <w:cols w:equalWidth="0" w:num="2">
            <w:col w:w="3260" w:space="200"/>
            <w:col w:w="7540"/>
          </w:cols>
          <w:pgMar w:left="440" w:top="270" w:right="459" w:bottom="1440" w:gutter="0" w:footer="0" w:header="0"/>
          <w:type w:val="continuous"/>
        </w:sectPr>
      </w:pPr>
    </w:p>
    <w:p>
      <w:pPr>
        <w:ind w:left="32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20" w:hanging="15"/>
        <w:spacing w:after="0" w:line="255" w:lineRule="auto"/>
        <w:rPr>
          <w:sz w:val="20"/>
          <w:szCs w:val="20"/>
          <w:color w:val="auto"/>
        </w:rPr>
      </w:pPr>
      <w:r>
        <w:rPr>
          <w:rFonts w:ascii="Arial" w:cs="Arial" w:eastAsia="Arial" w:hAnsi="Arial"/>
          <w:sz w:val="18"/>
          <w:szCs w:val="18"/>
          <w:color w:val="auto"/>
        </w:rPr>
        <w:t>By giving to a securities broker approved by the Company irrevocable directions to sell all or part of your option shares and to deliver to the Company, from the sale proceeds, an amount sufficient to pay the option exercise price and any Tax-Related Items (as defined below). (The balance of the sale proceeds, if any, will be delivered to you.) The directions must be given in accordance with the instructions of the Company and the broker. This exercise method is sometimes called a “same-day sale.”</w:t>
      </w:r>
    </w:p>
    <w:p>
      <w:pPr>
        <w:spacing w:after="0" w:line="98" w:lineRule="exact"/>
        <w:rPr>
          <w:sz w:val="20"/>
          <w:szCs w:val="20"/>
          <w:color w:val="auto"/>
        </w:rPr>
      </w:pPr>
    </w:p>
    <w:p>
      <w:pPr>
        <w:sectPr>
          <w:pgSz w:w="11900" w:h="16838" w:orient="portrait"/>
          <w:cols w:equalWidth="0" w:num="2">
            <w:col w:w="3260" w:space="200"/>
            <w:col w:w="7540"/>
          </w:cols>
          <w:pgMar w:left="440" w:top="270" w:right="459" w:bottom="1440" w:gutter="0" w:footer="0" w:header="0"/>
          <w:type w:val="continuous"/>
        </w:sectPr>
      </w:pPr>
    </w:p>
    <w:p>
      <w:pPr>
        <w:ind w:left="3200"/>
        <w:spacing w:after="0"/>
        <w:rPr>
          <w:sz w:val="20"/>
          <w:szCs w:val="20"/>
          <w:color w:val="auto"/>
        </w:rPr>
      </w:pPr>
      <w:r>
        <w:rPr>
          <w:rFonts w:ascii="Arial" w:cs="Arial" w:eastAsia="Arial" w:hAnsi="Arial"/>
          <w:sz w:val="16"/>
          <w:szCs w:val="16"/>
          <w:color w:val="auto"/>
        </w:rPr>
        <w:t>The Company may permit other forms of payment in its discretion to the extent permitted by the Plan.</w:t>
      </w:r>
    </w:p>
    <w:p>
      <w:pPr>
        <w:spacing w:after="0" w:line="19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Withholding Taxes</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7"/>
          <w:szCs w:val="17"/>
          <w:color w:val="auto"/>
        </w:rPr>
        <w:t>Regardless of any action the Company (or, if applicable, the Parent, Subsidiary or Affiliate employing or retaining you (the “Employer”)) takes with respect to any or all income tax, social insurance, payroll tax, payment on account or other tax-related items related to the participation in the Plan and legally applicable to you (“Tax-Related Items”), you acknowledge that the ultimate liability for all Tax-Related Items is and remains your responsibility and may exceed the amount actually withheld by the Company and/or the Employer. You further acknowledge that the Company and the Employer (1) make no representations or undertakings regarding the treatment of any Tax-Related Items in connection with any aspect of the options, including, but not limited to, the grant, vesting or exercise of the option, the issuance of shares upon exercise of the option, the subsequent sale of shares acquired pursuant to such exercise and the receipt of any dividends and/or any dividend equivalents; and (2) do not commit to and are under no obligation to structure the terms of the option or any aspect of the option to reduce or eliminate your liability for Tax-Related Items or achieve any particular tax result. Further, if you are subject to tax in more than one jurisdiction, you acknowledge that the Company and/or the Employer may be required to withhold or account for Tax-Related Items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-2025015</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2480" w:space="720"/>
            <w:col w:w="7820"/>
          </w:cols>
          <w:pgMar w:left="440" w:top="270" w:right="439" w:bottom="1440" w:gutter="0" w:footer="0" w:header="0"/>
        </w:sectPr>
      </w:pPr>
    </w:p>
    <w:p>
      <w:pPr>
        <w:ind w:left="3200" w:right="40"/>
        <w:spacing w:after="0" w:line="253" w:lineRule="auto"/>
        <w:rPr>
          <w:sz w:val="20"/>
          <w:szCs w:val="20"/>
          <w:color w:val="auto"/>
        </w:rPr>
      </w:pPr>
      <w:r>
        <w:rPr>
          <w:rFonts w:ascii="Arial" w:cs="Arial" w:eastAsia="Arial" w:hAnsi="Arial"/>
          <w:sz w:val="18"/>
          <w:szCs w:val="18"/>
          <w:color w:val="auto"/>
        </w:rPr>
        <w:t>You will not be allowed to exercise this option unless you make arrangements acceptable to the Company and/or the Employer to pay any Tax-Related Items that the Company and/or the Employer determine must be withheld. These arrangements include payment in cash or via the same-day sale procedure described above. With the Company’s consent, these arrangements may also include (a) withholding shares of Company stock that otherwise would be issued to you when you exercise this option with a value equal to withholding taxes, (b) surrendering shares that you previously acquired with a value equal to the withholding taxes, or (c) withholding cash from other compensation. The value of withheld or surrendered shares, determined as of the date when taxes otherwise would have been withheld in cash, will be applied to the Tax-Related Items.</w:t>
      </w:r>
    </w:p>
    <w:p>
      <w:pPr>
        <w:sectPr>
          <w:pgSz w:w="11900" w:h="16838" w:orient="portrait"/>
          <w:cols w:equalWidth="0" w:num="1">
            <w:col w:w="11020"/>
          </w:cols>
          <w:pgMar w:left="440" w:top="270" w:right="4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You agree not to sell any option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pacing w:after="0" w:line="37"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Transfer of Option</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7"/>
          <w:szCs w:val="17"/>
          <w:color w:val="auto"/>
        </w:rPr>
        <w:t>Prior to your death, only you may exercise this option. You cannot transfer or assign this option. For instance, you may not sell this option or use it as security for a loan. If you attempt to do any of these things, this option will immediately become invalid. You may, however, dispose of this option in your will or by means of a written beneficiary designation (if authorized by the Company and to the extent such beneficiary designation is valid under applicable law) which must be filed with the Company on the proper form; provided, however, that your beneficiary or a representative of your estate acknowledges and agrees in writing in a form reasonably acceptable to the Company, to be bound by the provisions of this Agreement and the Plan as if such beneficiary or representative of the estate were you.</w:t>
      </w:r>
    </w:p>
    <w:p>
      <w:pPr>
        <w:spacing w:after="0" w:line="84"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jc w:val="both"/>
        <w:ind w:left="3200" w:right="80"/>
        <w:spacing w:after="0" w:line="263" w:lineRule="auto"/>
        <w:rPr>
          <w:sz w:val="20"/>
          <w:szCs w:val="20"/>
          <w:color w:val="auto"/>
        </w:rPr>
      </w:pPr>
      <w:r>
        <w:rPr>
          <w:rFonts w:ascii="Arial" w:cs="Arial" w:eastAsia="Arial" w:hAnsi="Arial"/>
          <w:sz w:val="18"/>
          <w:szCs w:val="18"/>
          <w:color w:val="auto"/>
        </w:rPr>
        <w:t>Regardless of any marital property settlement agreement, the Company is not obligated to honor a notice of exercise from your former spouse, nor is the Company obligated to recognize your former spouse’s interest in your option in any other way.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No Retention Rights</w:t>
      </w:r>
    </w:p>
    <w:p>
      <w:pPr>
        <w:spacing w:after="0" w:line="20" w:lineRule="exact"/>
        <w:rPr>
          <w:sz w:val="20"/>
          <w:szCs w:val="20"/>
          <w:color w:val="auto"/>
        </w:rPr>
      </w:pPr>
      <w:r>
        <w:rPr>
          <w:sz w:val="20"/>
          <w:szCs w:val="20"/>
          <w:color w:val="auto"/>
        </w:rPr>
        <w:br w:type="column"/>
      </w:r>
    </w:p>
    <w:p>
      <w:pPr>
        <w:spacing w:after="0" w:line="301" w:lineRule="auto"/>
        <w:rPr>
          <w:sz w:val="20"/>
          <w:szCs w:val="20"/>
          <w:color w:val="auto"/>
        </w:rPr>
      </w:pPr>
      <w:r>
        <w:rPr>
          <w:rFonts w:ascii="Arial" w:cs="Arial" w:eastAsia="Arial" w:hAnsi="Arial"/>
          <w:sz w:val="16"/>
          <w:szCs w:val="16"/>
          <w:color w:val="auto"/>
        </w:rPr>
        <w:t>You understand that neither this option nor this Agreement alters the at-will nature of your relationship with the Company. Your option or this Agreement does not give you the right to be retained by the Company, a Parent, Subsidiary, or an Affiliate in any capacity. The Company and its Parents, Subsidiaries, and Affiliates reserve the right to terminate your Service at any time,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-670560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2480" w:space="720"/>
            <w:col w:w="7780"/>
          </w:cols>
          <w:pgMar w:left="440" w:top="270" w:right="479" w:bottom="1440" w:gutter="0" w:footer="0" w:header="0"/>
        </w:sectPr>
      </w:pPr>
    </w:p>
    <w:p>
      <w:pPr>
        <w:spacing w:after="0"/>
        <w:rPr>
          <w:sz w:val="20"/>
          <w:szCs w:val="20"/>
          <w:color w:val="auto"/>
        </w:rPr>
      </w:pPr>
      <w:r>
        <w:rPr>
          <w:rFonts w:ascii="Arial" w:cs="Arial" w:eastAsia="Arial" w:hAnsi="Arial"/>
          <w:sz w:val="16"/>
          <w:szCs w:val="16"/>
          <w:b w:val="1"/>
          <w:bCs w:val="1"/>
          <w:color w:val="auto"/>
        </w:rPr>
        <w:t>Stockholder Rights</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You, or your estate or heirs, have no rights as a stockholder of the Company until you have exercised this option by giving the required notice to the Company, paying the exercise price, and satisfying any applicable Tax-Related Items. No adjustments are made for dividends or other rights if the applicable record date occurs before you exercise this option, except as described in the Plan.</w:t>
      </w:r>
    </w:p>
    <w:p>
      <w:pPr>
        <w:spacing w:after="0" w:line="59"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Recoupment Policy</w:t>
      </w:r>
    </w:p>
    <w:p>
      <w:pPr>
        <w:spacing w:after="0" w:line="20" w:lineRule="exact"/>
        <w:rPr>
          <w:sz w:val="20"/>
          <w:szCs w:val="20"/>
          <w:color w:val="auto"/>
        </w:rPr>
      </w:pPr>
      <w:r>
        <w:rPr>
          <w:sz w:val="20"/>
          <w:szCs w:val="20"/>
          <w:color w:val="auto"/>
        </w:rPr>
        <w:br w:type="column"/>
      </w:r>
    </w:p>
    <w:p>
      <w:pPr>
        <w:ind w:right="700"/>
        <w:spacing w:after="0" w:line="277" w:lineRule="auto"/>
        <w:rPr>
          <w:sz w:val="20"/>
          <w:szCs w:val="20"/>
          <w:color w:val="auto"/>
        </w:rPr>
      </w:pPr>
      <w:r>
        <w:rPr>
          <w:rFonts w:ascii="Arial" w:cs="Arial" w:eastAsia="Arial" w:hAnsi="Arial"/>
          <w:sz w:val="18"/>
          <w:szCs w:val="18"/>
          <w:color w:val="auto"/>
        </w:rPr>
        <w:t>This option, and the shares acquired upon exercise of this option, shall be subject to any Company recoupment or clawback policy in effect from time to time.</w:t>
      </w:r>
    </w:p>
    <w:p>
      <w:pPr>
        <w:spacing w:after="0" w:line="58"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Adjustments</w:t>
      </w:r>
    </w:p>
    <w:p>
      <w:pPr>
        <w:spacing w:after="0" w:line="20" w:lineRule="exact"/>
        <w:rPr>
          <w:sz w:val="20"/>
          <w:szCs w:val="20"/>
          <w:color w:val="auto"/>
        </w:rPr>
      </w:pPr>
      <w:r>
        <w:rPr>
          <w:sz w:val="20"/>
          <w:szCs w:val="20"/>
          <w:color w:val="auto"/>
        </w:rPr>
        <w:br w:type="column"/>
      </w:r>
    </w:p>
    <w:p>
      <w:pPr>
        <w:ind w:right="20"/>
        <w:spacing w:after="0" w:line="342" w:lineRule="auto"/>
        <w:rPr>
          <w:sz w:val="20"/>
          <w:szCs w:val="20"/>
          <w:color w:val="auto"/>
        </w:rPr>
      </w:pPr>
      <w:r>
        <w:rPr>
          <w:rFonts w:ascii="Arial" w:cs="Arial" w:eastAsia="Arial" w:hAnsi="Arial"/>
          <w:sz w:val="16"/>
          <w:szCs w:val="16"/>
          <w:color w:val="auto"/>
        </w:rPr>
        <w:t>In the event of a stock split, a stock dividend or a similar change in Company common stock, the number of shares covered by this option and the exercise price per share will be adjusted pursuant to the Plan.</w:t>
      </w:r>
    </w:p>
    <w:p>
      <w:pPr>
        <w:spacing w:after="0" w:line="12"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ind w:right="120"/>
        <w:spacing w:after="0" w:line="282" w:lineRule="auto"/>
        <w:rPr>
          <w:sz w:val="20"/>
          <w:szCs w:val="20"/>
          <w:color w:val="auto"/>
        </w:rPr>
      </w:pPr>
      <w:r>
        <w:rPr>
          <w:rFonts w:ascii="Arial" w:cs="Arial" w:eastAsia="Arial" w:hAnsi="Arial"/>
          <w:sz w:val="18"/>
          <w:szCs w:val="18"/>
          <w:b w:val="1"/>
          <w:bCs w:val="1"/>
          <w:color w:val="auto"/>
        </w:rPr>
        <w:t>Effect of Significant Corporate Transactions</w:t>
      </w:r>
    </w:p>
    <w:p>
      <w:pPr>
        <w:spacing w:after="0" w:line="20" w:lineRule="exact"/>
        <w:rPr>
          <w:sz w:val="20"/>
          <w:szCs w:val="20"/>
          <w:color w:val="auto"/>
        </w:rPr>
      </w:pPr>
      <w:r>
        <w:rPr>
          <w:sz w:val="20"/>
          <w:szCs w:val="20"/>
          <w:color w:val="auto"/>
        </w:rPr>
        <w:br w:type="column"/>
      </w:r>
    </w:p>
    <w:p>
      <w:pPr>
        <w:ind w:right="360"/>
        <w:spacing w:after="0" w:line="308" w:lineRule="auto"/>
        <w:rPr>
          <w:sz w:val="20"/>
          <w:szCs w:val="20"/>
          <w:color w:val="auto"/>
        </w:rPr>
      </w:pPr>
      <w:r>
        <w:rPr>
          <w:rFonts w:ascii="Arial" w:cs="Arial" w:eastAsia="Arial" w:hAnsi="Arial"/>
          <w:sz w:val="17"/>
          <w:szCs w:val="17"/>
          <w:color w:val="auto"/>
        </w:rPr>
        <w:t>If the Company is a party to a merger, consolidation, or certain change in control transactions, then this option will be subject to the applicable provisions of Article 9 of the Plan.</w:t>
      </w:r>
    </w:p>
    <w:p>
      <w:pPr>
        <w:spacing w:after="0" w:line="34"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Applicable Law</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This Agreement will be interpreted and enforced under the laws of the State of Delaware (without regard to its choice-of-law provisions).</w:t>
      </w:r>
    </w:p>
    <w:p>
      <w:pPr>
        <w:spacing w:after="0" w:line="58"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text of the Plan is incorporated in this Agreement by reference.</w:t>
      </w:r>
    </w:p>
    <w:p>
      <w:pPr>
        <w:spacing w:after="0" w:line="154" w:lineRule="exact"/>
        <w:rPr>
          <w:sz w:val="20"/>
          <w:szCs w:val="20"/>
          <w:color w:val="auto"/>
        </w:rPr>
      </w:pPr>
    </w:p>
    <w:p>
      <w:pPr>
        <w:sectPr>
          <w:pgSz w:w="11900" w:h="16838" w:orient="portrait"/>
          <w:cols w:equalWidth="0" w:num="2">
            <w:col w:w="2500" w:space="700"/>
            <w:col w:w="7780"/>
          </w:cols>
          <w:pgMar w:left="440" w:top="270" w:right="479" w:bottom="1440" w:gutter="0" w:footer="0" w:header="0"/>
          <w:type w:val="continuous"/>
        </w:sectPr>
      </w:pPr>
    </w:p>
    <w:p>
      <w:pPr>
        <w:ind w:left="3200" w:right="40"/>
        <w:spacing w:after="0" w:line="311" w:lineRule="auto"/>
        <w:rPr>
          <w:sz w:val="20"/>
          <w:szCs w:val="20"/>
          <w:color w:val="auto"/>
        </w:rPr>
      </w:pPr>
      <w:r>
        <w:rPr>
          <w:rFonts w:ascii="Arial" w:cs="Arial" w:eastAsia="Arial" w:hAnsi="Arial"/>
          <w:sz w:val="16"/>
          <w:szCs w:val="16"/>
          <w:color w:val="auto"/>
        </w:rPr>
        <w:t>This Plan, this Agreement and the Grant Notice constitute the entire understanding between you and the Company regarding this option. Any prior agreements, commitments or negotiations concerning this option are superseded. This Agreement may be amended only by another written agreement between the parties.</w:t>
      </w:r>
    </w:p>
    <w:p>
      <w:pPr>
        <w:sectPr>
          <w:pgSz w:w="11900" w:h="16838" w:orient="portrait"/>
          <w:cols w:equalWidth="0" w:num="1">
            <w:col w:w="10980"/>
          </w:cols>
          <w:pgMar w:left="440" w:top="270" w:right="479" w:bottom="1440" w:gutter="0" w:footer="0" w:header="0"/>
          <w:type w:val="continuous"/>
        </w:sect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ACCEPTING THIS OPTION GRANT, YOU AGREE TO ALL OF THE TERMS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DESCRIBED ABOVE AND IN THE PLAN.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4"/>
          <w:szCs w:val="14"/>
          <w:b w:val="1"/>
          <w:bCs w:val="1"/>
          <w:color w:val="auto"/>
        </w:rPr>
        <w:t>ARSUS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You have been granted Restricted Stock Units (“RSUs”), each representing the right to receive one share of common stock of Tarsus Pharmaceuticals, Inc. (the “Company”) on the following terms:</w:t>
      </w:r>
    </w:p>
    <w:p>
      <w:pPr>
        <w:sectPr>
          <w:pgSz w:w="11900" w:h="16838" w:orient="portrait"/>
          <w:cols w:equalWidth="0" w:num="1">
            <w:col w:w="10980"/>
          </w:cols>
          <w:pgMar w:left="440" w:top="270" w:right="479" w:bottom="1440" w:gutter="0" w:footer="0" w:header="0"/>
        </w:sectPr>
      </w:pPr>
    </w:p>
    <w:p>
      <w:pPr>
        <w:spacing w:after="0" w:line="7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Name of Recipient: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40" w:lineRule="exact"/>
        <w:rPr>
          <w:sz w:val="20"/>
          <w:szCs w:val="20"/>
          <w:color w:val="auto"/>
        </w:rPr>
      </w:pPr>
    </w:p>
    <w:p>
      <w:pPr>
        <w:sectPr>
          <w:pgSz w:w="11900" w:h="16838" w:orient="portrait"/>
          <w:cols w:equalWidth="0" w:num="2">
            <w:col w:w="3580" w:space="720"/>
            <w:col w:w="6680"/>
          </w:cols>
          <w:pgMar w:left="440" w:top="270" w:right="47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Total Number of RSUs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«TotalRSUs»</w:t>
      </w:r>
    </w:p>
    <w:p>
      <w:pPr>
        <w:spacing w:after="0" w:line="140" w:lineRule="exact"/>
        <w:rPr>
          <w:sz w:val="20"/>
          <w:szCs w:val="20"/>
          <w:color w:val="auto"/>
        </w:rPr>
      </w:pPr>
    </w:p>
    <w:p>
      <w:pPr>
        <w:sectPr>
          <w:pgSz w:w="11900" w:h="16838" w:orient="portrait"/>
          <w:cols w:equalWidth="0" w:num="2">
            <w:col w:w="3580" w:space="720"/>
            <w:col w:w="6680"/>
          </w:cols>
          <w:pgMar w:left="440" w:top="270" w:right="47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«DateGrant»</w:t>
      </w:r>
    </w:p>
    <w:p>
      <w:pPr>
        <w:spacing w:after="0" w:line="140" w:lineRule="exact"/>
        <w:rPr>
          <w:sz w:val="20"/>
          <w:szCs w:val="20"/>
          <w:color w:val="auto"/>
        </w:rPr>
      </w:pPr>
    </w:p>
    <w:p>
      <w:pPr>
        <w:sectPr>
          <w:pgSz w:w="11900" w:h="16838" w:orient="portrait"/>
          <w:cols w:equalWidth="0" w:num="2">
            <w:col w:w="3580" w:space="720"/>
            <w:col w:w="6680"/>
          </w:cols>
          <w:pgMar w:left="440" w:top="270" w:right="47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ind w:right="120"/>
        <w:spacing w:after="0" w:line="273" w:lineRule="auto"/>
        <w:rPr>
          <w:sz w:val="20"/>
          <w:szCs w:val="20"/>
          <w:color w:val="auto"/>
        </w:rPr>
      </w:pPr>
      <w:r>
        <w:rPr>
          <w:rFonts w:ascii="Arial" w:cs="Arial" w:eastAsia="Arial" w:hAnsi="Arial"/>
          <w:sz w:val="17"/>
          <w:szCs w:val="17"/>
          <w:color w:val="auto"/>
        </w:rPr>
        <w:t>The first «CliffPercent»% of the RSUs subject to this award will vest on «InitialVestDate», an additional «IncrementPercent»% of the RSUs subject to this award will vest on «SecondVestDate», and an additional «IncrementPercent»% of the RSUs subject to this award will vest on the final day of each «IncrementPeriod»-month period thereafter, provided that you remain in continuous service as an [Employee or Consultant][Outside Director] (“Service”) through each such date.</w:t>
      </w:r>
    </w:p>
    <w:p>
      <w:pPr>
        <w:spacing w:after="0" w:line="178" w:lineRule="exact"/>
        <w:rPr>
          <w:sz w:val="20"/>
          <w:szCs w:val="20"/>
          <w:color w:val="auto"/>
        </w:rPr>
      </w:pPr>
    </w:p>
    <w:p>
      <w:pPr>
        <w:sectPr>
          <w:pgSz w:w="11900" w:h="16838" w:orient="portrait"/>
          <w:cols w:equalWidth="0" w:num="2">
            <w:col w:w="3580" w:space="720"/>
            <w:col w:w="6680"/>
          </w:cols>
          <w:pgMar w:left="440" w:top="270" w:right="479" w:bottom="1440" w:gutter="0" w:footer="0" w:header="0"/>
          <w:type w:val="continuous"/>
        </w:sectPr>
      </w:pPr>
    </w:p>
    <w:p>
      <w:pPr>
        <w:jc w:val="both"/>
        <w:ind w:right="20"/>
        <w:spacing w:after="0" w:line="263" w:lineRule="auto"/>
        <w:rPr>
          <w:sz w:val="20"/>
          <w:szCs w:val="20"/>
          <w:color w:val="auto"/>
        </w:rPr>
      </w:pPr>
      <w:r>
        <w:rPr>
          <w:rFonts w:ascii="Arial" w:cs="Arial" w:eastAsia="Arial" w:hAnsi="Arial"/>
          <w:sz w:val="18"/>
          <w:szCs w:val="18"/>
          <w:color w:val="auto"/>
        </w:rPr>
        <w:t>You and the Company agree that these RSUs are granted under and governed by the terms and conditions of the Company’s 2020 Equity Incentive Plan (the “Plan”) and the Restricted Stock Unit Agreement, both of which are attached to, and made a part of, this document. Capitalized terms not otherwise defined herein shall have the meanings assigned to such terms in the Plan.</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may, in its sole discretion, decide to deliver any documents related to RSUs awarded under the Plan, future RSUs that may be awarded under the Plan and all documents that the Company is required to deliver to security holders (including annual reports and proxy statements) by email or other electronic means (including posting them on a website maintained by the Company or a third party under contract with the Company). You hereby consent to receive such documents by electronic delivery and agree to participate in the Plan through any on-line or electronic system established and maintained by the Company or another third party designated by the Company. You acknowledge that you may incur costs in connection with any such delivery by means of electronic transmission, including the cost of accessing the Internet and printing fees, and that an interruption of Internet access may interfere with your ability to access the documents.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further agree to comply with the Company’s </w:t>
      </w:r>
      <w:r>
        <w:rPr>
          <w:rFonts w:ascii="Arial" w:cs="Arial" w:eastAsia="Arial" w:hAnsi="Arial"/>
          <w:sz w:val="18"/>
          <w:szCs w:val="18"/>
          <w:i w:val="1"/>
          <w:iCs w:val="1"/>
          <w:color w:val="auto"/>
        </w:rPr>
        <w:t>Insider Trading Policy</w:t>
      </w:r>
      <w:r>
        <w:rPr>
          <w:rFonts w:ascii="Arial" w:cs="Arial" w:eastAsia="Arial" w:hAnsi="Arial"/>
          <w:sz w:val="18"/>
          <w:szCs w:val="18"/>
          <w:color w:val="auto"/>
        </w:rPr>
        <w:t xml:space="preserve"> when selling shares of the Company’s common stock.</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type w:val="continuous"/>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4"/>
          <w:szCs w:val="14"/>
          <w:b w:val="1"/>
          <w:bCs w:val="1"/>
          <w:color w:val="auto"/>
        </w:rPr>
        <w:t>ARSUS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 of RSUs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Subject to all of the terms and conditions set forth in the Notice of Restricted Stock Unit Award (the “Grant Notice”), this Restricted Stock Unit Agreement (the “Agreement”) and the Plan, the Company has granted to you the number of RSUs set forth in the Grant Notice.</w:t>
      </w:r>
    </w:p>
    <w:p>
      <w:pPr>
        <w:spacing w:after="0" w:line="8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ind w:left="3200" w:right="220"/>
        <w:spacing w:after="0" w:line="277" w:lineRule="auto"/>
        <w:rPr>
          <w:sz w:val="20"/>
          <w:szCs w:val="20"/>
          <w:color w:val="auto"/>
        </w:rPr>
      </w:pPr>
      <w:r>
        <w:rPr>
          <w:rFonts w:ascii="Arial" w:cs="Arial" w:eastAsia="Arial" w:hAnsi="Arial"/>
          <w:sz w:val="18"/>
          <w:szCs w:val="18"/>
          <w:color w:val="auto"/>
        </w:rPr>
        <w:t>All capitalized terms used in this Agreement shall have the meanings assigned to them in this Agreement, the Grant Notice or the Plan.</w:t>
      </w:r>
    </w:p>
    <w:p>
      <w:pPr>
        <w:sectPr>
          <w:pgSz w:w="11900" w:h="16838" w:orient="portrait"/>
          <w:cols w:equalWidth="0" w:num="1">
            <w:col w:w="11020"/>
          </w:cols>
          <w:pgMar w:left="440" w:top="270" w:right="43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RSUs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Your RSUs are bookkeeping entries. They represent only the Company’s unfunded and unsecured promise to issue shares of common stock on a future date. As a holder of RSUs, you have no rights other than the rights of a general creditor of the Company.</w:t>
      </w:r>
    </w:p>
    <w:p>
      <w:pPr>
        <w:spacing w:after="0" w:line="72"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Payment for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payment is required for the RSUs that you are receiving.</w:t>
      </w:r>
    </w:p>
    <w:p>
      <w:pPr>
        <w:spacing w:after="0" w:line="136"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RSUs vest in accordance with the vesting schedule set forth in the Grant Notice.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 no event will any additional RSUs vest after your Service has terminated for any reason unless expressly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provided in a written agreement between you and the Company.</w:t>
      </w:r>
    </w:p>
    <w:p>
      <w:pPr>
        <w:spacing w:after="0" w:line="112"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Termination of Service/Forfeiture</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If your Service terminates for any reason, then your RSUs will be forfeited to the extent that they have not vested before the termination date and do not vest as a result of the termination of your Service. This means that any RSUs that have not vested under this Agreement will be cancelled immediately. You will receive no payment for RSUs that are forfeited. The Company determines when your Service terminates for all purposes of your RSUs.</w:t>
      </w:r>
    </w:p>
    <w:p>
      <w:pPr>
        <w:spacing w:after="0" w:line="76" w:lineRule="exact"/>
        <w:rPr>
          <w:sz w:val="20"/>
          <w:szCs w:val="20"/>
          <w:color w:val="auto"/>
        </w:rPr>
      </w:pPr>
    </w:p>
    <w:p>
      <w:pPr>
        <w:sectPr>
          <w:pgSz w:w="11900" w:h="16838" w:orient="portrait"/>
          <w:cols w:equalWidth="0" w:num="2">
            <w:col w:w="2580" w:space="620"/>
            <w:col w:w="7820"/>
          </w:cols>
          <w:pgMar w:left="440" w:top="270" w:right="439" w:bottom="1440" w:gutter="0" w:footer="0" w:header="0"/>
          <w:type w:val="continuous"/>
        </w:sectPr>
      </w:pPr>
    </w:p>
    <w:p>
      <w:pPr>
        <w:ind w:left="3200" w:right="40" w:hanging="3198"/>
        <w:spacing w:after="0" w:line="258" w:lineRule="auto"/>
        <w:rPr>
          <w:sz w:val="20"/>
          <w:szCs w:val="20"/>
          <w:color w:val="auto"/>
        </w:rPr>
      </w:pPr>
      <w:r>
        <w:rPr>
          <w:rFonts w:ascii="Arial" w:cs="Arial" w:eastAsia="Arial" w:hAnsi="Arial"/>
          <w:sz w:val="18"/>
          <w:szCs w:val="18"/>
          <w:b w:val="1"/>
          <w:bCs w:val="1"/>
          <w:color w:val="auto"/>
        </w:rPr>
        <w:t xml:space="preserve">Leaves of Absence and Part-Time Work </w:t>
      </w:r>
      <w:r>
        <w:rPr>
          <w:rFonts w:ascii="Arial" w:cs="Arial" w:eastAsia="Arial" w:hAnsi="Arial"/>
          <w:sz w:val="18"/>
          <w:szCs w:val="18"/>
          <w:color w:val="auto"/>
        </w:rPr>
        <w:t>For purposes of this award, your Service does not terminate when you go on a military leave, a sick leave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another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leave of absence, if the leave was approved by the Company in writing and if continued crediting of Service is required by applicable law, the Company’s leave of absence policy or the terms of your leave. However, your Service terminates when the approved leave ends, unless you immediately return to active work.</w:t>
      </w:r>
    </w:p>
    <w:p>
      <w:pPr>
        <w:spacing w:after="0" w:line="93" w:lineRule="exact"/>
        <w:rPr>
          <w:sz w:val="20"/>
          <w:szCs w:val="20"/>
          <w:color w:val="auto"/>
        </w:rPr>
      </w:pPr>
    </w:p>
    <w:p>
      <w:pPr>
        <w:jc w:val="both"/>
        <w:ind w:left="3200" w:right="20"/>
        <w:spacing w:after="0" w:line="311" w:lineRule="auto"/>
        <w:rPr>
          <w:sz w:val="20"/>
          <w:szCs w:val="20"/>
          <w:color w:val="auto"/>
        </w:rPr>
      </w:pPr>
      <w:r>
        <w:rPr>
          <w:rFonts w:ascii="Arial" w:cs="Arial" w:eastAsia="Arial" w:hAnsi="Arial"/>
          <w:sz w:val="16"/>
          <w:szCs w:val="16"/>
          <w:color w:val="auto"/>
        </w:rPr>
        <w:t>If you go on a leave of absence, or if you commence working on a part-time basis, the Company may adjust the vesting schedule in accordance with the Company’s leave of absence policy or the terms of your leave or so that the rate of vesting is commensurate with your reduced work schedule, as applicable.</w:t>
      </w:r>
    </w:p>
    <w:p>
      <w:pPr>
        <w:spacing w:after="0" w:line="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Settlement of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40"/>
        <w:spacing w:after="0" w:line="770" w:lineRule="auto"/>
        <w:rPr>
          <w:sz w:val="20"/>
          <w:szCs w:val="20"/>
          <w:color w:val="auto"/>
        </w:rPr>
      </w:pPr>
      <w:r>
        <w:rPr>
          <w:rFonts w:ascii="Arial" w:cs="Arial" w:eastAsia="Arial" w:hAnsi="Arial"/>
          <w:sz w:val="16"/>
          <w:szCs w:val="16"/>
          <w:b w:val="1"/>
          <w:bCs w:val="1"/>
          <w:color w:val="auto"/>
        </w:rPr>
        <w:t>No Voting Rights or Dividends RSUs Nontransferable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Beneficiary Designation</w:t>
      </w:r>
    </w:p>
    <w:p>
      <w:pPr>
        <w:spacing w:after="0" w:line="20" w:lineRule="exact"/>
        <w:rPr>
          <w:sz w:val="20"/>
          <w:szCs w:val="20"/>
          <w:color w:val="auto"/>
        </w:rPr>
      </w:pPr>
      <w:r>
        <w:rPr>
          <w:sz w:val="20"/>
          <w:szCs w:val="20"/>
          <w:color w:val="auto"/>
        </w:rPr>
        <w:br w:type="column"/>
      </w:r>
    </w:p>
    <w:p>
      <w:pPr>
        <w:spacing w:after="0" w:line="301" w:lineRule="auto"/>
        <w:rPr>
          <w:sz w:val="20"/>
          <w:szCs w:val="20"/>
          <w:color w:val="auto"/>
        </w:rPr>
      </w:pPr>
      <w:r>
        <w:rPr>
          <w:rFonts w:ascii="Arial" w:cs="Arial" w:eastAsia="Arial" w:hAnsi="Arial"/>
          <w:sz w:val="16"/>
          <w:szCs w:val="16"/>
          <w:color w:val="auto"/>
        </w:rPr>
        <w:t>Each RSU will be settled as soon as practicable on or following the date when it vests, but in any event within 60 days following the vesting date (unless you and the Company have agreed in writing to a later settlement date pursuant to procedures the Company may prescribe at its discretion). In no event will you be permitted, directly or indirectly, to specify the taxable year of settlement of any RSUs subject to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-670560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At the time of settlement, you will receive one share of the Company’s common stock for each vested RSU.</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 fractional shares will be issued upon settlement.</w:t>
      </w:r>
    </w:p>
    <w:p>
      <w:pPr>
        <w:spacing w:after="0" w:line="13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Unless you and the Company have agreed to a deferred settlement date (pursuant to procedures that the Company may prescribe at its discretion), settlement of these restricted stock units is intended to be exempt from the application of Code Section 409A pursuant to Treasury Regulation 1.409A-1(b)(4) and shall be administered and interpreted in a manner that complies with such exception.</w:t>
      </w:r>
    </w:p>
    <w:p>
      <w:pPr>
        <w:spacing w:after="0" w:line="7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Notwithstanding the foregoing, if it is determined that settlement of these RSUs is not exempt from Code Section 409A and the Company determines that you are a “specified employee,” as defined in the regulations under Code Section 409A at the time of your “separation from service,” as defined in Treasury Regulation Section 1.409A-1(h), then this paragraph will apply. If this paragraph applies, and the event triggering settlement is your “separation from service,” then any RSUs that otherwise would have been settled during the first six months following your “separation from service” will instead be settled on the first business day following the earlier of (i) the six-month anniversary of your separation from service or (ii) your death.</w:t>
      </w:r>
    </w:p>
    <w:p>
      <w:pPr>
        <w:spacing w:after="0" w:line="9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Each installment of RSUs that vests is hereby designated as a separate payment for purposes of Code Section 409A.</w:t>
      </w:r>
    </w:p>
    <w:p>
      <w:pPr>
        <w:spacing w:after="0" w:line="7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Your RSUs carry neither voting rights nor rights to cash dividends. You have no rights as a stockholder of the Company unless and until your RSUs are settled by issuing shares of the Company’s common stock.</w:t>
      </w:r>
    </w:p>
    <w:p>
      <w:pPr>
        <w:spacing w:after="0" w:line="16"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You may not sell, transfer, assign, pledge or otherwise dispose of any RSUs. For instance, you may not use your RSUs as security for a loan. In addition, regardless of any marital property settlement agreement, the Company is not obligated to recognize your former spouse’s interest in your RSUs in any way.</w:t>
      </w:r>
    </w:p>
    <w:p>
      <w:pPr>
        <w:spacing w:after="0" w:line="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may dispose of your RSUs in a written beneficiary designation if authorized by the Company and to the extent such beneficiary designation is valid under applicable law. Any beneficiary designation must be filed with the Company on the proper form. It will be recognized only if it has been received at the Company’s headquarters before your death. If you file no beneficiary designation or if none of your designated beneficiaries survives you, then your estate will receive any vested RSUs that you hold at the time of your death.</w:t>
      </w:r>
    </w:p>
    <w:p>
      <w:pPr>
        <w:spacing w:after="0" w:line="1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480" w:space="720"/>
            <w:col w:w="7800"/>
          </w:cols>
          <w:pgMar w:left="440" w:top="270" w:right="45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Withholding Taxes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Regardless of any action the Company (or, if applicable, the Parent, Subsidiary or Affiliate employing or retaining you (the “Employer”)) takes with respect to any or all income tax, social insurance, payroll tax, payment on account or other tax-related items related to the participation in the Plan and legally applicable to you (“Tax-Related Items”), you acknowledge that the ultimate liability for all Tax-Related Items is and remains your responsibility and may exceed the amount actually withheld by the Company and/or the Employer. You further acknowledge that the Company and the Employer (1) make no representations or undertakings regarding the treatment of any Tax-Related Items in connection with any aspect of the RSUs, including, but not limited to, the grant or vesting of the RSUs, the issuance of shares upon vesting of the RSUs, the subsequent sale of shares acquired pursuant to such vesting and the receipt of any dividends and/or any dividend equivalents; and (2) do not commit to and are under no obligation to structure the terms of the RSUs or any aspect of the RSUs to reduce or eliminate your liability for Tax-Related Items or achieve any particular tax result. Further, if you are subject to tax in more than one jurisdiction, you acknowledge that the Company and/or the Employer may be required to withhold or account for Tax-Related Items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-2025015</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2480" w:space="720"/>
            <w:col w:w="7800"/>
          </w:cols>
          <w:pgMar w:left="440" w:top="270" w:right="459" w:bottom="1440" w:gutter="0" w:footer="0" w:header="0"/>
        </w:sectPr>
      </w:pPr>
    </w:p>
    <w:p>
      <w:pPr>
        <w:ind w:left="3200" w:right="20"/>
        <w:spacing w:after="0" w:line="259" w:lineRule="auto"/>
        <w:rPr>
          <w:sz w:val="20"/>
          <w:szCs w:val="20"/>
          <w:color w:val="auto"/>
        </w:rPr>
      </w:pPr>
      <w:r>
        <w:rPr>
          <w:rFonts w:ascii="Arial" w:cs="Arial" w:eastAsia="Arial" w:hAnsi="Arial"/>
          <w:sz w:val="18"/>
          <w:szCs w:val="18"/>
          <w:color w:val="auto"/>
        </w:rPr>
        <w:t>No shares will be distributed to you unless you have made arrangements satisfactory to the Company and/or the Employer for the payment of any Tax-Related Items that the Company and/or the Employer determine must be withheld. In this regard, you authorize the Company, at its sole discretion, to satisfy your Tax-Related Items by one or a combination of the following:</w:t>
      </w:r>
    </w:p>
    <w:p>
      <w:pPr>
        <w:spacing w:after="0" w:line="59" w:lineRule="exact"/>
        <w:rPr>
          <w:sz w:val="20"/>
          <w:szCs w:val="20"/>
          <w:color w:val="auto"/>
        </w:rPr>
      </w:pPr>
    </w:p>
    <w:p>
      <w:pPr>
        <w:ind w:left="3200" w:right="160"/>
        <w:spacing w:after="0" w:line="23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Withholding the amount of any Tax-Related Items from your wages or other cash compensation paid to you by the Company and/or the Employer.</w:t>
      </w:r>
    </w:p>
    <w:p>
      <w:pPr>
        <w:spacing w:after="0" w:line="76" w:lineRule="exact"/>
        <w:rPr>
          <w:sz w:val="20"/>
          <w:szCs w:val="20"/>
          <w:color w:val="auto"/>
        </w:rPr>
      </w:pPr>
    </w:p>
    <w:p>
      <w:pPr>
        <w:ind w:left="3200"/>
        <w:spacing w:after="0" w:line="223"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Instructing a brokerage firm selected by the Company for this purpose to sell on your behalf a number of whole shares of Company stock to be issued to you when the RSUs are settled that the Company determines are appropriate to generate cash proceeds sufficient to satisfy the Tax-Related Items. You acknowledge that the Company or its designee is under no obligation to arrange for such sale at any particular price. Regardless of whether the Company arranges for such sale, you will be responsible for all fees and other costs of sale, and you agree to indemnify and hold the Company harmless from any losses, costs, damages or expenses relating to any such sale.</w:t>
      </w:r>
    </w:p>
    <w:p>
      <w:pPr>
        <w:spacing w:after="0" w:line="77" w:lineRule="exact"/>
        <w:rPr>
          <w:sz w:val="20"/>
          <w:szCs w:val="20"/>
          <w:color w:val="auto"/>
        </w:rPr>
      </w:pPr>
    </w:p>
    <w:p>
      <w:pPr>
        <w:jc w:val="both"/>
        <w:ind w:left="3200" w:right="120"/>
        <w:spacing w:after="0" w:line="23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Withholding shares of Company stock that would otherwise be issued to you when the RSUs are settled equal in value to the Tax-Related Items. The fair market value of the withheld shares, determined as of the date when taxes otherwise would have been withheld in cash, will be applied to the Tax-Related Items.</w:t>
      </w:r>
    </w:p>
    <w:p>
      <w:pPr>
        <w:sectPr>
          <w:pgSz w:w="11900" w:h="16838" w:orient="portrait"/>
          <w:cols w:equalWidth="0" w:num="1">
            <w:col w:w="11000"/>
          </w:cols>
          <w:pgMar w:left="440" w:top="270" w:right="459" w:bottom="1440" w:gutter="0" w:footer="0" w:header="0"/>
          <w:type w:val="continuous"/>
        </w:sectPr>
      </w:pPr>
    </w:p>
    <w:p>
      <w:pPr>
        <w:spacing w:after="0" w:line="75" w:lineRule="exact"/>
        <w:rPr>
          <w:sz w:val="20"/>
          <w:szCs w:val="20"/>
          <w:color w:val="auto"/>
        </w:rPr>
      </w:pPr>
    </w:p>
    <w:p>
      <w:pPr>
        <w:ind w:left="32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Any other means approved by the Company.</w:t>
      </w:r>
    </w:p>
    <w:p>
      <w:pPr>
        <w:spacing w:after="0" w:line="154" w:lineRule="exact"/>
        <w:rPr>
          <w:sz w:val="20"/>
          <w:szCs w:val="20"/>
          <w:color w:val="auto"/>
        </w:rPr>
      </w:pPr>
    </w:p>
    <w:p>
      <w:pPr>
        <w:sectPr>
          <w:pgSz w:w="11900" w:h="16838" w:orient="portrait"/>
          <w:cols w:equalWidth="0" w:num="2">
            <w:col w:w="3360" w:space="40"/>
            <w:col w:w="7600"/>
          </w:cols>
          <w:pgMar w:left="440" w:top="270" w:right="459" w:bottom="1440" w:gutter="0" w:footer="0" w:header="0"/>
          <w:type w:val="continuous"/>
        </w:sectPr>
      </w:pPr>
    </w:p>
    <w:p>
      <w:pPr>
        <w:ind w:left="3200" w:right="40"/>
        <w:spacing w:after="0" w:line="311" w:lineRule="auto"/>
        <w:rPr>
          <w:sz w:val="20"/>
          <w:szCs w:val="20"/>
          <w:color w:val="auto"/>
        </w:rPr>
      </w:pPr>
      <w:r>
        <w:rPr>
          <w:rFonts w:ascii="Arial" w:cs="Arial" w:eastAsia="Arial" w:hAnsi="Arial"/>
          <w:sz w:val="16"/>
          <w:szCs w:val="16"/>
          <w:color w:val="auto"/>
        </w:rPr>
        <w:t>You agree to pay to the Company in cash any amount of Tax-Related Items that the Company does not elect to satisfy by the means described above. To the extent you fail to make satisfactory arrangements for the payment of any required withholding taxes, you will permanently forfeit the applicable RSUs.</w:t>
      </w:r>
    </w:p>
    <w:p>
      <w:pPr>
        <w:sectPr>
          <w:pgSz w:w="11900" w:h="16838" w:orient="portrait"/>
          <w:cols w:equalWidth="0" w:num="1">
            <w:col w:w="11000"/>
          </w:cols>
          <w:pgMar w:left="440" w:top="270" w:right="45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Restrictions on Issuance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will not issue any shares to you if the issuance of shares at that time would violate any law or regulation.</w:t>
      </w:r>
    </w:p>
    <w:p>
      <w:pPr>
        <w:spacing w:after="0" w:line="103"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000"/>
          </w:cols>
          <w:pgMar w:left="440" w:top="270" w:right="4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5"/>
          <w:szCs w:val="15"/>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311" w:lineRule="auto"/>
        <w:rPr>
          <w:sz w:val="20"/>
          <w:szCs w:val="20"/>
          <w:color w:val="auto"/>
        </w:rPr>
      </w:pPr>
      <w:r>
        <w:rPr>
          <w:rFonts w:ascii="Arial" w:cs="Arial" w:eastAsia="Arial" w:hAnsi="Arial"/>
          <w:sz w:val="16"/>
          <w:szCs w:val="16"/>
          <w:color w:val="auto"/>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-538480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2480" w:space="720"/>
            <w:col w:w="7780"/>
          </w:cols>
          <w:pgMar w:left="440" w:top="270" w:right="479" w:bottom="1440" w:gutter="0" w:footer="0" w:header="0"/>
        </w:sectPr>
      </w:pPr>
    </w:p>
    <w:p>
      <w:pPr>
        <w:spacing w:after="0"/>
        <w:rPr>
          <w:sz w:val="20"/>
          <w:szCs w:val="20"/>
          <w:color w:val="auto"/>
        </w:rPr>
      </w:pPr>
      <w:r>
        <w:rPr>
          <w:rFonts w:ascii="Arial" w:cs="Arial" w:eastAsia="Arial" w:hAnsi="Arial"/>
          <w:sz w:val="16"/>
          <w:szCs w:val="16"/>
          <w:b w:val="1"/>
          <w:bCs w:val="1"/>
          <w:color w:val="auto"/>
        </w:rPr>
        <w:t>No Retention Rights</w:t>
      </w:r>
    </w:p>
    <w:p>
      <w:pPr>
        <w:spacing w:after="0" w:line="20" w:lineRule="exact"/>
        <w:rPr>
          <w:sz w:val="20"/>
          <w:szCs w:val="20"/>
          <w:color w:val="auto"/>
        </w:rPr>
      </w:pPr>
      <w:r>
        <w:rPr>
          <w:sz w:val="20"/>
          <w:szCs w:val="20"/>
          <w:color w:val="auto"/>
        </w:rPr>
        <w:br w:type="column"/>
      </w:r>
    </w:p>
    <w:p>
      <w:pPr>
        <w:spacing w:after="0" w:line="301" w:lineRule="auto"/>
        <w:rPr>
          <w:sz w:val="20"/>
          <w:szCs w:val="20"/>
          <w:color w:val="auto"/>
        </w:rPr>
      </w:pPr>
      <w:r>
        <w:rPr>
          <w:rFonts w:ascii="Arial" w:cs="Arial" w:eastAsia="Arial" w:hAnsi="Arial"/>
          <w:sz w:val="16"/>
          <w:szCs w:val="16"/>
          <w:color w:val="auto"/>
        </w:rPr>
        <w:t>You understand that neither this award nor this Agreement alters the at-will nature of your relationship with the Company. Your award or this Agreement does not give you the right to be retained by the Company, a Parent, Subsidiary, or an Affiliate in any capacity. The Company and its Parents, Subsidiaries, and Affiliates reserve the right to terminate your Service at any time, with or without cause.</w:t>
      </w:r>
    </w:p>
    <w:p>
      <w:pPr>
        <w:spacing w:after="0" w:line="45"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Adjustments</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In the event of a stock split, a stock dividend or a similar change in Company stock, the number of your RSUs will be adjusted pursuant to the Plan.</w:t>
      </w:r>
    </w:p>
    <w:p>
      <w:pPr>
        <w:spacing w:after="0" w:line="58"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ind w:right="120"/>
        <w:spacing w:after="0" w:line="282" w:lineRule="auto"/>
        <w:rPr>
          <w:sz w:val="20"/>
          <w:szCs w:val="20"/>
          <w:color w:val="auto"/>
        </w:rPr>
      </w:pPr>
      <w:r>
        <w:rPr>
          <w:rFonts w:ascii="Arial" w:cs="Arial" w:eastAsia="Arial" w:hAnsi="Arial"/>
          <w:sz w:val="18"/>
          <w:szCs w:val="18"/>
          <w:b w:val="1"/>
          <w:bCs w:val="1"/>
          <w:color w:val="auto"/>
        </w:rPr>
        <w:t>Effect of Significant Corporate Transactions</w:t>
      </w:r>
    </w:p>
    <w:p>
      <w:pPr>
        <w:spacing w:after="0" w:line="20" w:lineRule="exact"/>
        <w:rPr>
          <w:sz w:val="20"/>
          <w:szCs w:val="20"/>
          <w:color w:val="auto"/>
        </w:rPr>
      </w:pPr>
      <w:r>
        <w:rPr>
          <w:sz w:val="20"/>
          <w:szCs w:val="20"/>
          <w:color w:val="auto"/>
        </w:rPr>
        <w:br w:type="column"/>
      </w:r>
    </w:p>
    <w:p>
      <w:pPr>
        <w:jc w:val="both"/>
        <w:ind w:right="280"/>
        <w:spacing w:after="0" w:line="259" w:lineRule="auto"/>
        <w:rPr>
          <w:sz w:val="20"/>
          <w:szCs w:val="20"/>
          <w:color w:val="auto"/>
        </w:rPr>
      </w:pPr>
      <w:r>
        <w:rPr>
          <w:rFonts w:ascii="Arial" w:cs="Arial" w:eastAsia="Arial" w:hAnsi="Arial"/>
          <w:sz w:val="18"/>
          <w:szCs w:val="18"/>
          <w:color w:val="auto"/>
        </w:rPr>
        <w:t>If the Company is a party to a merger, consolidation, or certain change in control transactions, then your RSUs will be subject to the applicable provisions of Article 9 of the Plan, provided that any action taken must either (a) preserve the exemption of your RSUs from Code Section 409A or (b) comply with Code Section 409A.</w:t>
      </w:r>
    </w:p>
    <w:p>
      <w:pPr>
        <w:spacing w:after="0" w:line="75"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Recoupment Policy</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This award, and the shares acquired upon settlement of this award, shall be subject to any Company recoupment or clawback policy in effect from time to time.</w:t>
      </w:r>
    </w:p>
    <w:p>
      <w:pPr>
        <w:spacing w:after="0" w:line="58"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Applicable Law</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This Agreement will be interpreted and enforced under the laws of the State of Delaware (without regard to its choice-of-law provisions).</w:t>
      </w:r>
    </w:p>
    <w:p>
      <w:pPr>
        <w:spacing w:after="0" w:line="58"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text of the Plan is incorporated in this Agreement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Plan, this Agreement and the Grant Notice constitute the entire understanding between you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regarding this award. Any prior agreements, commitments or negotiations concerning this award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superseded. This Agreement may be amended only by another written agreement between the parties.</w:t>
      </w:r>
    </w:p>
    <w:p>
      <w:pPr>
        <w:spacing w:after="0" w:line="200" w:lineRule="exact"/>
        <w:rPr>
          <w:sz w:val="20"/>
          <w:szCs w:val="20"/>
          <w:color w:val="auto"/>
        </w:rPr>
      </w:pPr>
    </w:p>
    <w:p>
      <w:pPr>
        <w:sectPr>
          <w:pgSz w:w="11900" w:h="16838" w:orient="portrait"/>
          <w:cols w:equalWidth="0" w:num="2">
            <w:col w:w="2500" w:space="700"/>
            <w:col w:w="7780"/>
          </w:cols>
          <w:pgMar w:left="440" w:top="270" w:right="479" w:bottom="1440" w:gutter="0" w:footer="0" w:header="0"/>
          <w:type w:val="continuous"/>
        </w:sect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BY ACCEPTING THIS RSU AWARD, YOU AGREE TO ALL OF THE TERMS AND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DESCRIBED ABOVE AND IN THE PLAN.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ARSUS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 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CTOBER</w:t>
      </w:r>
      <w:r>
        <w:rPr>
          <w:rFonts w:ascii="Arial" w:cs="Arial" w:eastAsia="Arial" w:hAnsi="Arial"/>
          <w:sz w:val="18"/>
          <w:szCs w:val="18"/>
          <w:b w:val="1"/>
          <w:bCs w:val="1"/>
          <w:color w:val="auto"/>
        </w:rPr>
        <w:t xml:space="preserve"> 8, 2020)</w:t>
      </w:r>
    </w:p>
    <w:p>
      <w:pPr>
        <w:sectPr>
          <w:pgSz w:w="11900" w:h="16838" w:orient="portrait"/>
          <w:cols w:equalWidth="0" w:num="1">
            <w:col w:w="10020"/>
          </w:cols>
          <w:pgMar w:left="1440" w:top="121" w:right="4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w:t>
      </w:r>
      <w:r>
        <w:rPr>
          <w:rFonts w:ascii="Arial" w:cs="Arial" w:eastAsia="Arial" w:hAnsi="Arial"/>
          <w:sz w:val="14"/>
          <w:szCs w:val="14"/>
          <w:b w:val="1"/>
          <w:bCs w:val="1"/>
          <w:color w:val="auto"/>
        </w:rPr>
        <w:t>ARSUS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OF THE PLAN.</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Board adopted the Plan effective as of the IPO Date. The purpose of the Plan is to provide Eligible Employees with an opportunity to increase their proprietary interest in the success of the Company by purchasing Stock from the Company on favorable terms and to pay for such purchases through payroll deductions or other approved contributions.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ADMINISTRATION OF THE PLAN.</w:t>
      </w:r>
    </w:p>
    <w:p>
      <w:pPr>
        <w:spacing w:after="0" w:line="117" w:lineRule="exact"/>
        <w:rPr>
          <w:sz w:val="20"/>
          <w:szCs w:val="20"/>
          <w:color w:val="auto"/>
        </w:rPr>
      </w:pPr>
    </w:p>
    <w:p>
      <w:pPr>
        <w:ind w:right="80" w:firstLine="436"/>
        <w:spacing w:after="0" w:line="292" w:lineRule="auto"/>
        <w:tabs>
          <w:tab w:leader="none" w:pos="685"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The Plan may be administered by the Board or one or more Committees to which the Board (or an authorized Board committee) has</w:t>
      </w:r>
      <w:r>
        <w:rPr>
          <w:rFonts w:ascii="Arial" w:cs="Arial" w:eastAsia="Arial" w:hAnsi="Arial"/>
          <w:sz w:val="16"/>
          <w:szCs w:val="16"/>
          <w:b w:val="1"/>
          <w:bCs w:val="1"/>
          <w:color w:val="auto"/>
        </w:rPr>
        <w:t xml:space="preserve"> </w:t>
      </w:r>
      <w:r>
        <w:rPr>
          <w:rFonts w:ascii="Arial" w:cs="Arial" w:eastAsia="Arial" w:hAnsi="Arial"/>
          <w:sz w:val="16"/>
          <w:szCs w:val="16"/>
          <w:color w:val="auto"/>
        </w:rPr>
        <w:t>delegated authority. If administration is delegated to a Committee, the Committee shall have the powers theretofore possessed by the Board, including, to the extent permitted by applicable law, the power to delegate to a sub-committee any of the administrative powers the Committee is authorized to exercise (and references in this Plan to either the Board or the Administrator shall hereafter also encompass the Committee or subcommittee, as applicable). The Board may abolish the Committee’s delegation at any time and the Board shall at all times also retain the authority it has delegated to the Committee. Each Committee shall comply with rules and regulations applicable to it, including under the rules of any exchange on which the Stock is traded, and shall have the authority and be responsible for such functions as have been assigned to it.</w:t>
      </w:r>
    </w:p>
    <w:p>
      <w:pPr>
        <w:spacing w:after="0" w:line="161" w:lineRule="exact"/>
        <w:rPr>
          <w:rFonts w:ascii="Arial" w:cs="Arial" w:eastAsia="Arial" w:hAnsi="Arial"/>
          <w:sz w:val="16"/>
          <w:szCs w:val="16"/>
          <w:color w:val="auto"/>
        </w:rPr>
      </w:pPr>
    </w:p>
    <w:p>
      <w:pPr>
        <w:ind w:right="120" w:firstLine="436"/>
        <w:spacing w:after="0" w:line="261"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Powers of the Administrator</w:t>
      </w:r>
      <w:r>
        <w:rPr>
          <w:rFonts w:ascii="Arial" w:cs="Arial" w:eastAsia="Arial" w:hAnsi="Arial"/>
          <w:sz w:val="18"/>
          <w:szCs w:val="18"/>
          <w:color w:val="auto"/>
        </w:rPr>
        <w:t>. Subject to the terms of the Plan, and in the case of a Committee, subject to the specific duties delegated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the Administrator shall have the power to establish the terms and conditions of Offering Periods (which need not be identical) under the Plan, to interpret the Plan and make all other policy decisions relating to the operation of the Plan. The Administrator may adopt such rules, guidelines and forms as it deems appropriate to implement the Plan.</w:t>
      </w:r>
    </w:p>
    <w:p>
      <w:pPr>
        <w:spacing w:after="0" w:line="179" w:lineRule="exact"/>
        <w:rPr>
          <w:rFonts w:ascii="Arial" w:cs="Arial" w:eastAsia="Arial" w:hAnsi="Arial"/>
          <w:sz w:val="18"/>
          <w:szCs w:val="18"/>
          <w:color w:val="auto"/>
        </w:rPr>
      </w:pPr>
    </w:p>
    <w:p>
      <w:pPr>
        <w:ind w:right="400" w:firstLine="436"/>
        <w:spacing w:after="0" w:line="282" w:lineRule="auto"/>
        <w:tabs>
          <w:tab w:leader="none" w:pos="68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Effects of Administrator’s Decisions</w:t>
      </w:r>
      <w:r>
        <w:rPr>
          <w:rFonts w:ascii="Arial" w:cs="Arial" w:eastAsia="Arial" w:hAnsi="Arial"/>
          <w:sz w:val="18"/>
          <w:szCs w:val="18"/>
          <w:color w:val="auto"/>
        </w:rPr>
        <w:t>. The Administrator’s decisions, determinations and interpretations shall be final and binding on all</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parties.</w:t>
      </w:r>
    </w:p>
    <w:p>
      <w:pPr>
        <w:spacing w:after="0" w:line="161" w:lineRule="exact"/>
        <w:rPr>
          <w:rFonts w:ascii="Arial" w:cs="Arial" w:eastAsia="Arial" w:hAnsi="Arial"/>
          <w:sz w:val="18"/>
          <w:szCs w:val="18"/>
          <w:color w:val="auto"/>
        </w:rPr>
      </w:pPr>
    </w:p>
    <w:p>
      <w:pPr>
        <w:ind w:right="40" w:firstLine="436"/>
        <w:spacing w:after="0" w:line="282"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shall be governed by, and construed in accordance with, the laws of the State of Delaware (except its 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STOCK OFFERED UNDER THE PLAN.</w:t>
      </w:r>
    </w:p>
    <w:p>
      <w:pPr>
        <w:spacing w:after="0" w:line="121" w:lineRule="exact"/>
        <w:rPr>
          <w:sz w:val="20"/>
          <w:szCs w:val="20"/>
          <w:color w:val="auto"/>
        </w:rPr>
      </w:pPr>
    </w:p>
    <w:p>
      <w:pPr>
        <w:ind w:right="140" w:firstLine="436"/>
        <w:spacing w:after="0" w:line="263"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Authorized Shares. The number of shares of Stock available for purchase under the Plan shall be 2,300,000 shares of the Company’s Stock (subject to adjustment pursuant to Subsection (c) below), plus the additional shares described in Subsection (b) below. Shares of Stock issued pursuant to the Plan may be authorized but unissued shares or treasury shares.</w:t>
      </w:r>
    </w:p>
    <w:p>
      <w:pPr>
        <w:spacing w:after="0" w:line="179" w:lineRule="exact"/>
        <w:rPr>
          <w:rFonts w:ascii="Arial" w:cs="Arial" w:eastAsia="Arial" w:hAnsi="Arial"/>
          <w:sz w:val="18"/>
          <w:szCs w:val="18"/>
          <w:color w:val="auto"/>
        </w:rPr>
      </w:pPr>
    </w:p>
    <w:p>
      <w:pPr>
        <w:jc w:val="both"/>
        <w:ind w:right="80" w:firstLine="436"/>
        <w:spacing w:after="0" w:line="258"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Annual Increase in Shares</w:t>
      </w:r>
      <w:r>
        <w:rPr>
          <w:rFonts w:ascii="Arial" w:cs="Arial" w:eastAsia="Arial" w:hAnsi="Arial"/>
          <w:sz w:val="18"/>
          <w:szCs w:val="18"/>
          <w:color w:val="auto"/>
        </w:rPr>
        <w:t>. On the first day of each fiscal year of the Company during the term of the Plan, commencing on January 1, 2021</w:t>
      </w:r>
      <w:r>
        <w:rPr>
          <w:rFonts w:ascii="Arial" w:cs="Arial" w:eastAsia="Arial" w:hAnsi="Arial"/>
          <w:sz w:val="18"/>
          <w:szCs w:val="18"/>
          <w:b w:val="1"/>
          <w:bCs w:val="1"/>
          <w:color w:val="auto"/>
        </w:rPr>
        <w:t xml:space="preserve"> </w:t>
      </w:r>
      <w:r>
        <w:rPr>
          <w:rFonts w:ascii="Arial" w:cs="Arial" w:eastAsia="Arial" w:hAnsi="Arial"/>
          <w:sz w:val="18"/>
          <w:szCs w:val="18"/>
          <w:color w:val="auto"/>
        </w:rPr>
        <w:t>and ending on (and including) January 1, 2040, the aggregate number of shares of Stock that may be issued under the Plan shall automatically increase by a number equal to the least of (i) one percent (1%) of the total number of shares of Stock actually issued and outstanding on the last day of the preceding fiscal year, (ii) 2,300,000 shares of Stock (subject to adjustment pursuant to Subsection (c) below), or (iii) a number of shares of Stock determined by the Board.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39" w:name="page40"/>
    <w:bookmarkEnd w:id="39"/>
    <w:p>
      <w:pPr>
        <w:ind w:right="40" w:firstLine="436"/>
        <w:spacing w:after="0" w:line="273" w:lineRule="auto"/>
        <w:tabs>
          <w:tab w:leader="none" w:pos="685"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Anti-Dilution Adjustments</w:t>
      </w:r>
      <w:r>
        <w:rPr>
          <w:rFonts w:ascii="Arial" w:cs="Arial" w:eastAsia="Arial" w:hAnsi="Arial"/>
          <w:sz w:val="17"/>
          <w:szCs w:val="17"/>
          <w:color w:val="auto"/>
        </w:rPr>
        <w:t>. In the event that any dividend or other distribution (whether in the form of cash, stock or other securities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recapitalization, stock split, reverse stock split, reorganization, merger, consolidation, split-up, spin-off, combination, reclassification, repurchase, or exchange of Stock or other securities of the Company, or other similar change in the corporate structure of the Company affecting the Stock and effected without receipt or payment of consideration by the Company occurs, then in order to prevent dilution or enlargement of the benefits or potential benefits intended to be made available under the Plan, there will be a proportionate adjustment of the number and class of Stock that may be delivered under the Plan, the Purchase Price per share and the number of shares and class of Stock covered by each option under the Plan which has not yet been exercised, and the numerical limits of Sections 3(a), 3(b)(ii) and 9(c).</w:t>
      </w:r>
    </w:p>
    <w:p>
      <w:pPr>
        <w:spacing w:after="0" w:line="171" w:lineRule="exact"/>
        <w:rPr>
          <w:rFonts w:ascii="Arial" w:cs="Arial" w:eastAsia="Arial" w:hAnsi="Arial"/>
          <w:sz w:val="17"/>
          <w:szCs w:val="17"/>
          <w:color w:val="auto"/>
        </w:rPr>
      </w:pPr>
    </w:p>
    <w:p>
      <w:pPr>
        <w:ind w:firstLine="436"/>
        <w:spacing w:after="0" w:line="294" w:lineRule="auto"/>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Reorganizations</w:t>
      </w:r>
      <w:r>
        <w:rPr>
          <w:rFonts w:ascii="Arial" w:cs="Arial" w:eastAsia="Arial" w:hAnsi="Arial"/>
          <w:sz w:val="16"/>
          <w:szCs w:val="16"/>
          <w:color w:val="auto"/>
        </w:rPr>
        <w:t>. In the event of a Corporate Reorganization, the outstanding rights to purchase Stock under any Offering Period then in</w:t>
      </w:r>
      <w:r>
        <w:rPr>
          <w:rFonts w:ascii="Arial" w:cs="Arial" w:eastAsia="Arial" w:hAnsi="Arial"/>
          <w:sz w:val="16"/>
          <w:szCs w:val="16"/>
          <w:b w:val="1"/>
          <w:bCs w:val="1"/>
          <w:color w:val="auto"/>
        </w:rPr>
        <w:t xml:space="preserve"> </w:t>
      </w:r>
      <w:r>
        <w:rPr>
          <w:rFonts w:ascii="Arial" w:cs="Arial" w:eastAsia="Arial" w:hAnsi="Arial"/>
          <w:sz w:val="16"/>
          <w:szCs w:val="16"/>
          <w:color w:val="auto"/>
        </w:rPr>
        <w:t>progress may be continued, assumed or substituted by the surviving entity or its parent. If such acquirer refuses to continue, assume or substitute for any such rights, then a new Purchase Date for such Offering Period(s) will be set prior to the effective time of the Corporate Reorganization, the Participants’ accumulated contributions will be applied to purchase Stock on such date, and any such Offering Periods shall terminate immediately after such purchase. In the event a new Purchase Date is set under this Section 3(d), Participants will be given notice of the new Purchase Date. The Plan shall in no event be construed to restrict in any way the Company’s right to undertake a dissolution, liquidation, merger, consolidation or other reorganization.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ENROLLMENT AND PARTICIPATION.</w:t>
      </w:r>
    </w:p>
    <w:p>
      <w:pPr>
        <w:spacing w:after="0" w:line="225" w:lineRule="exact"/>
        <w:rPr>
          <w:sz w:val="20"/>
          <w:szCs w:val="20"/>
          <w:color w:val="auto"/>
        </w:rPr>
      </w:pPr>
    </w:p>
    <w:p>
      <w:pPr>
        <w:ind w:left="680" w:hanging="244"/>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Offering Periods and Purchase Periods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right="240" w:hanging="439"/>
        <w:spacing w:after="0" w:line="294" w:lineRule="auto"/>
        <w:tabs>
          <w:tab w:leader="none" w:pos="1420" w:val="left"/>
        </w:tabs>
        <w:numPr>
          <w:ilvl w:val="1"/>
          <w:numId w:val="19"/>
        </w:numPr>
        <w:rPr>
          <w:rFonts w:ascii="Arial" w:cs="Arial" w:eastAsia="Arial" w:hAnsi="Arial"/>
          <w:sz w:val="16"/>
          <w:szCs w:val="16"/>
          <w:color w:val="auto"/>
        </w:rPr>
      </w:pPr>
      <w:r>
        <w:rPr>
          <w:rFonts w:ascii="Arial" w:cs="Arial" w:eastAsia="Arial" w:hAnsi="Arial"/>
          <w:sz w:val="16"/>
          <w:szCs w:val="16"/>
          <w:b w:val="1"/>
          <w:bCs w:val="1"/>
          <w:color w:val="auto"/>
        </w:rPr>
        <w:t>Base Offering Periods</w:t>
      </w:r>
      <w:r>
        <w:rPr>
          <w:rFonts w:ascii="Arial" w:cs="Arial" w:eastAsia="Arial" w:hAnsi="Arial"/>
          <w:sz w:val="16"/>
          <w:szCs w:val="16"/>
          <w:color w:val="auto"/>
        </w:rPr>
        <w:t>. The Administrator may from time to time establish Offering Periods (consisting of one or more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of such frequency and duration as it may deem appropriate (the “</w:t>
      </w:r>
      <w:r>
        <w:rPr>
          <w:rFonts w:ascii="Arial" w:cs="Arial" w:eastAsia="Arial" w:hAnsi="Arial"/>
          <w:sz w:val="16"/>
          <w:szCs w:val="16"/>
          <w:b w:val="1"/>
          <w:bCs w:val="1"/>
          <w:i w:val="1"/>
          <w:iCs w:val="1"/>
          <w:color w:val="auto"/>
        </w:rPr>
        <w:t>Base Offering Periods</w:t>
      </w:r>
      <w:r>
        <w:rPr>
          <w:rFonts w:ascii="Arial" w:cs="Arial" w:eastAsia="Arial" w:hAnsi="Arial"/>
          <w:sz w:val="16"/>
          <w:szCs w:val="16"/>
          <w:color w:val="auto"/>
        </w:rPr>
        <w:t>”); provided that a Base Offering Period shall in no event be longer than 27 months (or such other period as may be imposed under applicable tax law). Each Base Offering Period shall contain such terms and conditions (consistent with the Plan) as the Administrator deems appropriate. Within the limits of the Plan, the Administrator may change the frequency, duration and other terms and conditions of the Base Offering Periods as it deems appropriate from time to time. The Base Offering Periods are intended to qualify under Code Section 423.</w:t>
      </w:r>
    </w:p>
    <w:p>
      <w:pPr>
        <w:spacing w:after="0" w:line="65" w:lineRule="exact"/>
        <w:rPr>
          <w:rFonts w:ascii="Arial" w:cs="Arial" w:eastAsia="Arial" w:hAnsi="Arial"/>
          <w:sz w:val="16"/>
          <w:szCs w:val="16"/>
          <w:color w:val="auto"/>
        </w:rPr>
      </w:pPr>
    </w:p>
    <w:p>
      <w:pPr>
        <w:ind w:left="1420" w:right="40" w:hanging="439"/>
        <w:spacing w:after="0" w:line="254"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Additional Offering Periods</w:t>
      </w:r>
      <w:r>
        <w:rPr>
          <w:rFonts w:ascii="Arial" w:cs="Arial" w:eastAsia="Arial" w:hAnsi="Arial"/>
          <w:sz w:val="18"/>
          <w:szCs w:val="18"/>
          <w:color w:val="auto"/>
        </w:rPr>
        <w:t>. At the discretion of the Administrator, additional Offering Periods (the “</w:t>
      </w:r>
      <w:r>
        <w:rPr>
          <w:rFonts w:ascii="Arial" w:cs="Arial" w:eastAsia="Arial" w:hAnsi="Arial"/>
          <w:sz w:val="18"/>
          <w:szCs w:val="18"/>
          <w:b w:val="1"/>
          <w:bCs w:val="1"/>
          <w:i w:val="1"/>
          <w:iCs w:val="1"/>
          <w:color w:val="auto"/>
        </w:rPr>
        <w:t>Additional Offering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Periods</w:t>
      </w:r>
      <w:r>
        <w:rPr>
          <w:rFonts w:ascii="Arial" w:cs="Arial" w:eastAsia="Arial" w:hAnsi="Arial"/>
          <w:sz w:val="18"/>
          <w:szCs w:val="18"/>
          <w:color w:val="auto"/>
        </w:rPr>
        <w:t>”) may be conducted under the Plan including, if necessary or advisable in the sole discretion of the Administrator, under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separate sub-plan or sub-plans, permitting grants to Eligible Employees of certain Participating Companies (each, a “</w:t>
      </w:r>
      <w:r>
        <w:rPr>
          <w:rFonts w:ascii="Arial" w:cs="Arial" w:eastAsia="Arial" w:hAnsi="Arial"/>
          <w:sz w:val="18"/>
          <w:szCs w:val="18"/>
          <w:b w:val="1"/>
          <w:bCs w:val="1"/>
          <w:i w:val="1"/>
          <w:iCs w:val="1"/>
          <w:color w:val="auto"/>
        </w:rPr>
        <w:t>Sub-Plan</w:t>
      </w:r>
      <w:r>
        <w:rPr>
          <w:rFonts w:ascii="Arial" w:cs="Arial" w:eastAsia="Arial" w:hAnsi="Arial"/>
          <w:sz w:val="18"/>
          <w:szCs w:val="18"/>
          <w:color w:val="auto"/>
        </w:rPr>
        <w:t>”). Such Additional Offering Periods will be designed to achieve desired tax objectives in particular locations outside the United States or to comply with local laws applicable to offerings in such foreign jurisdictions and may, but need not, qualify under Code Section 423. The Administrator shall determine the commencement and duration of each Additional Offering Period, and Additional Offering Periods may be consecutive or overlapping. The other terms and conditions of each Additional Offering Period shall be those set forth in this Plan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40" w:name="page41"/>
    <w:bookmarkEnd w:id="40"/>
    <w:p>
      <w:pPr>
        <w:ind w:left="1420"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document or in terms and conditions approved by the Administrator with respect to such Additional Offering Period (whether or not set forth in a written Sub-Plan), with such changes or additional features as the Administrator determines necessary to comply with local law. Each Additional Offering Period (whether or not set forth in a written Sub-Plan) shall be considered a separate plan from the Plan (the “</w:t>
      </w:r>
      <w:r>
        <w:rPr>
          <w:rFonts w:ascii="Arial" w:cs="Arial" w:eastAsia="Arial" w:hAnsi="Arial"/>
          <w:sz w:val="17"/>
          <w:szCs w:val="17"/>
          <w:b w:val="1"/>
          <w:bCs w:val="1"/>
          <w:i w:val="1"/>
          <w:iCs w:val="1"/>
          <w:color w:val="auto"/>
        </w:rPr>
        <w:t>Statutory Plan</w:t>
      </w:r>
      <w:r>
        <w:rPr>
          <w:rFonts w:ascii="Arial" w:cs="Arial" w:eastAsia="Arial" w:hAnsi="Arial"/>
          <w:sz w:val="17"/>
          <w:szCs w:val="17"/>
          <w:color w:val="auto"/>
        </w:rPr>
        <w:t>”). The total number of Shares authorized to be issued under the Plan as provided in Section 3 above applies in the aggregate to both the Statutory Plan and any Additional Offering Period. Unless otherwise superseded by the terms and conditions approved by the Administrator with respect to an Additional Offering Period, the provisions of this Plan document shall govern the operation of any offering conducted hereunder.</w:t>
      </w:r>
    </w:p>
    <w:p>
      <w:pPr>
        <w:spacing w:after="0" w:line="79" w:lineRule="exact"/>
        <w:rPr>
          <w:sz w:val="20"/>
          <w:szCs w:val="20"/>
          <w:color w:val="auto"/>
        </w:rPr>
      </w:pPr>
    </w:p>
    <w:p>
      <w:pPr>
        <w:ind w:left="1420" w:right="540" w:hanging="439"/>
        <w:spacing w:after="0" w:line="282"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Separate Offerings</w:t>
      </w:r>
      <w:r>
        <w:rPr>
          <w:rFonts w:ascii="Arial" w:cs="Arial" w:eastAsia="Arial" w:hAnsi="Arial"/>
          <w:sz w:val="18"/>
          <w:szCs w:val="18"/>
          <w:color w:val="auto"/>
        </w:rPr>
        <w:t>. Each Base Offering Period and each Additional Offering Period conducted under the Plan is intended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separate “offering” for purposes of Code Section 423.</w:t>
      </w:r>
    </w:p>
    <w:p>
      <w:pPr>
        <w:spacing w:after="0" w:line="67" w:lineRule="exact"/>
        <w:rPr>
          <w:rFonts w:ascii="Arial" w:cs="Arial" w:eastAsia="Arial" w:hAnsi="Arial"/>
          <w:sz w:val="18"/>
          <w:szCs w:val="18"/>
          <w:color w:val="auto"/>
        </w:rPr>
      </w:pPr>
    </w:p>
    <w:p>
      <w:pPr>
        <w:ind w:left="1420" w:right="100" w:hanging="439"/>
        <w:spacing w:after="0" w:line="261"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Equal Rights and Privileges</w:t>
      </w:r>
      <w:r>
        <w:rPr>
          <w:rFonts w:ascii="Arial" w:cs="Arial" w:eastAsia="Arial" w:hAnsi="Arial"/>
          <w:sz w:val="18"/>
          <w:szCs w:val="18"/>
          <w:color w:val="auto"/>
        </w:rPr>
        <w:t>. To the extent an Offering Period is intended to qualify under Code Section 423, all participants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Offering Period shall have the same rights and privileges with respect to their participation in such Offering Period in accordance with Code Section 423 and the regulations thereunder except for differences that may be mandated by local law and are consistent with the requirements of Code Section 423(b)(5).</w:t>
      </w:r>
    </w:p>
    <w:p>
      <w:pPr>
        <w:spacing w:after="0" w:line="179" w:lineRule="exact"/>
        <w:rPr>
          <w:rFonts w:ascii="Arial" w:cs="Arial" w:eastAsia="Arial" w:hAnsi="Arial"/>
          <w:sz w:val="18"/>
          <w:szCs w:val="18"/>
          <w:color w:val="auto"/>
        </w:rPr>
      </w:pPr>
    </w:p>
    <w:p>
      <w:pPr>
        <w:ind w:firstLine="436"/>
        <w:spacing w:after="0" w:line="261"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Enrollment</w:t>
      </w:r>
      <w:r>
        <w:rPr>
          <w:rFonts w:ascii="Arial" w:cs="Arial" w:eastAsia="Arial" w:hAnsi="Arial"/>
          <w:sz w:val="18"/>
          <w:szCs w:val="18"/>
          <w:color w:val="auto"/>
        </w:rPr>
        <w:t>. In the case of any individual who qualifies as an Eligible Employee on the first day of any Offering Period, he or she may elect to</w:t>
      </w:r>
      <w:r>
        <w:rPr>
          <w:rFonts w:ascii="Arial" w:cs="Arial" w:eastAsia="Arial" w:hAnsi="Arial"/>
          <w:sz w:val="18"/>
          <w:szCs w:val="18"/>
          <w:b w:val="1"/>
          <w:bCs w:val="1"/>
          <w:color w:val="auto"/>
        </w:rPr>
        <w:t xml:space="preserve"> </w:t>
      </w:r>
      <w:r>
        <w:rPr>
          <w:rFonts w:ascii="Arial" w:cs="Arial" w:eastAsia="Arial" w:hAnsi="Arial"/>
          <w:sz w:val="18"/>
          <w:szCs w:val="18"/>
          <w:color w:val="auto"/>
        </w:rPr>
        <w:t>become a Participant on such day by filing the prescribed enrollment form with the Company. The enrollment form shall be filed in the prescribed manner during the applicable Enrollment Period for such Offering Period. The Administrator may establish other procedures for enrollment by Eligible Employees.</w:t>
      </w:r>
    </w:p>
    <w:p>
      <w:pPr>
        <w:spacing w:after="0" w:line="179" w:lineRule="exact"/>
        <w:rPr>
          <w:rFonts w:ascii="Arial" w:cs="Arial" w:eastAsia="Arial" w:hAnsi="Arial"/>
          <w:sz w:val="18"/>
          <w:szCs w:val="18"/>
          <w:color w:val="auto"/>
        </w:rPr>
      </w:pPr>
    </w:p>
    <w:p>
      <w:pPr>
        <w:ind w:left="680" w:hanging="24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Duration of Participation</w:t>
      </w:r>
      <w:r>
        <w:rPr>
          <w:rFonts w:ascii="Arial" w:cs="Arial" w:eastAsia="Arial" w:hAnsi="Arial"/>
          <w:sz w:val="18"/>
          <w:szCs w:val="18"/>
          <w:color w:val="auto"/>
        </w:rPr>
        <w:t>. Once enrolled in the Plan, a Participant shall continue to participate in the Plan until he or she:</w:t>
      </w:r>
    </w:p>
    <w:p>
      <w:pPr>
        <w:spacing w:after="0" w:line="134" w:lineRule="exact"/>
        <w:rPr>
          <w:rFonts w:ascii="Arial" w:cs="Arial" w:eastAsia="Arial" w:hAnsi="Arial"/>
          <w:sz w:val="18"/>
          <w:szCs w:val="18"/>
          <w:color w:val="auto"/>
        </w:rPr>
      </w:pPr>
    </w:p>
    <w:p>
      <w:pPr>
        <w:ind w:left="1420" w:right="760" w:hanging="439"/>
        <w:spacing w:after="0" w:line="277" w:lineRule="auto"/>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Reaches the end of the Offering Period or Purchase Period, as applicable, in which his or her employee contributions were discontinued under Section 5(c) or 9(b);</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Withdraws from the Plan under Section 6(a);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Ceases to be an Eligible Employee.</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 Participant whose employee contributions were discontinued automatically under Section 9(b) shall automatically resume participation as described therein. In all other cases, a former Participant may again become a Participant, if he or she then is an Eligible Employee, by following the procedure described in Subsection (b) above.</w:t>
      </w:r>
    </w:p>
    <w:p>
      <w:pPr>
        <w:spacing w:after="0" w:line="180" w:lineRule="exact"/>
        <w:rPr>
          <w:sz w:val="20"/>
          <w:szCs w:val="20"/>
          <w:color w:val="auto"/>
        </w:rPr>
      </w:pPr>
    </w:p>
    <w:p>
      <w:pPr>
        <w:ind w:right="520" w:firstLine="436"/>
        <w:spacing w:after="0" w:line="282"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Applicable Offering Period</w:t>
      </w:r>
      <w:r>
        <w:rPr>
          <w:rFonts w:ascii="Arial" w:cs="Arial" w:eastAsia="Arial" w:hAnsi="Arial"/>
          <w:sz w:val="18"/>
          <w:szCs w:val="18"/>
          <w:color w:val="auto"/>
        </w:rPr>
        <w:t>. For purposes of calculating the Purchase Price under Section 8(b), the applicable Offering Period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as follows:</w:t>
      </w:r>
    </w:p>
    <w:p>
      <w:pPr>
        <w:spacing w:after="0" w:line="71" w:lineRule="exact"/>
        <w:rPr>
          <w:rFonts w:ascii="Arial" w:cs="Arial" w:eastAsia="Arial" w:hAnsi="Arial"/>
          <w:sz w:val="18"/>
          <w:szCs w:val="18"/>
          <w:color w:val="auto"/>
        </w:rPr>
      </w:pPr>
    </w:p>
    <w:p>
      <w:pPr>
        <w:ind w:left="1420" w:right="80" w:hanging="439"/>
        <w:spacing w:after="0" w:line="274" w:lineRule="auto"/>
        <w:tabs>
          <w:tab w:leader="none" w:pos="14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Once a Participant is enrolled in the Plan for an Offering Period, such Offering Period shall continue to apply to him or her until the earliest of (A) the end of such Offering Period, (B) the end of his or her participation under Subsection (c) above, or</w:t>
      </w:r>
    </w:p>
    <w:p>
      <w:pPr>
        <w:ind w:left="1420"/>
        <w:spacing w:after="0"/>
        <w:rPr>
          <w:rFonts w:ascii="Arial" w:cs="Arial" w:eastAsia="Arial" w:hAnsi="Arial"/>
          <w:sz w:val="17"/>
          <w:szCs w:val="17"/>
          <w:color w:val="auto"/>
        </w:rPr>
      </w:pPr>
      <w:r>
        <w:rPr>
          <w:rFonts w:ascii="Arial" w:cs="Arial" w:eastAsia="Arial" w:hAnsi="Arial"/>
          <w:sz w:val="18"/>
          <w:szCs w:val="18"/>
          <w:color w:val="auto"/>
        </w:rPr>
        <w:t>(C) re-enrollment for a subsequent Offering Period under Paragraph (ii) or (iii) below.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41" w:name="page42"/>
    <w:bookmarkEnd w:id="41"/>
    <w:p>
      <w:pPr>
        <w:ind w:left="1420" w:hanging="439"/>
        <w:spacing w:after="0" w:line="25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other provision of the Plan notwithstanding, the Administrator (at its sole discretion) may determine prior to the commencement of any new Offering Period that all Participants shall be re-enrolled for such new Offering Period. In addition, the Administrator may structure an Offering Period so that in the event that the Fair Market Value of a Share on the first day of the Offering Period for which the Participant is enrolled is higher than on the first day of any subsequent Offering Period, the Participant shall automatically be re-enrolled for such subsequent Offering Period.</w:t>
      </w:r>
    </w:p>
    <w:p>
      <w:pPr>
        <w:spacing w:after="0" w:line="93" w:lineRule="exact"/>
        <w:rPr>
          <w:rFonts w:ascii="Arial" w:cs="Arial" w:eastAsia="Arial" w:hAnsi="Arial"/>
          <w:sz w:val="18"/>
          <w:szCs w:val="18"/>
          <w:color w:val="auto"/>
        </w:rPr>
      </w:pPr>
    </w:p>
    <w:p>
      <w:pPr>
        <w:ind w:left="1420" w:right="520" w:hanging="439"/>
        <w:spacing w:after="0" w:line="342" w:lineRule="auto"/>
        <w:tabs>
          <w:tab w:leader="none" w:pos="1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When a Participant reaches the end of an Offering Period but his or her participation is to continue, then such Participant shall automatically be re-enrolled for the Offering Period that commences immediately after the end of the prior Offering Period.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EMPLOYEE CONTRIBUTIONS.</w:t>
      </w:r>
    </w:p>
    <w:p>
      <w:pPr>
        <w:spacing w:after="0" w:line="117" w:lineRule="exact"/>
        <w:rPr>
          <w:sz w:val="20"/>
          <w:szCs w:val="20"/>
          <w:color w:val="auto"/>
        </w:rPr>
      </w:pPr>
    </w:p>
    <w:p>
      <w:pPr>
        <w:ind w:firstLine="436"/>
        <w:spacing w:after="0" w:line="277" w:lineRule="auto"/>
        <w:tabs>
          <w:tab w:leader="none" w:pos="685"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Commencement of Payroll Deductions</w:t>
      </w:r>
      <w:r>
        <w:rPr>
          <w:rFonts w:ascii="Arial" w:cs="Arial" w:eastAsia="Arial" w:hAnsi="Arial"/>
          <w:sz w:val="17"/>
          <w:szCs w:val="17"/>
          <w:color w:val="auto"/>
        </w:rPr>
        <w:t>. A Participant may purchase shares of Stock under the Plan by means of payroll deductions or (if so</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by the Administrator with respect to all Participants in a Base Offering Period) other approved contributions in form and substance satisfactory to the Administrator. Payroll deductions or other approved contributions shall commence as soon as reasonably practicable after the Company has received the prescribed enrollment form. In jurisdictions where payroll deductions are not permitted under local law, Participants may purchase shares of Stock by making contributions in the form that is acceptable and approved by the Administrator.</w:t>
      </w:r>
    </w:p>
    <w:p>
      <w:pPr>
        <w:spacing w:after="0" w:line="167" w:lineRule="exact"/>
        <w:rPr>
          <w:rFonts w:ascii="Arial" w:cs="Arial" w:eastAsia="Arial" w:hAnsi="Arial"/>
          <w:sz w:val="17"/>
          <w:szCs w:val="17"/>
          <w:color w:val="auto"/>
        </w:rPr>
      </w:pPr>
    </w:p>
    <w:p>
      <w:pPr>
        <w:ind w:right="380" w:firstLine="436"/>
        <w:spacing w:after="0" w:line="314" w:lineRule="auto"/>
        <w:tabs>
          <w:tab w:leader="none" w:pos="695"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Amount of Payroll Deductions</w:t>
      </w:r>
      <w:r>
        <w:rPr>
          <w:rFonts w:ascii="Arial" w:cs="Arial" w:eastAsia="Arial" w:hAnsi="Arial"/>
          <w:sz w:val="16"/>
          <w:szCs w:val="16"/>
          <w:color w:val="auto"/>
        </w:rPr>
        <w:t>. An Eligible Employee shall designate on the prescribed enrollment form the portion of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that he or she elects to have withheld for the purchase of Stock. Such portion shall be a whole percentage of the Eligible Employee’s Compensation, but not less than 1% nor more than 50% (or such lesser percentage established by the Administrator for an Offering Period).</w:t>
      </w:r>
    </w:p>
    <w:p>
      <w:pPr>
        <w:spacing w:after="0" w:line="141" w:lineRule="exact"/>
        <w:rPr>
          <w:rFonts w:ascii="Arial" w:cs="Arial" w:eastAsia="Arial" w:hAnsi="Arial"/>
          <w:sz w:val="16"/>
          <w:szCs w:val="16"/>
          <w:color w:val="auto"/>
        </w:rPr>
      </w:pPr>
    </w:p>
    <w:p>
      <w:pPr>
        <w:ind w:right="40" w:firstLine="436"/>
        <w:spacing w:after="0" w:line="273" w:lineRule="auto"/>
        <w:tabs>
          <w:tab w:leader="none" w:pos="685"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Reducing Withholding Rate or Discontinuing Payroll Deductions</w:t>
      </w:r>
      <w:r>
        <w:rPr>
          <w:rFonts w:ascii="Arial" w:cs="Arial" w:eastAsia="Arial" w:hAnsi="Arial"/>
          <w:sz w:val="17"/>
          <w:szCs w:val="17"/>
          <w:color w:val="auto"/>
        </w:rPr>
        <w:t>. If a Participant wishes to reduce his or her rate of payroll 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such Participant may do so by filing a new enrollment form with the Company in the manner prescribed by the Administrator. The new withholding rate shall be effective as soon as reasonably practicable after the Company has received such form. The new withholding rate may be 0% or any whole percentage of the Participant’s Compensation, but not more than his or her old withholding rate. The Administrator may limit the number of times a Participant may elect to reduce his or her rate of withholding during any Offering Period and/or Purchase Period. Unless a different rule is established for an Offering Period, no Participant shall make more than one election under this Subsection (c) during any Purchase Period. (In addition, employee contributions may be discontinued automatically pursuant to Section 9(b).)</w:t>
      </w:r>
    </w:p>
    <w:p>
      <w:pPr>
        <w:spacing w:after="0" w:line="171" w:lineRule="exact"/>
        <w:rPr>
          <w:rFonts w:ascii="Arial" w:cs="Arial" w:eastAsia="Arial" w:hAnsi="Arial"/>
          <w:sz w:val="17"/>
          <w:szCs w:val="17"/>
          <w:color w:val="auto"/>
        </w:rPr>
      </w:pPr>
    </w:p>
    <w:p>
      <w:pPr>
        <w:ind w:right="100" w:firstLine="436"/>
        <w:spacing w:after="0" w:line="274" w:lineRule="auto"/>
        <w:tabs>
          <w:tab w:leader="none" w:pos="695"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Increasing Withholding Rate</w:t>
      </w:r>
      <w:r>
        <w:rPr>
          <w:rFonts w:ascii="Arial" w:cs="Arial" w:eastAsia="Arial" w:hAnsi="Arial"/>
          <w:sz w:val="17"/>
          <w:szCs w:val="17"/>
          <w:color w:val="auto"/>
        </w:rPr>
        <w:t>. Unless the Administrator establishes a different rule for an Offering Period, a Participant may not increase his</w:t>
      </w:r>
      <w:r>
        <w:rPr>
          <w:rFonts w:ascii="Arial" w:cs="Arial" w:eastAsia="Arial" w:hAnsi="Arial"/>
          <w:sz w:val="17"/>
          <w:szCs w:val="17"/>
          <w:b w:val="1"/>
          <w:bCs w:val="1"/>
          <w:color w:val="auto"/>
        </w:rPr>
        <w:t xml:space="preserve"> </w:t>
      </w:r>
      <w:r>
        <w:rPr>
          <w:rFonts w:ascii="Arial" w:cs="Arial" w:eastAsia="Arial" w:hAnsi="Arial"/>
          <w:sz w:val="17"/>
          <w:szCs w:val="17"/>
          <w:color w:val="auto"/>
        </w:rPr>
        <w:t>or her rate of payroll withholding during a Purchase Period. If a Participant wishes to increase his or her rate of payroll withholding, such Participant may do so by filing a new enrollment form with the Company at least fifteen (15) calendar days prior to commencement of a Purchase Period (or such other period as is specified by the Administrator). The new withholding rate shall be effective on the first day of the next-upcoming Purchase Period in which the Participant participates. The new withholding rate may be any whole percentage of the Participant’s Compensation, but not less than 1% nor more than the maximum amount established for the Offering Period.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 WITHDRAWAL FROM THE PLAN.</w:t>
      </w:r>
    </w:p>
    <w:p>
      <w:pPr>
        <w:spacing w:after="0" w:line="117" w:lineRule="exact"/>
        <w:rPr>
          <w:sz w:val="20"/>
          <w:szCs w:val="20"/>
          <w:color w:val="auto"/>
        </w:rPr>
      </w:pPr>
    </w:p>
    <w:p>
      <w:pPr>
        <w:ind w:right="240" w:firstLine="436"/>
        <w:spacing w:after="0" w:line="298" w:lineRule="auto"/>
        <w:tabs>
          <w:tab w:leader="none" w:pos="685"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Withdrawal</w:t>
      </w:r>
      <w:r>
        <w:rPr>
          <w:rFonts w:ascii="Arial" w:cs="Arial" w:eastAsia="Arial" w:hAnsi="Arial"/>
          <w:sz w:val="16"/>
          <w:szCs w:val="16"/>
          <w:color w:val="auto"/>
        </w:rPr>
        <w:t>. A Participant may elect to withdraw from the Plan (and the Offering Period in which he or she is participating) by filing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prescribed form with the Company in the prescribed manner at least fifteen (15) calendar days prior to a Purchase Date (or such other period as is specified by the Administrator). As soon as reasonably practicable thereafter, payroll deductions or other approved contributions shall cease and the entire amount credited to the Participant’s Plan Account with respect to such Offering Period shall be refunded to him or her in cash, without interest (except as otherwise required by the laws of the local jurisdiction). No partial withdrawals from an Offering Period shall be permitted.</w:t>
      </w:r>
    </w:p>
    <w:p>
      <w:pPr>
        <w:spacing w:after="0" w:line="153" w:lineRule="exact"/>
        <w:rPr>
          <w:rFonts w:ascii="Arial" w:cs="Arial" w:eastAsia="Arial" w:hAnsi="Arial"/>
          <w:sz w:val="16"/>
          <w:szCs w:val="16"/>
          <w:color w:val="auto"/>
        </w:rPr>
      </w:pPr>
    </w:p>
    <w:p>
      <w:pPr>
        <w:ind w:right="20" w:firstLine="436"/>
        <w:spacing w:after="0" w:line="347" w:lineRule="auto"/>
        <w:tabs>
          <w:tab w:leader="none" w:pos="695"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Re-Enrollment After Withdrawal</w:t>
      </w:r>
      <w:r>
        <w:rPr>
          <w:rFonts w:ascii="Arial" w:cs="Arial" w:eastAsia="Arial" w:hAnsi="Arial"/>
          <w:sz w:val="16"/>
          <w:szCs w:val="16"/>
          <w:color w:val="auto"/>
        </w:rPr>
        <w:t>. A former Participant who has withdrawn from the Plan shall not be a Participant until he or she re-enrolls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Plan under Section 4(b) during an Enrollment Period. Re-enrollment may be effective only at the commencement of an Offering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CHANGE IN EMPLOYMENT STATUS.</w:t>
      </w:r>
    </w:p>
    <w:p>
      <w:pPr>
        <w:spacing w:after="0" w:line="117" w:lineRule="exact"/>
        <w:rPr>
          <w:sz w:val="20"/>
          <w:szCs w:val="20"/>
          <w:color w:val="auto"/>
        </w:rPr>
      </w:pPr>
    </w:p>
    <w:p>
      <w:pPr>
        <w:ind w:right="320" w:firstLine="436"/>
        <w:spacing w:after="0" w:line="282" w:lineRule="auto"/>
        <w:tabs>
          <w:tab w:leader="none" w:pos="685"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Termination of employment as an Eligible Employee for any reason, including death, shall be treated as an</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 withdrawal from the Plan under Section 6(a).</w:t>
      </w:r>
    </w:p>
    <w:p>
      <w:pPr>
        <w:spacing w:after="0" w:line="161" w:lineRule="exact"/>
        <w:rPr>
          <w:rFonts w:ascii="Arial" w:cs="Arial" w:eastAsia="Arial" w:hAnsi="Arial"/>
          <w:sz w:val="18"/>
          <w:szCs w:val="18"/>
          <w:color w:val="auto"/>
        </w:rPr>
      </w:pPr>
    </w:p>
    <w:p>
      <w:pPr>
        <w:ind w:firstLine="436"/>
        <w:spacing w:after="0" w:line="271" w:lineRule="auto"/>
        <w:tabs>
          <w:tab w:leader="none" w:pos="695"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Transfers of Employment</w:t>
      </w:r>
      <w:r>
        <w:rPr>
          <w:rFonts w:ascii="Arial" w:cs="Arial" w:eastAsia="Arial" w:hAnsi="Arial"/>
          <w:sz w:val="17"/>
          <w:szCs w:val="17"/>
          <w:color w:val="auto"/>
        </w:rPr>
        <w:t>. If a Participant transfers employment from a Participating Company that is participating in a Base Offering Period</w:t>
      </w:r>
      <w:r>
        <w:rPr>
          <w:rFonts w:ascii="Arial" w:cs="Arial" w:eastAsia="Arial" w:hAnsi="Arial"/>
          <w:sz w:val="17"/>
          <w:szCs w:val="17"/>
          <w:b w:val="1"/>
          <w:bCs w:val="1"/>
          <w:color w:val="auto"/>
        </w:rPr>
        <w:t xml:space="preserve"> </w:t>
      </w:r>
      <w:r>
        <w:rPr>
          <w:rFonts w:ascii="Arial" w:cs="Arial" w:eastAsia="Arial" w:hAnsi="Arial"/>
          <w:sz w:val="17"/>
          <w:szCs w:val="17"/>
          <w:color w:val="auto"/>
        </w:rPr>
        <w:t>to a Participating Company that is participating in an Additional Offering Period, he or she will immediately cease to participate in the Base Offering Period, as applicable; however, such Participant’s Plan Account will be transferred to the Additional Offering Period, and such Participant will immediately join such Additional Offering Period on the terms and conditions applicable to such Additional Offering Period, except for any modifications required by applicable law. If a Participant transfers employment from a Participating Company that is participating in an Additional Offering Period to a Participating Company that is participating in the Base Offering Period, he or she will continue to participate in the Additional Offering Period until the earlier of (i) the end of such Additional Offering Period, or (ii) the commencement of the first Base Offering Period in which he or she is eligible. If a Participant transfers employment from a Participating Company to a Related Corporation that is not a Participating Company, he or she shall be deemed to have withdrawn from the Plan pursuant to Section 6(a).</w:t>
      </w:r>
    </w:p>
    <w:p>
      <w:pPr>
        <w:spacing w:after="0" w:line="173" w:lineRule="exact"/>
        <w:rPr>
          <w:rFonts w:ascii="Arial" w:cs="Arial" w:eastAsia="Arial" w:hAnsi="Arial"/>
          <w:sz w:val="17"/>
          <w:szCs w:val="17"/>
          <w:color w:val="auto"/>
        </w:rPr>
      </w:pPr>
    </w:p>
    <w:p>
      <w:pPr>
        <w:ind w:right="60" w:firstLine="436"/>
        <w:spacing w:after="0" w:line="303" w:lineRule="auto"/>
        <w:tabs>
          <w:tab w:leader="none" w:pos="685"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Leave of Absence</w:t>
      </w:r>
      <w:r>
        <w:rPr>
          <w:rFonts w:ascii="Arial" w:cs="Arial" w:eastAsia="Arial" w:hAnsi="Arial"/>
          <w:sz w:val="16"/>
          <w:szCs w:val="16"/>
          <w:color w:val="auto"/>
        </w:rPr>
        <w:t>. For purposes of the Plan, employment shall not be deemed to terminate when the Participant goes on a military leave,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sick leave or another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leave of absence, if the leave was approved by the Company in writing. Employment, however, shall be deemed to terminate on the first day following three months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150" w:lineRule="exact"/>
        <w:rPr>
          <w:rFonts w:ascii="Arial" w:cs="Arial" w:eastAsia="Arial" w:hAnsi="Arial"/>
          <w:sz w:val="16"/>
          <w:szCs w:val="16"/>
          <w:color w:val="auto"/>
        </w:rPr>
      </w:pPr>
    </w:p>
    <w:p>
      <w:pPr>
        <w:ind w:right="60" w:firstLine="436"/>
        <w:spacing w:after="0" w:line="314" w:lineRule="auto"/>
        <w:tabs>
          <w:tab w:leader="none" w:pos="695"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Death</w:t>
      </w:r>
      <w:r>
        <w:rPr>
          <w:rFonts w:ascii="Arial" w:cs="Arial" w:eastAsia="Arial" w:hAnsi="Arial"/>
          <w:sz w:val="16"/>
          <w:szCs w:val="16"/>
          <w:color w:val="auto"/>
        </w:rPr>
        <w:t>. In the event of the Participant’s death, the amount credited to his or her Plan Account shall be paid in cash, without interest (unless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required by the laws of the local jurisdiction), to a beneficiary designated by him or her for this purpose on the prescribed form or, if none, to the Participant’s estate. Such form shall be valid only if it was filed with the Company at the prescribed location before the Participant’s death.</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0" w:right="4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8. PLAN ACCOUNTS AND PURCHASE OF SHARES.</w:t>
      </w:r>
    </w:p>
    <w:p>
      <w:pPr>
        <w:spacing w:after="0" w:line="117" w:lineRule="exact"/>
        <w:rPr>
          <w:sz w:val="20"/>
          <w:szCs w:val="20"/>
          <w:color w:val="auto"/>
        </w:rPr>
      </w:pPr>
    </w:p>
    <w:p>
      <w:pPr>
        <w:jc w:val="both"/>
        <w:ind w:right="100" w:firstLine="436"/>
        <w:spacing w:after="0" w:line="281" w:lineRule="auto"/>
        <w:tabs>
          <w:tab w:leader="none" w:pos="685"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Plan Accounts</w:t>
      </w:r>
      <w:r>
        <w:rPr>
          <w:rFonts w:ascii="Arial" w:cs="Arial" w:eastAsia="Arial" w:hAnsi="Arial"/>
          <w:sz w:val="17"/>
          <w:szCs w:val="17"/>
          <w:color w:val="auto"/>
        </w:rPr>
        <w:t>. The Company shall maintain a Plan Account on its books in the name of each Participant. Whenever an amount is deducted</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Participant’s Compensation under the Plan, such amount shall be credited to the Participant’s Plan Account. Unless otherwise required by the laws of the local jurisdiction, (i) amounts credited to Plan Accounts shall not be trust funds and may be commingled with the Company’s general assets and applied to general corporate purposes, and (ii) no interest shall be credited to Plan Accounts.</w:t>
      </w:r>
    </w:p>
    <w:p>
      <w:pPr>
        <w:spacing w:after="0" w:line="164" w:lineRule="exact"/>
        <w:rPr>
          <w:rFonts w:ascii="Arial" w:cs="Arial" w:eastAsia="Arial" w:hAnsi="Arial"/>
          <w:sz w:val="17"/>
          <w:szCs w:val="17"/>
          <w:color w:val="auto"/>
        </w:rPr>
      </w:pPr>
    </w:p>
    <w:p>
      <w:pPr>
        <w:ind w:right="60" w:firstLine="436"/>
        <w:spacing w:after="0" w:line="282"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Purchase Price</w:t>
      </w:r>
      <w:r>
        <w:rPr>
          <w:rFonts w:ascii="Arial" w:cs="Arial" w:eastAsia="Arial" w:hAnsi="Arial"/>
          <w:sz w:val="18"/>
          <w:szCs w:val="18"/>
          <w:color w:val="auto"/>
        </w:rPr>
        <w:t>. The Administrator shall establish the Purchase Price for each Offering Period; provided, however, that the Purchase Price for</w:t>
      </w:r>
      <w:r>
        <w:rPr>
          <w:rFonts w:ascii="Arial" w:cs="Arial" w:eastAsia="Arial" w:hAnsi="Arial"/>
          <w:sz w:val="18"/>
          <w:szCs w:val="18"/>
          <w:b w:val="1"/>
          <w:bCs w:val="1"/>
          <w:color w:val="auto"/>
        </w:rPr>
        <w:t xml:space="preserve"> </w:t>
      </w:r>
      <w:r>
        <w:rPr>
          <w:rFonts w:ascii="Arial" w:cs="Arial" w:eastAsia="Arial" w:hAnsi="Arial"/>
          <w:sz w:val="18"/>
          <w:szCs w:val="18"/>
          <w:color w:val="auto"/>
        </w:rPr>
        <w:t>each share of Stock purchased on a Purchase Date shall not be less than the lower of:</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85% of the Fair Market Value of such share on the first trading day of such Offering Period;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85% of the Fair Market Value of such share on the Purchase Date.</w:t>
      </w:r>
    </w:p>
    <w:p>
      <w:pPr>
        <w:spacing w:after="0" w:line="221" w:lineRule="exact"/>
        <w:rPr>
          <w:rFonts w:ascii="Arial" w:cs="Arial" w:eastAsia="Arial" w:hAnsi="Arial"/>
          <w:sz w:val="18"/>
          <w:szCs w:val="18"/>
          <w:color w:val="auto"/>
        </w:rPr>
      </w:pPr>
    </w:p>
    <w:p>
      <w:pPr>
        <w:ind w:right="120" w:firstLine="436"/>
        <w:spacing w:after="0" w:line="273" w:lineRule="auto"/>
        <w:tabs>
          <w:tab w:leader="none" w:pos="685"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Number of Shares Purchased</w:t>
      </w:r>
      <w:r>
        <w:rPr>
          <w:rFonts w:ascii="Arial" w:cs="Arial" w:eastAsia="Arial" w:hAnsi="Arial"/>
          <w:sz w:val="17"/>
          <w:szCs w:val="17"/>
          <w:color w:val="auto"/>
        </w:rPr>
        <w:t>. On each Purchase Date, each Participant shall be deemed to have elected to purchase the number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 calculated in accordance with this Subsection (c), unless the Participant has previously elected to withdraw from the Offering Period in accordance with Section 6(a). The amount then in the Participant’s Plan Account shall be divided by the Purchase Price, and the number of shares that results shall be purchased from the Company with the funds in the Participant’s Plan Account. The foregoing number of shares of Stock that may be purchased by a Participant are subject to the limitations set forth in Subsection (d) below and in Section 9. The Administrator may determine with respect to all Participants in an Offering Period that any fractional share, as calculated under this Subsection (c), shall be (i) rounded down to the next lower whole share or (ii) credited as a fractional share.</w:t>
      </w:r>
    </w:p>
    <w:p>
      <w:pPr>
        <w:spacing w:after="0" w:line="171" w:lineRule="exact"/>
        <w:rPr>
          <w:rFonts w:ascii="Arial" w:cs="Arial" w:eastAsia="Arial" w:hAnsi="Arial"/>
          <w:sz w:val="17"/>
          <w:szCs w:val="17"/>
          <w:color w:val="auto"/>
        </w:rPr>
      </w:pPr>
    </w:p>
    <w:p>
      <w:pPr>
        <w:ind w:firstLine="436"/>
        <w:spacing w:after="0" w:line="289" w:lineRule="auto"/>
        <w:tabs>
          <w:tab w:leader="none" w:pos="695"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Available Shares Insufficient</w:t>
      </w:r>
      <w:r>
        <w:rPr>
          <w:rFonts w:ascii="Arial" w:cs="Arial" w:eastAsia="Arial" w:hAnsi="Arial"/>
          <w:sz w:val="16"/>
          <w:szCs w:val="16"/>
          <w:color w:val="auto"/>
        </w:rPr>
        <w:t>. In the event that the aggregate number of shares that all Participants elect to purchase with respect to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particular Purchase Period exceeds (i) the number of shares of Stock that were available under Section 3 above for sale under the Plan on the first day of the applicable Offering Period, or (ii) the number of shares that were available under Section 3 above for sale under the Plan on the applicable Purchase Date, then the number of shares to which each Participant is entitled shall be determined by multiplying the number of shares available for issuance by a fraction. The numerator of such fraction is the number of shares that such Participant has elected to purchase, and the denominator of such fraction is the number of shares that all Participants have elected to purchase. The Company may make a pro rata allocation of the shares available on the first day of an applicable Offering Period pursuant to the preceding sentence, notwithstanding any authorization of additional shares for issuance under the Plan by the Company’s stockholders subsequent to such date. In the event of a pro-rata allocation under this Section (d), the Administrator may determine in its discretion to continue all Offering Periods then in effect or terminate all Offering Periods then in effect pursuant to Section 14.</w:t>
      </w:r>
    </w:p>
    <w:p>
      <w:pPr>
        <w:spacing w:after="0" w:line="166" w:lineRule="exact"/>
        <w:rPr>
          <w:rFonts w:ascii="Arial" w:cs="Arial" w:eastAsia="Arial" w:hAnsi="Arial"/>
          <w:sz w:val="16"/>
          <w:szCs w:val="16"/>
          <w:color w:val="auto"/>
        </w:rPr>
      </w:pPr>
    </w:p>
    <w:p>
      <w:pPr>
        <w:ind w:right="160" w:firstLine="436"/>
        <w:spacing w:after="0" w:line="277" w:lineRule="auto"/>
        <w:tabs>
          <w:tab w:leader="none" w:pos="685"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Issuance of Stock</w:t>
      </w:r>
      <w:r>
        <w:rPr>
          <w:rFonts w:ascii="Arial" w:cs="Arial" w:eastAsia="Arial" w:hAnsi="Arial"/>
          <w:sz w:val="17"/>
          <w:szCs w:val="17"/>
          <w:color w:val="auto"/>
        </w:rPr>
        <w:t>. The shares of Stock purchased by a Participant under the Plan will be registered in the name of such Participant.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(The two preceding sentences shall apply whether or not the Participant is required to pay income tax in the United States.)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44" w:name="page45"/>
    <w:bookmarkEnd w:id="44"/>
    <w:p>
      <w:pPr>
        <w:ind w:right="20" w:firstLine="436"/>
        <w:spacing w:after="0" w:line="266" w:lineRule="auto"/>
        <w:tabs>
          <w:tab w:leader="none" w:pos="66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Withholding</w:t>
      </w:r>
      <w:r>
        <w:rPr>
          <w:rFonts w:ascii="Arial" w:cs="Arial" w:eastAsia="Arial" w:hAnsi="Arial"/>
          <w:sz w:val="18"/>
          <w:szCs w:val="18"/>
          <w:color w:val="auto"/>
        </w:rPr>
        <w:t>. To the extent required by applicable federal, state, local or foreign law, a Participant shall make arrangements satisfactory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for the satisfaction of any withholding tax obligations that arise in connection with the Plan. The Company shall not be required to issue any shares of Stock under the Plan until such obligations, if any, are satisfied.</w:t>
      </w:r>
    </w:p>
    <w:p>
      <w:pPr>
        <w:spacing w:after="0" w:line="175" w:lineRule="exact"/>
        <w:rPr>
          <w:rFonts w:ascii="Arial" w:cs="Arial" w:eastAsia="Arial" w:hAnsi="Arial"/>
          <w:sz w:val="18"/>
          <w:szCs w:val="18"/>
          <w:color w:val="auto"/>
        </w:rPr>
      </w:pPr>
    </w:p>
    <w:p>
      <w:pPr>
        <w:jc w:val="both"/>
        <w:ind w:right="140" w:firstLine="436"/>
        <w:spacing w:after="0" w:line="258"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Unused Cash Balances</w:t>
      </w:r>
      <w:r>
        <w:rPr>
          <w:rFonts w:ascii="Arial" w:cs="Arial" w:eastAsia="Arial" w:hAnsi="Arial"/>
          <w:sz w:val="18"/>
          <w:szCs w:val="18"/>
          <w:color w:val="auto"/>
        </w:rPr>
        <w:t>. Subject to the final sentence of Section 8(c), any amount remaining in a Participant’s Plan Account at the end of a</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Period solely by reason of the inability to purchase a fractional share will be carried over to the next Offering Period or Purchase Period, as applicable. Any amount remaining in the Participant’s Plan Account that represents the Purchase Price for whole shares that could not be purchased by reason of Subsections (c) or (d) above or Section 9(b) shall be refunded to the Participant in cash, without interest (except as otherwise required by the laws of the local jurisdiction).</w:t>
      </w:r>
    </w:p>
    <w:p>
      <w:pPr>
        <w:spacing w:after="0" w:line="183" w:lineRule="exact"/>
        <w:rPr>
          <w:rFonts w:ascii="Arial" w:cs="Arial" w:eastAsia="Arial" w:hAnsi="Arial"/>
          <w:sz w:val="18"/>
          <w:szCs w:val="18"/>
          <w:color w:val="auto"/>
        </w:rPr>
      </w:pPr>
    </w:p>
    <w:p>
      <w:pPr>
        <w:ind w:firstLine="436"/>
        <w:spacing w:after="0" w:line="282"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Stockholder Approval</w:t>
      </w:r>
      <w:r>
        <w:rPr>
          <w:rFonts w:ascii="Arial" w:cs="Arial" w:eastAsia="Arial" w:hAnsi="Arial"/>
          <w:sz w:val="18"/>
          <w:szCs w:val="18"/>
          <w:color w:val="auto"/>
        </w:rPr>
        <w:t>. Any other provision of the Plan notwithstanding, no shares of Stock shall be purchased under the Plan unless and until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stockholders have approved the adoption of the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PLAN LIMITATIONS.</w:t>
      </w:r>
    </w:p>
    <w:p>
      <w:pPr>
        <w:spacing w:after="0" w:line="117" w:lineRule="exact"/>
        <w:rPr>
          <w:sz w:val="20"/>
          <w:szCs w:val="20"/>
          <w:color w:val="auto"/>
        </w:rPr>
      </w:pPr>
    </w:p>
    <w:p>
      <w:pPr>
        <w:jc w:val="both"/>
        <w:ind w:right="120" w:firstLine="436"/>
        <w:spacing w:after="0" w:line="281" w:lineRule="auto"/>
        <w:tabs>
          <w:tab w:leader="none" w:pos="685"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Five Percent Limit</w:t>
      </w:r>
      <w:r>
        <w:rPr>
          <w:rFonts w:ascii="Arial" w:cs="Arial" w:eastAsia="Arial" w:hAnsi="Arial"/>
          <w:sz w:val="17"/>
          <w:szCs w:val="17"/>
          <w:color w:val="auto"/>
        </w:rPr>
        <w:t>. Any other provision of the Plan notwithstanding, no Participant shall be granted a right to purchase Stock under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if, immediately after such right is granted, such Participant would own stock possessing 5% or more of the total combined voting power or value of all classes of stock of the Company or any Related Corporation, applying the stock attribution rules of Code Section 424(d), and including any stock in which the Participant may purchase under outstanding options as stock owned by such Participant.</w:t>
      </w:r>
    </w:p>
    <w:p>
      <w:pPr>
        <w:spacing w:after="0" w:line="164" w:lineRule="exact"/>
        <w:rPr>
          <w:rFonts w:ascii="Arial" w:cs="Arial" w:eastAsia="Arial" w:hAnsi="Arial"/>
          <w:sz w:val="17"/>
          <w:szCs w:val="17"/>
          <w:color w:val="auto"/>
        </w:rPr>
      </w:pPr>
    </w:p>
    <w:p>
      <w:pPr>
        <w:ind w:right="100" w:firstLine="436"/>
        <w:spacing w:after="0" w:line="294"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Dollar Limit</w:t>
      </w:r>
      <w:r>
        <w:rPr>
          <w:rFonts w:ascii="Arial" w:cs="Arial" w:eastAsia="Arial" w:hAnsi="Arial"/>
          <w:sz w:val="16"/>
          <w:szCs w:val="16"/>
          <w:color w:val="auto"/>
        </w:rPr>
        <w:t>. As specified by Code Section 423(b)(8), no Participant shall be entitled to accrue rights to purchase Stock pursuant to any such</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outstanding under the Plan if and to the extent such accrual, when aggregated with (i) rights to purchase Stock accrued under any other right to purchase Stock under the Plan, and (ii) similar rights accrued under other employee stock purchase plans (within the meaning of Code Section 423) of the Company or any Related Corporation, would otherwise permit such Participant to purchase more than $25,000 worth of Stock of the Company or any Related Corporation (determined on the basis of the Fair Market Value per share on the date such rights are granted, and which, with respect to the Plan, will be determined as of the beginning of the respective Offering Period) for each calendar year such rights are at any time outstanding.</w:t>
      </w:r>
    </w:p>
    <w:p>
      <w:pPr>
        <w:spacing w:after="0" w:line="164"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If a Participant is precluded by this Subsection (b) from purchasing additional Stock under the Plan, then his or her employee contributions shall automatically be discontinued and shall automatically resume at the beginning of the next Purchase Period with a scheduled Purchase Date in the next calendar year, provided that he or she is an Eligible Employee at the beginning of such Purchase Period.</w:t>
      </w:r>
    </w:p>
    <w:p>
      <w:pPr>
        <w:spacing w:after="0" w:line="161" w:lineRule="exact"/>
        <w:rPr>
          <w:sz w:val="20"/>
          <w:szCs w:val="20"/>
          <w:color w:val="auto"/>
        </w:rPr>
      </w:pPr>
    </w:p>
    <w:p>
      <w:pPr>
        <w:ind w:right="200" w:firstLine="436"/>
        <w:spacing w:after="0" w:line="261" w:lineRule="auto"/>
        <w:tabs>
          <w:tab w:leader="none" w:pos="685"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Purchase Period Share Purchase Limit</w:t>
      </w:r>
      <w:r>
        <w:rPr>
          <w:rFonts w:ascii="Arial" w:cs="Arial" w:eastAsia="Arial" w:hAnsi="Arial"/>
          <w:sz w:val="18"/>
          <w:szCs w:val="18"/>
          <w:color w:val="auto"/>
        </w:rPr>
        <w:t>. The Administrator may establish one or more limits on the number of shares of Stock that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during any Offering Period and/or Purchase Period, including individual limits and/or aggregate limits. Unless the Administrator provides otherwise with respect to an Offering Period, any other provision of the Plan notwithstanding, no Participant shall purchase more than 3,000 shares of Stock with respect to any Purchase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10. RIGHTS NOT TRANSFERABLE.</w:t>
      </w:r>
    </w:p>
    <w:p>
      <w:pPr>
        <w:spacing w:after="0" w:line="121"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beneficiary designation or the laws of descent and distribution. If a Participant in any manner attempts to transfer, assign or otherwise encumber his or her rights or interest under the Plan, other than by beneficiary designation or the laws of descent and distribution, then such act shall be treated as an election by the Participant to withdraw from the Plan under Section 6(a).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NO RIGHTS AS AN EMPLOYEE.</w:t>
      </w:r>
    </w:p>
    <w:p>
      <w:pPr>
        <w:spacing w:after="0" w:line="12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NO RIGHTS AS A STOCKHOLDER.</w:t>
      </w:r>
    </w:p>
    <w:p>
      <w:pPr>
        <w:spacing w:after="0" w:line="12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A Participant shall have no rights as a stockholder with respect to any shares of Stock that he or she may have a right to purchase under the Plan until such shares have been purchased on the applicable Purchase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SECURITIES LAW REQUIREMENTS.</w:t>
      </w:r>
    </w:p>
    <w:p>
      <w:pPr>
        <w:spacing w:after="0" w:line="12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Shares of Stock shall not be issued, and the Company shall have no liability for failure to issue shares of Stock,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AMENDMENT OR DISCONTINUANCE.</w:t>
      </w:r>
    </w:p>
    <w:p>
      <w:pPr>
        <w:spacing w:after="0" w:line="225" w:lineRule="exact"/>
        <w:rPr>
          <w:sz w:val="20"/>
          <w:szCs w:val="20"/>
          <w:color w:val="auto"/>
        </w:rPr>
      </w:pPr>
    </w:p>
    <w:p>
      <w:pPr>
        <w:ind w:firstLine="436"/>
        <w:spacing w:after="0" w:line="274" w:lineRule="auto"/>
        <w:tabs>
          <w:tab w:leader="none" w:pos="685"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General Rule</w:t>
      </w:r>
      <w:r>
        <w:rPr>
          <w:rFonts w:ascii="Arial" w:cs="Arial" w:eastAsia="Arial" w:hAnsi="Arial"/>
          <w:sz w:val="17"/>
          <w:szCs w:val="17"/>
          <w:color w:val="auto"/>
        </w:rPr>
        <w:t>. The Administrator, in its sole discretion, may amend, suspend, or terminate the Plan, or any part thereof, at any time and for</w:t>
      </w:r>
      <w:r>
        <w:rPr>
          <w:rFonts w:ascii="Arial" w:cs="Arial" w:eastAsia="Arial" w:hAnsi="Arial"/>
          <w:sz w:val="17"/>
          <w:szCs w:val="17"/>
          <w:b w:val="1"/>
          <w:bCs w:val="1"/>
          <w:color w:val="auto"/>
        </w:rPr>
        <w:t xml:space="preserve"> </w:t>
      </w:r>
      <w:r>
        <w:rPr>
          <w:rFonts w:ascii="Arial" w:cs="Arial" w:eastAsia="Arial" w:hAnsi="Arial"/>
          <w:sz w:val="17"/>
          <w:szCs w:val="17"/>
          <w:color w:val="auto"/>
        </w:rPr>
        <w:t>any reason. If the Plan is terminated, the Administrator, in its discretion, may elect to terminate all outstanding Offering Periods either immediately or upon completion of the purchase of shares of Stock on the next Purchase Date, or may elect to permit Offering Periods to expire in accordance with their terms (and subject to any adjustment pursuant to Section 3(c) or (d)). If the Offering Periods are terminated prior to expiration, all amounts then credited to Participants’ accounts which have not been used to purchase shares of Stock will be returned to the Participants (without interest thereon, except as otherwise required by the laws of the local jurisdiction) as soon as administratively practicable.</w:t>
      </w:r>
    </w:p>
    <w:p>
      <w:pPr>
        <w:spacing w:after="0" w:line="173" w:lineRule="exact"/>
        <w:rPr>
          <w:rFonts w:ascii="Arial" w:cs="Arial" w:eastAsia="Arial" w:hAnsi="Arial"/>
          <w:sz w:val="17"/>
          <w:szCs w:val="17"/>
          <w:color w:val="auto"/>
        </w:rPr>
      </w:pPr>
    </w:p>
    <w:p>
      <w:pPr>
        <w:jc w:val="both"/>
        <w:ind w:right="280" w:firstLine="436"/>
        <w:spacing w:after="0" w:line="266"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Administrator’s Discretion</w:t>
      </w:r>
      <w:r>
        <w:rPr>
          <w:rFonts w:ascii="Arial" w:cs="Arial" w:eastAsia="Arial" w:hAnsi="Arial"/>
          <w:sz w:val="18"/>
          <w:szCs w:val="18"/>
          <w:color w:val="auto"/>
        </w:rPr>
        <w:t>. Without stockholder consent and without limiting Subsection (a) above, the Administrator will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change the Offering Periods, limit the frequency and/or number of changes in the amount withheld during an Offering Period, establish the exchange ratio applicable to amounts withheld in a currency other than U.S. dollars, permit payroll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46" w:name="page47"/>
    <w:bookmarkEnd w:id="4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Stock for each Participant properly correspond with amounts withheld from the Participant’s Compensation, amend any outstanding purchase rights or clarify any ambiguities regarding the terms of any Offering Period to enable the purchase rights to qualify under and/or comply with Section 423 of the Code, and establish such other limitations or procedures as it determines in its sole discretion advisable which are consistent with the Plan. The actions of the Administrator pursuant to this paragraph will not be considered to alter or impair the purchase rights granted under an Offering Period as they are to be deemed part of the initial terms of such Offering Period and purchase rights.</w:t>
      </w:r>
    </w:p>
    <w:p>
      <w:pPr>
        <w:spacing w:after="0" w:line="162" w:lineRule="exact"/>
        <w:rPr>
          <w:sz w:val="20"/>
          <w:szCs w:val="20"/>
          <w:color w:val="auto"/>
        </w:rPr>
      </w:pPr>
    </w:p>
    <w:p>
      <w:pPr>
        <w:ind w:right="320" w:firstLine="436"/>
        <w:spacing w:after="0" w:line="266" w:lineRule="auto"/>
        <w:tabs>
          <w:tab w:leader="none" w:pos="68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Accounting Consideration</w:t>
      </w:r>
      <w:r>
        <w:rPr>
          <w:rFonts w:ascii="Arial" w:cs="Arial" w:eastAsia="Arial" w:hAnsi="Arial"/>
          <w:sz w:val="18"/>
          <w:szCs w:val="18"/>
          <w:color w:val="auto"/>
        </w:rPr>
        <w:t>. In the event the Administrator determines that the ongoing operation of the Plan may result in unfavorable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accounting consequences, the Administrator may, in its discretion and, to the extent necessary or desirable, modify, amend or terminate the Plan to reduce or eliminate such accounting consequence including, but not limited to:</w:t>
      </w:r>
    </w:p>
    <w:p>
      <w:pPr>
        <w:spacing w:after="0" w:line="85" w:lineRule="exact"/>
        <w:rPr>
          <w:rFonts w:ascii="Arial" w:cs="Arial" w:eastAsia="Arial" w:hAnsi="Arial"/>
          <w:sz w:val="18"/>
          <w:szCs w:val="18"/>
          <w:color w:val="auto"/>
        </w:rPr>
      </w:pPr>
    </w:p>
    <w:p>
      <w:pPr>
        <w:ind w:left="1420" w:right="220" w:hanging="439"/>
        <w:spacing w:after="0" w:line="342" w:lineRule="auto"/>
        <w:tabs>
          <w:tab w:leader="none" w:pos="14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Amending the Plan to conform with the safe harbor definition under Financial Accounting Standards Board Accounting Standards Codification Topic 718 (or successor provision), including with respect to an Offering Period underway at the time;</w:t>
      </w:r>
    </w:p>
    <w:p>
      <w:pPr>
        <w:spacing w:after="0" w:line="29" w:lineRule="exact"/>
        <w:rPr>
          <w:rFonts w:ascii="Arial" w:cs="Arial" w:eastAsia="Arial" w:hAnsi="Arial"/>
          <w:sz w:val="16"/>
          <w:szCs w:val="16"/>
          <w:color w:val="auto"/>
        </w:rPr>
      </w:pPr>
    </w:p>
    <w:p>
      <w:pPr>
        <w:ind w:left="1420" w:right="300" w:hanging="439"/>
        <w:spacing w:after="0" w:line="277"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Altering the Purchase Price for any Offering Period including an Offering Period underway at the time of the change in Purchase Price;</w:t>
      </w:r>
    </w:p>
    <w:p>
      <w:pPr>
        <w:spacing w:after="0" w:line="75" w:lineRule="exact"/>
        <w:rPr>
          <w:rFonts w:ascii="Arial" w:cs="Arial" w:eastAsia="Arial" w:hAnsi="Arial"/>
          <w:sz w:val="18"/>
          <w:szCs w:val="18"/>
          <w:color w:val="auto"/>
        </w:rPr>
      </w:pPr>
    </w:p>
    <w:p>
      <w:pPr>
        <w:ind w:left="1420" w:right="180" w:hanging="439"/>
        <w:spacing w:after="0" w:line="277"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Shortening any Offering Period (and any Purchase Periods encompassed by such Offering Period) by setting a new Purchase Date, including with respect to an Offering Period underway at the time of the Administrator’s action;</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Reducing the maximum percentage of Compensation a Participant may elect to set aside as payroll deductions;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Reducing the maximum number of shares of Stock a Participant may purchase during any Purchase Period.</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Such modifications or amendments will not require stockholder approval or the consent of any Plan Participants. The actions of the Administrator pursuant to this paragraph will not be considered to alter or impair the purchase rights granted under an Offering Period as they are to be deemed part of the initial terms of such Offering Period and purchase rights.</w:t>
      </w:r>
    </w:p>
    <w:p>
      <w:pPr>
        <w:spacing w:after="0" w:line="180" w:lineRule="exact"/>
        <w:rPr>
          <w:sz w:val="20"/>
          <w:szCs w:val="20"/>
          <w:color w:val="auto"/>
        </w:rPr>
      </w:pPr>
    </w:p>
    <w:p>
      <w:pPr>
        <w:jc w:val="both"/>
        <w:ind w:right="20" w:firstLine="436"/>
        <w:spacing w:after="0" w:line="289" w:lineRule="auto"/>
        <w:tabs>
          <w:tab w:leader="none" w:pos="695"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Stockholder Approval</w:t>
      </w:r>
      <w:r>
        <w:rPr>
          <w:rFonts w:ascii="Arial" w:cs="Arial" w:eastAsia="Arial" w:hAnsi="Arial"/>
          <w:sz w:val="17"/>
          <w:szCs w:val="17"/>
          <w:color w:val="auto"/>
        </w:rPr>
        <w:t>. Except as provided in Section 3, any increase in the aggregate number of shares of Stock that may be issued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shall be subject to the approval of the Company’s stockholders. In addition, any other amendment of the Plan shall be subject to the approval of the Company’s stockholders to the extent required under Section 14(e) or by any applicable law or regulation.</w:t>
      </w:r>
    </w:p>
    <w:p>
      <w:pPr>
        <w:spacing w:after="0" w:line="157" w:lineRule="exact"/>
        <w:rPr>
          <w:rFonts w:ascii="Arial" w:cs="Arial" w:eastAsia="Arial" w:hAnsi="Arial"/>
          <w:sz w:val="17"/>
          <w:szCs w:val="17"/>
          <w:color w:val="auto"/>
        </w:rPr>
      </w:pPr>
    </w:p>
    <w:p>
      <w:pPr>
        <w:ind w:firstLine="436"/>
        <w:spacing w:after="0" w:line="282" w:lineRule="auto"/>
        <w:tabs>
          <w:tab w:leader="none" w:pos="68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Plan Termination</w:t>
      </w:r>
      <w:r>
        <w:rPr>
          <w:rFonts w:ascii="Arial" w:cs="Arial" w:eastAsia="Arial" w:hAnsi="Arial"/>
          <w:sz w:val="18"/>
          <w:szCs w:val="18"/>
          <w:color w:val="auto"/>
        </w:rPr>
        <w:t>. The Plan shall terminate automatically 20 years after its adoption by the Board, unless (i) the Plan is extended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and (ii) the extension is approved within 12 months by a vote of the stockholders of the Company.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7" w:name="page48"/>
    <w:bookmarkEnd w:id="4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15. DEFINITIONS.</w:t>
      </w:r>
    </w:p>
    <w:p>
      <w:pPr>
        <w:spacing w:after="0" w:line="117" w:lineRule="exact"/>
        <w:rPr>
          <w:sz w:val="20"/>
          <w:szCs w:val="20"/>
          <w:color w:val="auto"/>
        </w:rPr>
      </w:pPr>
    </w:p>
    <w:p>
      <w:pPr>
        <w:ind w:left="684" w:hanging="244"/>
        <w:spacing w:after="0"/>
        <w:tabs>
          <w:tab w:leader="none" w:pos="684"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means the Board or any Committee administering the Plan in accordance with Section 2.</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as constituted from time to time.</w:t>
      </w:r>
    </w:p>
    <w:p>
      <w:pPr>
        <w:spacing w:after="0" w:line="225" w:lineRule="exact"/>
        <w:rPr>
          <w:rFonts w:ascii="Arial" w:cs="Arial" w:eastAsia="Arial" w:hAnsi="Arial"/>
          <w:sz w:val="18"/>
          <w:szCs w:val="18"/>
          <w:color w:val="auto"/>
        </w:rPr>
      </w:pPr>
    </w:p>
    <w:p>
      <w:pPr>
        <w:ind w:left="684" w:hanging="244"/>
        <w:spacing w:after="0"/>
        <w:tabs>
          <w:tab w:leader="none" w:pos="684"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4" w:right="220" w:firstLine="436"/>
        <w:spacing w:after="0" w:line="282" w:lineRule="auto"/>
        <w:tabs>
          <w:tab w:leader="none" w:pos="6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of one or more members of the Board, or of other individuals satisfying applicable laws, appointed by the Board to administer the Plan.</w:t>
      </w:r>
    </w:p>
    <w:p>
      <w:pPr>
        <w:spacing w:after="0" w:line="161" w:lineRule="exact"/>
        <w:rPr>
          <w:rFonts w:ascii="Arial" w:cs="Arial" w:eastAsia="Arial" w:hAnsi="Arial"/>
          <w:sz w:val="18"/>
          <w:szCs w:val="18"/>
          <w:color w:val="auto"/>
        </w:rPr>
      </w:pPr>
    </w:p>
    <w:p>
      <w:pPr>
        <w:ind w:left="684" w:hanging="244"/>
        <w:spacing w:after="0"/>
        <w:tabs>
          <w:tab w:leader="none" w:pos="684"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Tarsus Pharmaceuticals, Inc., a Delaware corporation.</w:t>
      </w:r>
    </w:p>
    <w:p>
      <w:pPr>
        <w:spacing w:after="0" w:line="225" w:lineRule="exact"/>
        <w:rPr>
          <w:rFonts w:ascii="Arial" w:cs="Arial" w:eastAsia="Arial" w:hAnsi="Arial"/>
          <w:sz w:val="18"/>
          <w:szCs w:val="18"/>
          <w:color w:val="auto"/>
        </w:rPr>
      </w:pPr>
    </w:p>
    <w:p>
      <w:pPr>
        <w:ind w:left="4" w:firstLine="436"/>
        <w:spacing w:after="0" w:line="273" w:lineRule="auto"/>
        <w:tabs>
          <w:tab w:leader="none" w:pos="669" w:val="left"/>
        </w:tabs>
        <w:numPr>
          <w:ilvl w:val="1"/>
          <w:numId w:val="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Compensation</w:t>
      </w:r>
      <w:r>
        <w:rPr>
          <w:rFonts w:ascii="Arial" w:cs="Arial" w:eastAsia="Arial" w:hAnsi="Arial"/>
          <w:sz w:val="17"/>
          <w:szCs w:val="17"/>
          <w:color w:val="auto"/>
        </w:rPr>
        <w:t xml:space="preserve">” means, unless otherwise determined by the Administrator with respect to an Offering Period, those components of a Participant’s cash compensation (prior to reductions pursuant to Code Sections 125, 132(f) or 401(k)) that are regular and recurring, </w:t>
      </w:r>
      <w:r>
        <w:rPr>
          <w:rFonts w:ascii="Arial" w:cs="Arial" w:eastAsia="Arial" w:hAnsi="Arial"/>
          <w:sz w:val="17"/>
          <w:szCs w:val="17"/>
          <w:i w:val="1"/>
          <w:iCs w:val="1"/>
          <w:color w:val="auto"/>
        </w:rPr>
        <w:t>including</w:t>
      </w:r>
      <w:r>
        <w:rPr>
          <w:rFonts w:ascii="Arial" w:cs="Arial" w:eastAsia="Arial" w:hAnsi="Arial"/>
          <w:sz w:val="17"/>
          <w:szCs w:val="17"/>
          <w:color w:val="auto"/>
        </w:rPr>
        <w:t xml:space="preserve"> cash base salary or base hourly pay </w:t>
      </w:r>
      <w:r>
        <w:rPr>
          <w:rFonts w:ascii="Arial" w:cs="Arial" w:eastAsia="Arial" w:hAnsi="Arial"/>
          <w:sz w:val="17"/>
          <w:szCs w:val="17"/>
          <w:i w:val="1"/>
          <w:iCs w:val="1"/>
          <w:color w:val="auto"/>
        </w:rPr>
        <w:t>but</w:t>
      </w:r>
      <w:r>
        <w:rPr>
          <w:rFonts w:ascii="Arial" w:cs="Arial" w:eastAsia="Arial" w:hAnsi="Arial"/>
          <w:sz w:val="17"/>
          <w:szCs w:val="17"/>
          <w:color w:val="auto"/>
        </w:rPr>
        <w:t xml:space="preserve"> excluding any overtime pay or shift differentials, commissions, annual cash incentive compensation, and annual cash bonuses, and </w:t>
      </w:r>
      <w:r>
        <w:rPr>
          <w:rFonts w:ascii="Arial" w:cs="Arial" w:eastAsia="Arial" w:hAnsi="Arial"/>
          <w:sz w:val="17"/>
          <w:szCs w:val="17"/>
          <w:i w:val="1"/>
          <w:iCs w:val="1"/>
          <w:color w:val="auto"/>
        </w:rPr>
        <w:t>further excluding</w:t>
      </w:r>
      <w:r>
        <w:rPr>
          <w:rFonts w:ascii="Arial" w:cs="Arial" w:eastAsia="Arial" w:hAnsi="Arial"/>
          <w:sz w:val="17"/>
          <w:szCs w:val="17"/>
          <w:color w:val="auto"/>
        </w:rPr>
        <w:t xml:space="preserve"> extraordinary cash items (such as one-time bonuses), as well as all non-cash items, moving or relocation allowances, cost-of-living or tax equalization payments, car allowances, tuition reimbursements, imputed income attributable to cars or life insurance, severance pay, fringe benefits, contributions or benefits received under employee benefit plans, payments for or related to equity compensation, and any similar items. The Administrator shall determine whether a particular item is included in Compensation.</w:t>
      </w:r>
    </w:p>
    <w:p>
      <w:pPr>
        <w:spacing w:after="0" w:line="171" w:lineRule="exact"/>
        <w:rPr>
          <w:rFonts w:ascii="Arial" w:cs="Arial" w:eastAsia="Arial" w:hAnsi="Arial"/>
          <w:sz w:val="17"/>
          <w:szCs w:val="17"/>
          <w:color w:val="auto"/>
        </w:rPr>
      </w:pPr>
    </w:p>
    <w:p>
      <w:pPr>
        <w:ind w:left="704" w:hanging="264"/>
        <w:spacing w:after="0"/>
        <w:tabs>
          <w:tab w:leader="none" w:pos="704"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Reorganization</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424" w:hanging="439"/>
        <w:spacing w:after="0"/>
        <w:tabs>
          <w:tab w:leader="none" w:pos="1424" w:val="left"/>
        </w:tabs>
        <w:numPr>
          <w:ilvl w:val="2"/>
          <w:numId w:val="34"/>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or into another entity or any other corporate reorganization; or</w:t>
      </w:r>
    </w:p>
    <w:p>
      <w:pPr>
        <w:spacing w:after="0" w:line="153" w:lineRule="exact"/>
        <w:rPr>
          <w:rFonts w:ascii="Arial" w:cs="Arial" w:eastAsia="Arial" w:hAnsi="Arial"/>
          <w:sz w:val="16"/>
          <w:szCs w:val="16"/>
          <w:color w:val="auto"/>
        </w:rPr>
      </w:pPr>
    </w:p>
    <w:p>
      <w:pPr>
        <w:ind w:left="1424" w:right="100" w:hanging="439"/>
        <w:spacing w:after="0" w:line="277" w:lineRule="auto"/>
        <w:tabs>
          <w:tab w:leader="none" w:pos="1424"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 or the complete liquidation or dissolution of the Company.</w:t>
      </w:r>
    </w:p>
    <w:p>
      <w:pPr>
        <w:spacing w:after="0" w:line="166" w:lineRule="exact"/>
        <w:rPr>
          <w:rFonts w:ascii="Arial" w:cs="Arial" w:eastAsia="Arial" w:hAnsi="Arial"/>
          <w:sz w:val="18"/>
          <w:szCs w:val="18"/>
          <w:color w:val="auto"/>
        </w:rPr>
      </w:pPr>
    </w:p>
    <w:p>
      <w:pPr>
        <w:ind w:left="4" w:firstLine="436"/>
        <w:spacing w:after="0" w:line="293" w:lineRule="auto"/>
        <w:tabs>
          <w:tab w:leader="none" w:pos="699" w:val="left"/>
        </w:tabs>
        <w:numPr>
          <w:ilvl w:val="1"/>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Employee</w:t>
      </w:r>
      <w:r>
        <w:rPr>
          <w:rFonts w:ascii="Arial" w:cs="Arial" w:eastAsia="Arial" w:hAnsi="Arial"/>
          <w:sz w:val="16"/>
          <w:szCs w:val="16"/>
          <w:color w:val="auto"/>
        </w:rPr>
        <w:t>” means a common law employee of a Participating Company, provided, however, that the Administrator may exclude one or more of the following categories of employees (where exclusion of such employees is permitted by applicable law) from any Offering Period:</w:t>
      </w:r>
    </w:p>
    <w:p>
      <w:pPr>
        <w:spacing w:after="0" w:line="1" w:lineRule="exact"/>
        <w:rPr>
          <w:rFonts w:ascii="Arial" w:cs="Arial" w:eastAsia="Arial" w:hAnsi="Arial"/>
          <w:sz w:val="16"/>
          <w:szCs w:val="16"/>
          <w:color w:val="auto"/>
        </w:rPr>
      </w:pPr>
    </w:p>
    <w:p>
      <w:pPr>
        <w:ind w:left="4" w:right="100" w:hanging="4"/>
        <w:spacing w:after="0" w:line="267" w:lineRule="auto"/>
        <w:tabs>
          <w:tab w:leader="none" w:pos="219" w:val="left"/>
        </w:tabs>
        <w:numPr>
          <w:ilvl w:val="0"/>
          <w:numId w:val="35"/>
        </w:numPr>
        <w:rPr>
          <w:rFonts w:ascii="Arial" w:cs="Arial" w:eastAsia="Arial" w:hAnsi="Arial"/>
          <w:sz w:val="17"/>
          <w:szCs w:val="17"/>
          <w:color w:val="auto"/>
        </w:rPr>
      </w:pPr>
      <w:r>
        <w:rPr>
          <w:rFonts w:ascii="Arial" w:cs="Arial" w:eastAsia="Arial" w:hAnsi="Arial"/>
          <w:sz w:val="17"/>
          <w:szCs w:val="17"/>
          <w:color w:val="auto"/>
        </w:rPr>
        <w:t>employees who have been employed less than two years (or any shorter period of time established for an Offering Period), (ii) employees who are customarily employed twenty (20) or less hours per week (or any lesser number of hours per week established for an Offering Period), (iii) employees who are customarily employed for five (5) months or less in a calendar year (or any lesser number of months in a calendar year established for an Offering Period), (iv) “highly compensated employees” (within the meaning of Code Section 414(q)) or (v) “highly compensated employees” (within the meaning of Code Section 414(q)) with compensation above a certain level and/or who are subject to the disclosure requirements of Section 16(a) of the Exchange Act. In addition, an individual shall not be considered an Eligible Employee if his or her participation in the Plan is prohibited by the law of any country that has jurisdiction over him or her or if complying with the laws of the applicable foreign jurisdiction would cause the Plan or an Offering Period to violate the requirements of Code Section 423. With respect to a Base Offering Period, any criteria used to determine Eligible Employees shall be determined in a manner consistent with Code Section 423. In the case of an Offering Period that is not intended to qualify under Code Section 423, the Administrator may exclude any individual(s) from participation if the Administrator determines the participation of such individual(s) is not advisable or practicable.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0" w:right="459" w:bottom="1440" w:gutter="0" w:footer="0" w:header="0"/>
        </w:sectPr>
      </w:pPr>
    </w:p>
    <w:bookmarkStart w:id="48" w:name="page49"/>
    <w:bookmarkEnd w:id="48"/>
    <w:p>
      <w:pPr>
        <w:ind w:left="-80" w:right="40" w:firstLine="436"/>
        <w:spacing w:after="0" w:line="266" w:lineRule="auto"/>
        <w:tabs>
          <w:tab w:leader="none" w:pos="575"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Enrollment Period</w:t>
      </w:r>
      <w:r>
        <w:rPr>
          <w:rFonts w:ascii="Arial" w:cs="Arial" w:eastAsia="Arial" w:hAnsi="Arial"/>
          <w:sz w:val="18"/>
          <w:szCs w:val="18"/>
          <w:color w:val="auto"/>
        </w:rPr>
        <w:t>” means a period prior to the start of an Offering Period during which Eligible Employees must submit the required enrollment forms to participate in such Offering Period, which period shall end at least five (5) business days (or such other date as may be specified in advance by the Administrator) prior to the start of the Offering Period.</w:t>
      </w:r>
    </w:p>
    <w:p>
      <w:pPr>
        <w:spacing w:after="0" w:line="175" w:lineRule="exact"/>
        <w:rPr>
          <w:rFonts w:ascii="Arial" w:cs="Arial" w:eastAsia="Arial" w:hAnsi="Arial"/>
          <w:sz w:val="18"/>
          <w:szCs w:val="18"/>
          <w:color w:val="auto"/>
        </w:rPr>
      </w:pPr>
    </w:p>
    <w:p>
      <w:pPr>
        <w:ind w:left="580" w:hanging="224"/>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80" w:right="20" w:firstLine="436"/>
        <w:spacing w:after="0" w:line="261" w:lineRule="auto"/>
        <w:tabs>
          <w:tab w:leader="none" w:pos="6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the price at which Stock was last sold in the principal U.S. market for the Stock on the applicable date or, if the applicable date was not a trading day, on the last trading day prior to the applicable date. If Stock is no longer traded on a public U.S. securities market, the Fair Market Value shall be determined by the Administrator in good faith on such basis as it deems appropriate. The Administrator’s determination shall be conclusive and binding on all persons.</w:t>
      </w:r>
    </w:p>
    <w:p>
      <w:pPr>
        <w:spacing w:after="0" w:line="179" w:lineRule="exact"/>
        <w:rPr>
          <w:rFonts w:ascii="Arial" w:cs="Arial" w:eastAsia="Arial" w:hAnsi="Arial"/>
          <w:sz w:val="18"/>
          <w:szCs w:val="18"/>
          <w:color w:val="auto"/>
        </w:rPr>
      </w:pPr>
    </w:p>
    <w:p>
      <w:pPr>
        <w:ind w:left="-80" w:right="60" w:firstLine="436"/>
        <w:spacing w:after="0" w:line="282" w:lineRule="auto"/>
        <w:tabs>
          <w:tab w:leader="none" w:pos="5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IPO Date</w:t>
      </w:r>
      <w:r>
        <w:rPr>
          <w:rFonts w:ascii="Arial" w:cs="Arial" w:eastAsia="Arial" w:hAnsi="Arial"/>
          <w:sz w:val="18"/>
          <w:szCs w:val="18"/>
          <w:color w:val="auto"/>
        </w:rPr>
        <w:t>” means the effective date of the registration statement filed by the Company with the Securities and Exchange Commission for its initial offering of Stock to the public.</w:t>
      </w:r>
    </w:p>
    <w:p>
      <w:pPr>
        <w:spacing w:after="0" w:line="161" w:lineRule="exact"/>
        <w:rPr>
          <w:rFonts w:ascii="Arial" w:cs="Arial" w:eastAsia="Arial" w:hAnsi="Arial"/>
          <w:sz w:val="18"/>
          <w:szCs w:val="18"/>
          <w:color w:val="auto"/>
        </w:rPr>
      </w:pPr>
    </w:p>
    <w:p>
      <w:pPr>
        <w:ind w:left="-80" w:right="380" w:firstLine="436"/>
        <w:spacing w:after="0" w:line="282" w:lineRule="auto"/>
        <w:tabs>
          <w:tab w:leader="none" w:pos="6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Period</w:t>
      </w:r>
      <w:r>
        <w:rPr>
          <w:rFonts w:ascii="Arial" w:cs="Arial" w:eastAsia="Arial" w:hAnsi="Arial"/>
          <w:sz w:val="18"/>
          <w:szCs w:val="18"/>
          <w:color w:val="auto"/>
        </w:rPr>
        <w:t>” means any period, including as the context requires the Base Offering Periods and Additional Offering Periods, with respect to which the right to purchase Stock may be granted under the Plan, as determined pursuant to Section 4(a).</w:t>
      </w:r>
    </w:p>
    <w:p>
      <w:pPr>
        <w:spacing w:after="0" w:line="161" w:lineRule="exact"/>
        <w:rPr>
          <w:rFonts w:ascii="Arial" w:cs="Arial" w:eastAsia="Arial" w:hAnsi="Arial"/>
          <w:sz w:val="18"/>
          <w:szCs w:val="18"/>
          <w:color w:val="auto"/>
        </w:rPr>
      </w:pPr>
    </w:p>
    <w:p>
      <w:pPr>
        <w:ind w:left="620" w:hanging="264"/>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 Eligible Employee who participates in the Plan or any Sub-Plan, as provided in Section 4.</w:t>
      </w:r>
    </w:p>
    <w:p>
      <w:pPr>
        <w:spacing w:after="0" w:line="225" w:lineRule="exact"/>
        <w:rPr>
          <w:rFonts w:ascii="Arial" w:cs="Arial" w:eastAsia="Arial" w:hAnsi="Arial"/>
          <w:sz w:val="18"/>
          <w:szCs w:val="18"/>
          <w:color w:val="auto"/>
        </w:rPr>
      </w:pPr>
    </w:p>
    <w:p>
      <w:pPr>
        <w:ind w:left="-80" w:right="860" w:firstLine="436"/>
        <w:spacing w:after="0" w:line="282" w:lineRule="auto"/>
        <w:tabs>
          <w:tab w:leader="none" w:pos="6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Company</w:t>
      </w:r>
      <w:r>
        <w:rPr>
          <w:rFonts w:ascii="Arial" w:cs="Arial" w:eastAsia="Arial" w:hAnsi="Arial"/>
          <w:sz w:val="18"/>
          <w:szCs w:val="18"/>
          <w:color w:val="auto"/>
        </w:rPr>
        <w:t>” means (i) the Company and (ii) each present or future Subsidiary designated by the Administrator as a Participating Company.</w:t>
      </w:r>
    </w:p>
    <w:p>
      <w:pPr>
        <w:spacing w:after="0" w:line="161" w:lineRule="exact"/>
        <w:rPr>
          <w:rFonts w:ascii="Arial" w:cs="Arial" w:eastAsia="Arial" w:hAnsi="Arial"/>
          <w:sz w:val="18"/>
          <w:szCs w:val="18"/>
          <w:color w:val="auto"/>
        </w:rPr>
      </w:pPr>
    </w:p>
    <w:p>
      <w:pPr>
        <w:ind w:left="620" w:hanging="264"/>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Tarsus Pharmaceuticals, Inc. 2020 Employee Stock Purchase Plan, as it may be amended from time to time.</w:t>
      </w:r>
    </w:p>
    <w:p>
      <w:pPr>
        <w:spacing w:after="0" w:line="225" w:lineRule="exact"/>
        <w:rPr>
          <w:rFonts w:ascii="Arial" w:cs="Arial" w:eastAsia="Arial" w:hAnsi="Arial"/>
          <w:sz w:val="18"/>
          <w:szCs w:val="18"/>
          <w:color w:val="auto"/>
        </w:rPr>
      </w:pPr>
    </w:p>
    <w:p>
      <w:pPr>
        <w:ind w:left="620" w:hanging="264"/>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 Account</w:t>
      </w:r>
      <w:r>
        <w:rPr>
          <w:rFonts w:ascii="Arial" w:cs="Arial" w:eastAsia="Arial" w:hAnsi="Arial"/>
          <w:sz w:val="18"/>
          <w:szCs w:val="18"/>
          <w:color w:val="auto"/>
        </w:rPr>
        <w:t>” means the account established for each Participant pursuant to Section 8(a).</w:t>
      </w:r>
    </w:p>
    <w:p>
      <w:pPr>
        <w:spacing w:after="0" w:line="225" w:lineRule="exact"/>
        <w:rPr>
          <w:rFonts w:ascii="Arial" w:cs="Arial" w:eastAsia="Arial" w:hAnsi="Arial"/>
          <w:sz w:val="18"/>
          <w:szCs w:val="18"/>
          <w:color w:val="auto"/>
        </w:rPr>
      </w:pPr>
    </w:p>
    <w:p>
      <w:pPr>
        <w:ind w:left="580" w:hanging="224"/>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Date</w:t>
      </w:r>
      <w:r>
        <w:rPr>
          <w:rFonts w:ascii="Arial" w:cs="Arial" w:eastAsia="Arial" w:hAnsi="Arial"/>
          <w:sz w:val="18"/>
          <w:szCs w:val="18"/>
          <w:color w:val="auto"/>
        </w:rPr>
        <w:t>” means the last trading day of a Purchase Period.</w:t>
      </w:r>
    </w:p>
    <w:p>
      <w:pPr>
        <w:spacing w:after="0" w:line="225" w:lineRule="exact"/>
        <w:rPr>
          <w:rFonts w:ascii="Arial" w:cs="Arial" w:eastAsia="Arial" w:hAnsi="Arial"/>
          <w:sz w:val="18"/>
          <w:szCs w:val="18"/>
          <w:color w:val="auto"/>
        </w:rPr>
      </w:pPr>
    </w:p>
    <w:p>
      <w:pPr>
        <w:ind w:left="-80" w:firstLine="436"/>
        <w:spacing w:after="0" w:line="266" w:lineRule="auto"/>
        <w:tabs>
          <w:tab w:leader="none" w:pos="5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Period</w:t>
      </w:r>
      <w:r>
        <w:rPr>
          <w:rFonts w:ascii="Arial" w:cs="Arial" w:eastAsia="Arial" w:hAnsi="Arial"/>
          <w:sz w:val="18"/>
          <w:szCs w:val="18"/>
          <w:color w:val="auto"/>
        </w:rPr>
        <w:t>” means a period within an Offering Period (which for an Offering Period with only a single Purchase Period would be coterminous with the Offering Period) during which contributions may be made toward the purchase of Stock under the Plan, as determined pursuant to Section 4(a).</w:t>
      </w:r>
    </w:p>
    <w:p>
      <w:pPr>
        <w:spacing w:after="0" w:line="175" w:lineRule="exact"/>
        <w:rPr>
          <w:rFonts w:ascii="Arial" w:cs="Arial" w:eastAsia="Arial" w:hAnsi="Arial"/>
          <w:sz w:val="18"/>
          <w:szCs w:val="18"/>
          <w:color w:val="auto"/>
        </w:rPr>
      </w:pPr>
    </w:p>
    <w:p>
      <w:pPr>
        <w:ind w:left="580" w:hanging="224"/>
        <w:spacing w:after="0"/>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 Price</w:t>
      </w:r>
      <w:r>
        <w:rPr>
          <w:rFonts w:ascii="Arial" w:cs="Arial" w:eastAsia="Arial" w:hAnsi="Arial"/>
          <w:sz w:val="17"/>
          <w:szCs w:val="17"/>
          <w:color w:val="auto"/>
        </w:rPr>
        <w:t>” means the price at which Participants may purchase Stock under the Plan, as determined pursuant to Section 8(b).</w:t>
      </w:r>
    </w:p>
    <w:p>
      <w:pPr>
        <w:spacing w:after="0" w:line="236" w:lineRule="exact"/>
        <w:rPr>
          <w:rFonts w:ascii="Arial" w:cs="Arial" w:eastAsia="Arial" w:hAnsi="Arial"/>
          <w:sz w:val="17"/>
          <w:szCs w:val="17"/>
          <w:color w:val="auto"/>
        </w:rPr>
      </w:pPr>
    </w:p>
    <w:p>
      <w:pPr>
        <w:ind w:left="620" w:hanging="264"/>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Corporation</w:t>
      </w:r>
      <w:r>
        <w:rPr>
          <w:rFonts w:ascii="Arial" w:cs="Arial" w:eastAsia="Arial" w:hAnsi="Arial"/>
          <w:sz w:val="18"/>
          <w:szCs w:val="18"/>
          <w:color w:val="auto"/>
        </w:rPr>
        <w:t>” means any “parent corporation” of the Company as defined in Code Section 424(e) or any Subsidiary.</w:t>
      </w:r>
    </w:p>
    <w:p>
      <w:pPr>
        <w:spacing w:after="0" w:line="225" w:lineRule="exact"/>
        <w:rPr>
          <w:rFonts w:ascii="Arial" w:cs="Arial" w:eastAsia="Arial" w:hAnsi="Arial"/>
          <w:sz w:val="18"/>
          <w:szCs w:val="18"/>
          <w:color w:val="auto"/>
        </w:rPr>
      </w:pPr>
    </w:p>
    <w:p>
      <w:pPr>
        <w:ind w:left="620" w:hanging="264"/>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80" w:right="20" w:firstLine="436"/>
        <w:spacing w:after="0" w:line="26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0840"/>
      </w:cols>
      <w:pgMar w:left="52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lowerLetter"/>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lvl w:ilvl="1">
      <w:lvlJc w:val="left"/>
      <w:lvlText w:val="(%2)"/>
      <w:numFmt w:val="lowerRoman"/>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lowerLetter"/>
      <w:start w:val="4"/>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2"/>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1)"/>
      <w:numFmt w:val="lowerLetter"/>
      <w:start w:val="2"/>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lowerLetter"/>
      <w:start w:val="6"/>
    </w:lvl>
  </w:abstractNum>
  <w:abstractNum w:abstractNumId="13">
    <w:nsid w:val="79838CB2"/>
    <w:multiLevelType w:val="hybridMultilevel"/>
    <w:lvl w:ilvl="0">
      <w:lvlJc w:val="left"/>
      <w:lvlText w:val="(%1)"/>
      <w:numFmt w:val="lowerLetter"/>
      <w:start w:val="3"/>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3"/>
    </w:lvl>
  </w:abstractNum>
  <w:abstractNum w:abstractNumId="18">
    <w:nsid w:val="71F32454"/>
    <w:multiLevelType w:val="hybridMultilevel"/>
    <w:lvl w:ilvl="0">
      <w:lvlJc w:val="left"/>
      <w:lvlText w:val="(%1)"/>
      <w:numFmt w:val="lowerLetter"/>
      <w:start w:val="1"/>
    </w:lvl>
    <w:lvl w:ilvl="1">
      <w:lvlJc w:val="left"/>
      <w:lvlText w:val="(%2)"/>
      <w:numFmt w:val="lowerRoman"/>
      <w:start w:val="1"/>
    </w:lvl>
  </w:abstractNum>
  <w:abstractNum w:abstractNumId="19">
    <w:nsid w:val="2CA88611"/>
    <w:multiLevelType w:val="hybridMultilevel"/>
    <w:lvl w:ilvl="0">
      <w:lvlJc w:val="left"/>
      <w:lvlText w:val="%1"/>
      <w:numFmt w:val="lowerLetter"/>
      <w:start w:val="1"/>
    </w:lvl>
    <w:lvl w:ilvl="1">
      <w:lvlJc w:val="left"/>
      <w:lvlText w:val="(%2)"/>
      <w:numFmt w:val="lowerRoman"/>
      <w:start w:val="3"/>
    </w:lvl>
  </w:abstractNum>
  <w:abstractNum w:abstractNumId="20">
    <w:nsid w:val="836C40E"/>
    <w:multiLevelType w:val="hybridMultilevel"/>
    <w:lvl w:ilvl="0">
      <w:lvlJc w:val="left"/>
      <w:lvlText w:val="(%1)"/>
      <w:numFmt w:val="lowerLetter"/>
      <w:start w:val="2"/>
    </w:lvl>
    <w:lvl w:ilvl="1">
      <w:lvlJc w:val="left"/>
      <w:lvlText w:val="(%2)"/>
      <w:numFmt w:val="lowerRoman"/>
      <w:start w:val="1"/>
    </w:lvl>
  </w:abstractNum>
  <w:abstractNum w:abstractNumId="21">
    <w:nsid w:val="2901D82"/>
    <w:multiLevelType w:val="hybridMultilevel"/>
    <w:lvl w:ilvl="0">
      <w:lvlJc w:val="left"/>
      <w:lvlText w:val="(%1)"/>
      <w:numFmt w:val="lowerLetter"/>
      <w:start w:val="4"/>
    </w:lvl>
    <w:lvl w:ilvl="1">
      <w:lvlJc w:val="left"/>
      <w:lvlText w:val="(%2)"/>
      <w:numFmt w:val="lowerRoman"/>
      <w:start w:val="1"/>
    </w:lvl>
  </w:abstractNum>
  <w:abstractNum w:abstractNumId="22">
    <w:nsid w:val="3A95F874"/>
    <w:multiLevelType w:val="hybridMultilevel"/>
    <w:lvl w:ilvl="0">
      <w:lvlJc w:val="left"/>
      <w:lvlText w:val="(%1)"/>
      <w:numFmt w:val="lowerRoman"/>
      <w:start w:val="2"/>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1"/>
    </w:lvl>
    <w:lvl w:ilvl="1">
      <w:lvlJc w:val="left"/>
      <w:lvlText w:val="(%2)"/>
      <w:numFmt w:val="lowerRoman"/>
      <w:start w:val="1"/>
    </w:lvl>
  </w:abstractNum>
  <w:abstractNum w:abstractNumId="27">
    <w:nsid w:val="6CEAF087"/>
    <w:multiLevelType w:val="hybridMultilevel"/>
    <w:lvl w:ilvl="0">
      <w:lvlJc w:val="left"/>
      <w:lvlText w:val="(%1)"/>
      <w:numFmt w:val="lowerLetter"/>
      <w:start w:val="6"/>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3"/>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3"/>
    </w:lvl>
    <w:lvl w:ilvl="1">
      <w:lvlJc w:val="left"/>
      <w:lvlText w:val="(%2)"/>
      <w:numFmt w:val="lowerRoman"/>
      <w:start w:val="1"/>
    </w:lvl>
  </w:abstractNum>
  <w:abstractNum w:abstractNumId="32">
    <w:nsid w:val="419AC241"/>
    <w:multiLevelType w:val="hybridMultilevel"/>
    <w:lvl w:ilvl="0">
      <w:lvlJc w:val="left"/>
      <w:lvlText w:val="(%1)"/>
      <w:numFmt w:val="lowerLetter"/>
      <w:start w:val="4"/>
    </w:lvl>
  </w:abstractNum>
  <w:abstractNum w:abstractNumId="33">
    <w:nsid w:val="5577F8E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4">
    <w:nsid w:val="440BADFC"/>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5">
    <w:nsid w:val="5072367"/>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jpeg"/><Relationship Id="rId37" Type="http://schemas.openxmlformats.org/officeDocument/2006/relationships/image" Target="media/image22.jpe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21" Type="http://schemas.openxmlformats.org/officeDocument/2006/relationships/hyperlink" Target="http://www.sec.gov/Archives/edgar/data/1819790/000119312520271157/d30607d424b4.htm" TargetMode="External"/><Relationship Id="rId22" Type="http://schemas.openxmlformats.org/officeDocument/2006/relationships/hyperlink" Target="http://www.sec.gov/Archives/edgar/data/1819790/000119312520267327/d30607ds1a.htm" TargetMode="External"/><Relationship Id="rId23" Type="http://schemas.openxmlformats.org/officeDocument/2006/relationships/hyperlink" Target="http://www.sec.gov/Archives/edgar/data/1819790/000119312520254758/d30607ds1.htm" TargetMode="External"/><Relationship Id="rId24" Type="http://schemas.openxmlformats.org/officeDocument/2006/relationships/hyperlink" Target="http://www.sec.gov/Archives/edgar/data/1819790/000119312520267409/d68419d8a12b.htm" TargetMode="External"/><Relationship Id="rId27" Type="http://schemas.openxmlformats.org/officeDocument/2006/relationships/hyperlink" Target="http://www.sec.gov/Archives/edgar/data/1819790/000119312520267327/d30607dex41.htm" TargetMode="External"/><Relationship Id="rId28" Type="http://schemas.openxmlformats.org/officeDocument/2006/relationships/hyperlink" Target="http://www.sec.gov/Archives/edgar/data/1819790/000119312520272900/d11649dex31.htm" TargetMode="External"/><Relationship Id="rId29" Type="http://schemas.openxmlformats.org/officeDocument/2006/relationships/hyperlink" Target="http://www.sec.gov/Archives/edgar/data/1819790/000119312520272900/d11649dex32.htm" TargetMode="External"/><Relationship Id="rId30" Type="http://schemas.openxmlformats.org/officeDocument/2006/relationships/hyperlink" Target="http://www.sec.gov/Archives/edgar/data/1819790/000119312520254758/d3060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2020-10-20T16:12:02Z</dcterms:created>
  <dcterms:modified xsi:type="dcterms:W3CDTF">2020-10-20T16:12:02Z</dcterms:modified>
</cp:coreProperties>
</file>