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File No. 333-277523</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February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160020</wp:posOffset>
            </wp:positionV>
            <wp:extent cx="2057400" cy="140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7400" cy="1405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2,808,988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Tarsus Pharmaceuticals, Inc. is offering 2,808,988 shares of its common stock.</w:t>
      </w:r>
    </w:p>
    <w:p>
      <w:pPr>
        <w:spacing w:after="0" w:line="225" w:lineRule="exact"/>
        <w:rPr>
          <w:sz w:val="24"/>
          <w:szCs w:val="24"/>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and trades on the Nasdaq Global Select Market under the symbol “TARS.” On March 12, 2025, the last reported sale price of our common stock on the Nasdaq Global Select Market was $47.10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risks that are described in the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section beginning on page S-7 of this prospectus supplement, as well as in the accompanying prospectus and the documents incorporated by reference into this prospectus supplement and the accompanying prospectus.</w:t>
      </w:r>
    </w:p>
    <w:p>
      <w:pPr>
        <w:spacing w:after="0" w:line="171" w:lineRule="exact"/>
        <w:rPr>
          <w:sz w:val="24"/>
          <w:szCs w:val="24"/>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3"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Per</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124,999,966.00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Underwriting discounts and commissions </w:t>
            </w:r>
            <w:r>
              <w:rPr>
                <w:rFonts w:ascii="Times New Roman" w:cs="Times New Roman" w:eastAsia="Times New Roman" w:hAnsi="Times New Roman"/>
                <w:sz w:val="25"/>
                <w:szCs w:val="25"/>
                <w:color w:val="auto"/>
                <w:vertAlign w:val="superscript"/>
              </w:rPr>
              <w:t>(1)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7,499,997.96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Tarsus Pharmaceuticals, Inc.</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117,499,968.04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section titled “Underwriting” for a description of the compensation payable to the underwriters.</w:t>
      </w:r>
    </w:p>
    <w:p>
      <w:pPr>
        <w:spacing w:after="0" w:line="225" w:lineRule="exact"/>
        <w:rPr>
          <w:sz w:val="24"/>
          <w:szCs w:val="24"/>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 421,348 additional shares of our common stock at the public offering price less the underwriting discounts and commissions.</w:t>
      </w:r>
    </w:p>
    <w:p>
      <w:pPr>
        <w:spacing w:after="0" w:line="16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expect to deliver the shares against payment in New York, New York on March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3000"/>
        <w:spacing w:after="0"/>
        <w:rPr>
          <w:sz w:val="20"/>
          <w:szCs w:val="20"/>
          <w:color w:val="auto"/>
        </w:rPr>
      </w:pPr>
      <w:r>
        <w:rPr>
          <w:rFonts w:ascii="Times New Roman" w:cs="Times New Roman" w:eastAsia="Times New Roman" w:hAnsi="Times New Roman"/>
          <w:sz w:val="22"/>
          <w:szCs w:val="22"/>
          <w:b w:val="1"/>
          <w:bCs w:val="1"/>
          <w:color w:val="auto"/>
        </w:rPr>
        <w:t>BofA Securities</w:t>
      </w:r>
    </w:p>
    <w:p>
      <w:pPr>
        <w:spacing w:after="0" w:line="18" w:lineRule="exact"/>
        <w:rPr>
          <w:sz w:val="24"/>
          <w:szCs w:val="24"/>
          <w:color w:val="auto"/>
        </w:rPr>
      </w:pPr>
    </w:p>
    <w:p>
      <w:pPr>
        <w:jc w:val="center"/>
        <w:ind w:right="3000"/>
        <w:spacing w:after="0"/>
        <w:rPr>
          <w:sz w:val="20"/>
          <w:szCs w:val="20"/>
          <w:color w:val="auto"/>
        </w:rPr>
      </w:pPr>
      <w:r>
        <w:rPr>
          <w:rFonts w:ascii="Times New Roman" w:cs="Times New Roman" w:eastAsia="Times New Roman" w:hAnsi="Times New Roman"/>
          <w:sz w:val="21"/>
          <w:szCs w:val="21"/>
          <w:b w:val="1"/>
          <w:bCs w:val="1"/>
          <w:color w:val="auto"/>
        </w:rPr>
        <w:t>Oppenheimer &amp; Co.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Barclays</w:t>
      </w:r>
    </w:p>
    <w:p>
      <w:pPr>
        <w:spacing w:after="0" w:line="469" w:lineRule="exact"/>
        <w:rPr>
          <w:sz w:val="24"/>
          <w:szCs w:val="24"/>
          <w:color w:val="auto"/>
        </w:rPr>
      </w:pPr>
    </w:p>
    <w:p>
      <w:pPr>
        <w:sectPr>
          <w:pgSz w:w="11900" w:h="16838" w:orient="portrait"/>
          <w:cols w:equalWidth="0" w:num="3">
            <w:col w:w="4020" w:space="720"/>
            <w:col w:w="4880" w:space="720"/>
            <w:col w:w="800"/>
          </w:cols>
          <w:pgMar w:left="320" w:top="225"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Prospectus Supplement dated March 12, 2025.</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40" w:type="dxa"/>
            <w:vAlign w:val="bottom"/>
            <w:gridSpan w:val="3"/>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40" w:type="dxa"/>
            <w:vAlign w:val="bottom"/>
            <w:gridSpan w:val="3"/>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5"/>
            <w:vMerge w:val="restart"/>
          </w:tcPr>
          <w:p>
            <w:pPr>
              <w:spacing w:after="0"/>
              <w:rPr>
                <w:sz w:val="24"/>
                <w:szCs w:val="24"/>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3440" w:type="dxa"/>
            <w:vAlign w:val="bottom"/>
            <w:tcBorders>
              <w:bottom w:val="single" w:sz="8" w:color="0000EE"/>
            </w:tcBorders>
            <w:gridSpan w:val="18"/>
            <w:vMerge w:val="continue"/>
          </w:tcPr>
          <w:p>
            <w:pPr>
              <w:spacing w:after="0"/>
              <w:rPr>
                <w:sz w:val="13"/>
                <w:szCs w:val="13"/>
                <w:color w:val="auto"/>
              </w:rPr>
            </w:pPr>
          </w:p>
        </w:tc>
        <w:tc>
          <w:tcPr>
            <w:tcW w:w="7120" w:type="dxa"/>
            <w:vAlign w:val="bottom"/>
            <w:gridSpan w:val="5"/>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5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PROSPECTUS SUPPLEMENT SUMMARY</w:t>
            </w: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3"/>
          </w:tcPr>
          <w:p>
            <w:pPr>
              <w:spacing w:after="0"/>
              <w:rPr>
                <w:sz w:val="17"/>
                <w:szCs w:val="17"/>
                <w:color w:val="auto"/>
              </w:rPr>
            </w:pPr>
          </w:p>
        </w:tc>
        <w:tc>
          <w:tcPr>
            <w:tcW w:w="728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4"/>
          </w:tcPr>
          <w:p>
            <w:pPr>
              <w:spacing w:after="0"/>
              <w:rPr>
                <w:sz w:val="17"/>
                <w:szCs w:val="17"/>
                <w:color w:val="auto"/>
              </w:rPr>
            </w:pPr>
          </w:p>
        </w:tc>
        <w:tc>
          <w:tcPr>
            <w:tcW w:w="524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98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9700" w:type="dxa"/>
            <w:vAlign w:val="bottom"/>
            <w:gridSpan w:val="2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AND ESTATE TAX CONSEQUENCES FOR NON-U.S. HOLDERS OF OUR COMMON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014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42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S-28</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S-28</w:t>
            </w:r>
          </w:p>
        </w:tc>
        <w:tc>
          <w:tcPr>
            <w:tcW w:w="0" w:type="dxa"/>
            <w:vAlign w:val="bottom"/>
          </w:tcPr>
          <w:p>
            <w:pPr>
              <w:spacing w:after="0"/>
              <w:rPr>
                <w:sz w:val="1"/>
                <w:szCs w:val="1"/>
                <w:color w:val="auto"/>
              </w:rPr>
            </w:pPr>
          </w:p>
        </w:tc>
      </w:tr>
      <w:tr>
        <w:trPr>
          <w:trHeight w:val="196"/>
        </w:trPr>
        <w:tc>
          <w:tcPr>
            <w:tcW w:w="38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676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S-29</w:t>
            </w:r>
          </w:p>
        </w:tc>
        <w:tc>
          <w:tcPr>
            <w:tcW w:w="0" w:type="dxa"/>
            <w:vAlign w:val="bottom"/>
          </w:tcPr>
          <w:p>
            <w:pPr>
              <w:spacing w:after="0"/>
              <w:rPr>
                <w:sz w:val="1"/>
                <w:szCs w:val="1"/>
                <w:color w:val="auto"/>
              </w:rPr>
            </w:pPr>
          </w:p>
        </w:tc>
      </w:tr>
      <w:tr>
        <w:trPr>
          <w:trHeight w:val="453"/>
        </w:trPr>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40" w:type="dxa"/>
            <w:vAlign w:val="bottom"/>
            <w:gridSpan w:val="3"/>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6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5"/>
        </w:trPr>
        <w:tc>
          <w:tcPr>
            <w:tcW w:w="10560" w:type="dxa"/>
            <w:vAlign w:val="bottom"/>
            <w:gridSpan w:val="23"/>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2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8340" w:type="dxa"/>
            <w:vAlign w:val="bottom"/>
            <w:gridSpan w:val="12"/>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480" w:type="dxa"/>
            <w:vAlign w:val="bottom"/>
            <w:gridSpan w:val="1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4"/>
          </w:tcPr>
          <w:p>
            <w:pPr>
              <w:spacing w:after="0"/>
              <w:rPr>
                <w:sz w:val="17"/>
                <w:szCs w:val="17"/>
                <w:color w:val="auto"/>
              </w:rPr>
            </w:pPr>
          </w:p>
        </w:tc>
        <w:tc>
          <w:tcPr>
            <w:tcW w:w="524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2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08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854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754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52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800" w:type="dxa"/>
            <w:vAlign w:val="bottom"/>
            <w:gridSpan w:val="19"/>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654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or incorporated by reference in this prospectus supplement differs or varies from the information contained in the accompanying prospectus, you should rely on the information set forth in this prospectus supplement.</w:t>
      </w:r>
    </w:p>
    <w:p>
      <w:pPr>
        <w:spacing w:after="0" w:line="183" w:lineRule="exact"/>
        <w:rPr>
          <w:sz w:val="20"/>
          <w:szCs w:val="20"/>
          <w:color w:val="auto"/>
        </w:rPr>
      </w:pPr>
    </w:p>
    <w:p>
      <w:pPr>
        <w:ind w:left="120" w:right="100" w:firstLine="991"/>
        <w:spacing w:after="0" w:line="272" w:lineRule="auto"/>
        <w:rPr>
          <w:sz w:val="20"/>
          <w:szCs w:val="20"/>
          <w:color w:val="auto"/>
        </w:rPr>
      </w:pPr>
      <w:r>
        <w:rPr>
          <w:rFonts w:ascii="Times New Roman" w:cs="Times New Roman" w:eastAsia="Times New Roman" w:hAnsi="Times New Roman"/>
          <w:sz w:val="17"/>
          <w:szCs w:val="17"/>
          <w:color w:val="auto"/>
        </w:rPr>
        <w:t>In this prospectus supplement and the accompanying prospectus, as permitted by law, we “incorporate by reference” information from other documents that we file with the Securities and Exchange Commission, or the SEC. This means that we can disclose important information to you by referring you to those documents.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the SEC, the information incorporated by reference in this prospectus supplement and the accompanying prospectus is considered to be automatically updated and superseded. In other words, in case of a conflict or inconsistency between information contained in this prospectus supplement and the accompanying prospectus and information incorporated by reference into this prospectus supplement and the accompanying prospectus, you should rely on the information contained in the document that was filed most recently with the SEC.</w:t>
      </w:r>
    </w:p>
    <w:p>
      <w:pPr>
        <w:spacing w:after="0" w:line="172"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Neither we nor the underwriters have authorized any other person to provide you with any information other than that contained or incorporated by reference into this prospectus supplement, the accompanying prospectus or any relevant free writing prospectus prepared by or on behalf of us or to which we have referred you. We and the underwriters take no responsibility for, and can provide no assurance as to the reliability of, any other information that others may give you. 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88"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The information contained in this prospectus supplement and the accompanying prospectus is accurate only as of the date of this prospectus supplement or the date of the accompanying prospectus, as applicable,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this prospectus supplement, the accompanying prospectus and any free writing prospectus that we have authorized for use in connection with this offering, as well as the documents incorporated by reference herein and therein and the additional information described under “Where You Can Find More Information” and “Incorporation by Reference” in this prospectus supplement and in the accompanying prospectus, before investing in our common stock.</w:t>
      </w:r>
    </w:p>
    <w:p>
      <w:pPr>
        <w:spacing w:after="0" w:line="188" w:lineRule="exact"/>
        <w:rPr>
          <w:sz w:val="20"/>
          <w:szCs w:val="20"/>
          <w:color w:val="auto"/>
        </w:rPr>
      </w:pPr>
    </w:p>
    <w:p>
      <w:pPr>
        <w:ind w:left="120" w:right="300" w:firstLine="991"/>
        <w:spacing w:after="0" w:line="282" w:lineRule="auto"/>
        <w:rPr>
          <w:sz w:val="20"/>
          <w:szCs w:val="20"/>
          <w:color w:val="auto"/>
        </w:rPr>
      </w:pPr>
      <w:r>
        <w:rPr>
          <w:rFonts w:ascii="Times New Roman" w:cs="Times New Roman" w:eastAsia="Times New Roman" w:hAnsi="Times New Roman"/>
          <w:sz w:val="18"/>
          <w:szCs w:val="18"/>
          <w:color w:val="auto"/>
        </w:rPr>
        <w:t>As used in this prospectus supplement, unless the context otherwise requires, references to “Tarsus,” “company,” “we,” “us” and “our” refer to Tarsus Pharmaceuticals, Inc.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Industry, Market and Other Data</w:t>
      </w:r>
    </w:p>
    <w:p>
      <w:pPr>
        <w:spacing w:after="0" w:line="121"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in this prospectus supplement and the accompanying prospectus contain or incorporate by reference estimates, projections and other information concerning our industry, our business and the markets for our product candidates, including data regarding the estimated size of such markets and the incidence or prevalence of certain medical conditions. We obtained the industry, market and similar data set forth in this prospectus supplement, the accompanying prospectus and the documents incorporated in this prospectus supplement and the accompanying prospectus from our internal estimates and research, including surveys and studies we have sponsored and/or conducted, and from published studies from third parties, including governmental agencies. Our estimates of the potential market opportunities for our product candidates include a number of key assumptions based on our industry knowledge, industry publications and third-party research, surveys and studies, which may be based on a small sample size and fail to accurately reflect market opportunities. Information based on estimates, forecasts, projections, market research or similar methodologies is inherently subject to uncertainties and actual events or circumstances may differ materially from events and circumstances that are assumed in this information due to a variety of factors, including those described in “Risk Factors” and “Special Note Regarding Forward-Looking Statements” in this prospectus supplement and the accompanying prospectus and under similar headings in other documents that are incorporated by reference into this prospectus supplement and the accompanying prospectus. These and other factors could cause our future performance to differ materially from the assumptions and estimates made by third parties and us.</w:t>
      </w:r>
    </w:p>
    <w:p>
      <w:pPr>
        <w:spacing w:after="0" w:line="187" w:lineRule="exact"/>
        <w:rPr>
          <w:sz w:val="20"/>
          <w:szCs w:val="20"/>
          <w:color w:val="auto"/>
        </w:rPr>
      </w:pPr>
    </w:p>
    <w:p>
      <w:pPr>
        <w:ind w:left="120" w:right="140" w:firstLine="991"/>
        <w:spacing w:after="0" w:line="258" w:lineRule="auto"/>
        <w:rPr>
          <w:sz w:val="20"/>
          <w:szCs w:val="20"/>
          <w:color w:val="auto"/>
        </w:rPr>
      </w:pPr>
      <w:r>
        <w:rPr>
          <w:rFonts w:ascii="Times New Roman" w:cs="Times New Roman" w:eastAsia="Times New Roman" w:hAnsi="Times New Roman"/>
          <w:sz w:val="18"/>
          <w:szCs w:val="18"/>
          <w:color w:val="auto"/>
        </w:rPr>
        <w:t>Unless otherwise expressly stated, we obtained this industry, business, market and other data from reports, research surveys, studies and similar data prepared by us and third parties, industry, medical and general publications, government data and similar sources. Neither we nor the underwriters have independently verified the accuracy or completeness of any third-party information. The content of these third-party sources, except to the extent specifically set forth in this prospectus supplement and the accompanying prospectus, or in other documents that are incorporated by reference into this prospectus supplement and the accompanying prospectus, does not constitute a portion hereof and is not incorporated herein.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121"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7"/>
          <w:szCs w:val="17"/>
          <w:color w:val="auto"/>
        </w:rPr>
        <w:t xml:space="preserve">Tarsus Pharmaceuticals, Tarsus, our logo, and XDEMVY are some of our tradenames used in this prospectus supplement or the accompanying prospectus and in the documents incorporated by reference in this prospectus supplement or the accompanying prospectus. This prospectus supplement, the accompanying prospectus and the documents incorporated by reference in this prospectus supplement or the accompanying prospectus also include trademarks, tradenames, and service marks that are the property of other organizations. Solely for convenience, our trademarks and tradenames referred to in this prospectus supplement, the accompanying prospectus or in the documents incorporated by reference in this prospectus supplement and the accompanying prospectus appear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symbol, but those references are not intended to indicate, in any way, that we will not assert, to the fullest extent under applicable law, our rights, or the right of the applicable licensor to these trademarks and tradenames.</w:t>
      </w:r>
    </w:p>
    <w:p>
      <w:pPr>
        <w:spacing w:after="0" w:line="1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firstLine="959"/>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our business, this offering and selected information contained elsewhere in this prospectus supplement, the accompanying prospectus and the documents incorporated by reference herein and therein and does not contain all of the information that you should consider in making your investment decision.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supplement, the accompanying prospectus and any free writing prospectus that we authorize for use in connection with this offering, including the information set forth in the sections titled “Risk Factors” included or incorporated by reference in this prospectus supplement, the accompanying prospectus and any related free writing prospectus in their entirety before making an investment decision.</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160" w:firstLine="959"/>
        <w:spacing w:after="0" w:line="241" w:lineRule="auto"/>
        <w:rPr>
          <w:sz w:val="20"/>
          <w:szCs w:val="20"/>
          <w:color w:val="auto"/>
        </w:rPr>
      </w:pPr>
      <w:r>
        <w:rPr>
          <w:rFonts w:ascii="Times New Roman" w:cs="Times New Roman" w:eastAsia="Times New Roman" w:hAnsi="Times New Roman"/>
          <w:sz w:val="18"/>
          <w:szCs w:val="18"/>
          <w:color w:val="auto"/>
        </w:rPr>
        <w:t>We are a commercial stage biopharmaceutical company focused on the development and commercialization of therapeutics, starting with eye care. We launched XDEMVY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(lotilaner ophthalmic solution) 0.25%, formerly known as TP-03,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in August 2023 after receiving U.S. Food and Drug Administration, or FDA, approval in July 2023.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is caused by the infestation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Chronic and progressive blepharitis can lead to corneal damage over time and, in extreme cases, blindness. There may be as many as approximately 25 million people in the U.S. who suffer from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XDEMVY is the first and only therapeutic approved by the FDA and we believe is the definitive standard of care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w:t>
      </w:r>
    </w:p>
    <w:p>
      <w:pPr>
        <w:spacing w:after="0" w:line="195" w:lineRule="exact"/>
        <w:rPr>
          <w:sz w:val="20"/>
          <w:szCs w:val="20"/>
          <w:color w:val="auto"/>
        </w:rPr>
      </w:pPr>
    </w:p>
    <w:p>
      <w:pPr>
        <w:ind w:left="300" w:right="260" w:firstLine="959"/>
        <w:spacing w:after="0" w:line="267" w:lineRule="auto"/>
        <w:rPr>
          <w:sz w:val="20"/>
          <w:szCs w:val="20"/>
          <w:color w:val="auto"/>
        </w:rPr>
      </w:pPr>
      <w:r>
        <w:rPr>
          <w:rFonts w:ascii="Times New Roman" w:cs="Times New Roman" w:eastAsia="Times New Roman" w:hAnsi="Times New Roman"/>
          <w:sz w:val="18"/>
          <w:szCs w:val="18"/>
          <w:color w:val="auto"/>
        </w:rPr>
        <w:t xml:space="preserve">XDEMVY targets and eradicates the root cause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 infestation. The active pharmaceutical ingredient, or API, of XDEMVY, lotilaner, paralyzes and eradicates mites and other parasites through the inhibition of parasite-specific gamma-aminobutyric acid-gated chloride, or GABA-Cl, channels with no GABA-Cl inhibition in humans.</w:t>
      </w:r>
    </w:p>
    <w:p>
      <w:pPr>
        <w:spacing w:after="0" w:line="175" w:lineRule="exact"/>
        <w:rPr>
          <w:sz w:val="20"/>
          <w:szCs w:val="20"/>
          <w:color w:val="auto"/>
        </w:rPr>
      </w:pPr>
    </w:p>
    <w:p>
      <w:pPr>
        <w:ind w:left="300" w:right="40" w:firstLine="959"/>
        <w:spacing w:after="0" w:line="255" w:lineRule="auto"/>
        <w:rPr>
          <w:sz w:val="20"/>
          <w:szCs w:val="20"/>
          <w:color w:val="auto"/>
        </w:rPr>
      </w:pPr>
      <w:r>
        <w:rPr>
          <w:rFonts w:ascii="Times New Roman" w:cs="Times New Roman" w:eastAsia="Times New Roman" w:hAnsi="Times New Roman"/>
          <w:sz w:val="18"/>
          <w:szCs w:val="18"/>
          <w:color w:val="auto"/>
        </w:rPr>
        <w:t xml:space="preserve">To date, we have completed seven clinical trials that include a Phase 3 trial, or the Saturn-2 trial, a Phase 2b/3 trial, or the Saturn-1 trial, four Phase 2 trials, and a Phase 1 trial, or the Hyperion trial, for XDEMVY in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all of which met their primary, secondary and/or certain exploratory endpoints, with the drug generally safe and well tolerated throughout each trial. We have also completed, and/or have ongoing clinical trials for the potential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in patients with Meibomian Gland Disease, or MGD, including a Phase 2a clinical trial, or the Ersa trial, that evaluated XDEMVY for the treatment of MGD, in patients with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a clinical trial that evaluated an XDEMVY vehicle for the potential treatment of MGD in patients with Demodex mites, or the Rhea trial, TP-04 for the potential treatment of Ocular Rosacea, and TP-05 for potential Lyme disease prophylaxis, among others.</w:t>
      </w:r>
    </w:p>
    <w:p>
      <w:pPr>
        <w:spacing w:after="0" w:line="189" w:lineRule="exact"/>
        <w:rPr>
          <w:sz w:val="20"/>
          <w:szCs w:val="20"/>
          <w:color w:val="auto"/>
        </w:rPr>
      </w:pPr>
    </w:p>
    <w:p>
      <w:pPr>
        <w:ind w:left="300" w:right="220" w:firstLine="959"/>
        <w:spacing w:after="0" w:line="261" w:lineRule="auto"/>
        <w:rPr>
          <w:sz w:val="20"/>
          <w:szCs w:val="20"/>
          <w:color w:val="auto"/>
        </w:rPr>
      </w:pPr>
      <w:r>
        <w:rPr>
          <w:rFonts w:ascii="Times New Roman" w:cs="Times New Roman" w:eastAsia="Times New Roman" w:hAnsi="Times New Roman"/>
          <w:sz w:val="18"/>
          <w:szCs w:val="18"/>
          <w:color w:val="auto"/>
        </w:rPr>
        <w:t>We intend to further advance our pipeline with the lotilaner API to address several diseases in human medicine, including eye care and infectious disease prevention. We are investigating the development of our product candidates to address targeted diseases with high unmet medical needs, which currently include TP-04, a novel ophthalmic gel formulation of lotilaner for the potential treatment of Ocular Rosacea, and TP-05, a novel investigational oral formulation of lotilaner, for potential Lyme disease prophylaxis and community malaria reduction.</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989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9899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959"/>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November 17, 2016. Our principal executive offices are located at 15440 Laguna Canyon Road, Suite 160, Irvine, California 92618. Our main telephone number is (949) 418-1801. Our website is www.tarsusrx.com. The information on, or that can be accessed through, our website address is not part of this prospectus supplement and is not incorporated by reference herein, and the inclusion of our website address in this prospectus is an inactive textual reference only.</w:t>
      </w:r>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720"/>
          </w:cols>
          <w:pgMar w:left="320" w:top="455" w:right="8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4040" w:type="dxa"/>
            <w:vAlign w:val="bottom"/>
            <w:tcBorders>
              <w:top w:val="single" w:sz="8" w:color="auto"/>
              <w:left w:val="single" w:sz="8" w:color="auto"/>
            </w:tcBorders>
          </w:tcPr>
          <w:p>
            <w:pPr>
              <w:spacing w:after="0"/>
              <w:rPr>
                <w:sz w:val="24"/>
                <w:szCs w:val="24"/>
                <w:color w:val="auto"/>
              </w:rPr>
            </w:pPr>
          </w:p>
        </w:tc>
        <w:tc>
          <w:tcPr>
            <w:tcW w:w="6980" w:type="dxa"/>
            <w:vAlign w:val="bottom"/>
            <w:tcBorders>
              <w:top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Tarsus Pharmaceuticals, Inc.</w:t>
            </w:r>
          </w:p>
        </w:tc>
      </w:tr>
      <w:tr>
        <w:trPr>
          <w:trHeight w:val="473"/>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2,808,988 shares.</w:t>
            </w:r>
          </w:p>
        </w:tc>
      </w:tr>
      <w:tr>
        <w:trPr>
          <w:trHeight w:val="454"/>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to be outstanding after this offering</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41,158,814 shares of our common stock (or 41,580,162 shares if the underwriters exercise</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their option to purchase additional shares in full).</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Underwriters’ option to purchase additional shares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421,348 additional shares of our common stock. The underwriters can exercise this option</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at any time within 30 days after the date of this prospectus supplement.</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$117.1 million,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after deducting estimated underwriting discounts and commissions and estimated offering</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expenses payable by us (or approximately $134.8 million if the underwriters exercise their</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 to purchase additional shares in full).</w:t>
            </w:r>
          </w:p>
        </w:tc>
      </w:tr>
      <w:tr>
        <w:trPr>
          <w:trHeight w:val="441"/>
        </w:trPr>
        <w:tc>
          <w:tcPr>
            <w:tcW w:w="4040" w:type="dxa"/>
            <w:vAlign w:val="bottom"/>
            <w:tcBorders>
              <w:left w:val="single" w:sz="8" w:color="auto"/>
            </w:tcBorders>
          </w:tcPr>
          <w:p>
            <w:pPr>
              <w:spacing w:after="0"/>
              <w:rPr>
                <w:sz w:val="24"/>
                <w:szCs w:val="24"/>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w:t>
            </w:r>
          </w:p>
        </w:tc>
      </w:tr>
      <w:tr>
        <w:trPr>
          <w:trHeight w:val="214"/>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cash, cash equivalents and marketable securities, to (i) further advance the</w:t>
            </w:r>
          </w:p>
        </w:tc>
      </w:tr>
      <w:tr>
        <w:trPr>
          <w:trHeight w:val="218"/>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commercialization of XDEMVY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in the United</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States, including expanding our direct to consumer efforts, (ii) develop our product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pipeline, TP-04 for the potential treatment of Ocular Rosacea, and TP-05 for potential</w:t>
            </w:r>
          </w:p>
        </w:tc>
      </w:tr>
      <w:tr>
        <w:trPr>
          <w:trHeight w:val="214"/>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Lyme disease prophylaxis, generate additional evidence including XDEMVY post-</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marketing studies with patients that have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with patients that have</w:t>
            </w:r>
          </w:p>
        </w:tc>
      </w:tr>
      <w:tr>
        <w:trPr>
          <w:trHeight w:val="218"/>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Demodex </w:t>
            </w:r>
            <w:r>
              <w:rPr>
                <w:rFonts w:ascii="Times New Roman" w:cs="Times New Roman" w:eastAsia="Times New Roman" w:hAnsi="Times New Roman"/>
                <w:sz w:val="18"/>
                <w:szCs w:val="18"/>
                <w:color w:val="auto"/>
              </w:rPr>
              <w:t>blepharitis with MGD, and fund other internal innovation, and (iii) other general</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corporate purposes, which may include the hiring of additional personnel, capital</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expenditures and the costs of operating as a public company. In addition, we may use a</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portion of the net proceeds for the development, acquisition or in-license of other products,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product candidates, businesses or technologies. However, we have no current agreements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or commitments for these possible expenditures. See “Use of Proceeds” on page S-11 of</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this prospectus supplement.</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Investing in our common stock involves significant risks. See “Risk Factors” on page S-7</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 this prospectus supplement, page 5 of the accompanying prospectus and under similar</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headings in other documents incorporated by reference into this prospectus supplement.</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Nasdaq Global Select Market symbol</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“TARS”.</w:t>
            </w:r>
          </w:p>
        </w:tc>
      </w:tr>
      <w:tr>
        <w:trPr>
          <w:trHeight w:val="172"/>
        </w:trPr>
        <w:tc>
          <w:tcPr>
            <w:tcW w:w="4040" w:type="dxa"/>
            <w:vAlign w:val="bottom"/>
            <w:tcBorders>
              <w:left w:val="single" w:sz="8" w:color="auto"/>
              <w:bottom w:val="single" w:sz="8" w:color="auto"/>
            </w:tcBorders>
          </w:tcPr>
          <w:p>
            <w:pPr>
              <w:spacing w:after="0"/>
              <w:rPr>
                <w:sz w:val="14"/>
                <w:szCs w:val="14"/>
                <w:color w:val="auto"/>
              </w:rPr>
            </w:pPr>
          </w:p>
        </w:tc>
        <w:tc>
          <w:tcPr>
            <w:tcW w:w="6980" w:type="dxa"/>
            <w:vAlign w:val="bottom"/>
            <w:tcBorders>
              <w:bottom w:val="single" w:sz="8" w:color="auto"/>
              <w:right w:val="single" w:sz="8" w:color="auto"/>
            </w:tcBorders>
          </w:tcPr>
          <w:p>
            <w:pPr>
              <w:spacing w:after="0"/>
              <w:rPr>
                <w:sz w:val="14"/>
                <w:szCs w:val="14"/>
                <w:color w:val="auto"/>
              </w:rPr>
            </w:pPr>
          </w:p>
        </w:tc>
      </w:tr>
      <w:tr>
        <w:trPr>
          <w:trHeight w:val="361"/>
        </w:trPr>
        <w:tc>
          <w:tcPr>
            <w:tcW w:w="4040" w:type="dxa"/>
            <w:vAlign w:val="bottom"/>
          </w:tcPr>
          <w:p>
            <w:pPr>
              <w:spacing w:after="0"/>
              <w:rPr>
                <w:sz w:val="24"/>
                <w:szCs w:val="24"/>
                <w:color w:val="auto"/>
              </w:rPr>
            </w:pPr>
          </w:p>
        </w:tc>
        <w:tc>
          <w:tcPr>
            <w:tcW w:w="69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321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3321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38,349,826 shares of our common stock outstanding as of December 31, 2024, and unless otherwise indicated, excludes:</w:t>
      </w:r>
    </w:p>
    <w:p>
      <w:pPr>
        <w:spacing w:after="0" w:line="67" w:lineRule="exact"/>
        <w:rPr>
          <w:sz w:val="20"/>
          <w:szCs w:val="20"/>
          <w:color w:val="auto"/>
        </w:rPr>
      </w:pPr>
    </w:p>
    <w:p>
      <w:pPr>
        <w:ind w:left="1240" w:right="36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5,007,908 shares of common stock issuable upon the exercise of options outstanding as of December 31, 2024, with a weighted-average exercise price of $19.29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1,915,281 shares of common stock underlying restricted stock units outstanding as of December 31, 2024;</w:t>
      </w:r>
    </w:p>
    <w:p>
      <w:pPr>
        <w:spacing w:after="0" w:line="130"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456,823 shares of common stock issuable upon the exercise of options granted after December 31, 2024, with a weighted-average exercise price of $44.88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312,500 shares of common stock issuable upon the exercise of pre-funded warrants outstanding as of December 31, 2024;</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7,204,677 shares of common stock reserved for future issuance under our 2020 Equity Incentive Plan, or the 2020 Plan, as of December 31, 2024, as well as any automatic increases in the number of shares of common stock reserved for future issuance under the 2020 Plan; and</w:t>
      </w:r>
    </w:p>
    <w:p>
      <w:pPr>
        <w:spacing w:after="0" w:line="81"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2,765,942 shares of common stock reserved for issuance under our 2020 Employee Stock Purchase Plan, or the 2020 ESPP, as of December 31, 2024, as well as any automatic increases in the number of shares of common stock reserved for future issuance under the 2020 ESPP.</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w:t>
      </w:r>
    </w:p>
    <w:p>
      <w:pPr>
        <w:spacing w:after="0" w:line="131" w:lineRule="exact"/>
        <w:rPr>
          <w:sz w:val="20"/>
          <w:szCs w:val="20"/>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of our common stock;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or settlement of the outstanding options, pre-funded warrants or restricted stock units described above.</w:t>
      </w:r>
    </w:p>
    <w:p>
      <w:pPr>
        <w:spacing w:after="0" w:line="34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820"/>
          </w:cols>
          <w:pgMar w:left="320" w:top="455" w:right="7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80" w:firstLine="991"/>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is speculative and involves a high degree of risk. Before investing in our securities, you should consider carefully the risks described below, together with the risks described in the section entitled “Risk Factors” in our Annual Report on Form 10-K for the year ended December 31, 2024, which is incorporated by reference in its entirety, as well as the other information contained in or incorporated by reference in this prospectus supplement, the accompanying prospectus and any free writing prospectus that we authorize for use in connection with this offering, including our financial statements and the related notes thereto.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prospectus supplement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securities in this offering, you will incur immediate and substantial dilution in the book value of your shares.</w:t>
      </w:r>
    </w:p>
    <w:p>
      <w:pPr>
        <w:spacing w:after="0" w:line="121"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Investors purchasing securities in this offering will pay a price per share that substantially exceeds the as adjusted net tangible book value per share of our common stock. As a result, investors purchasing securities in this offering will incur immediate dilution of $36.40 per share (or $36.06 per share if the underwriters exercise their option to purchase additional shares in full), representing the difference between the public offering price of $44.50 and our as adjusted net tangible book value per share as of December 31, 2024. To the extent outstanding options to purchase shares of our common stock are exercised, or restricted stock units are settled in shares of our common stock, investors in this offering may incur further dilution. For more information on the dilution you may suffer as a result of investing in this offering, see the section of this prospectus supplement entitled “Dilution.”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allocate the net proceeds from this offering in ways that you and other stockholders may not approve.</w:t>
      </w:r>
    </w:p>
    <w:p>
      <w:pPr>
        <w:spacing w:after="0" w:line="121"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in investment grade, interest bearing securities.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the perception that such sales may occur, could depress the price of our common stock.</w:t>
      </w:r>
    </w:p>
    <w:p>
      <w:pPr>
        <w:spacing w:after="0" w:line="121" w:lineRule="exact"/>
        <w:rPr>
          <w:sz w:val="20"/>
          <w:szCs w:val="20"/>
          <w:color w:val="auto"/>
        </w:rPr>
      </w:pPr>
    </w:p>
    <w:p>
      <w:pPr>
        <w:ind w:left="120" w:right="80" w:firstLine="991"/>
        <w:spacing w:after="0" w:line="238" w:lineRule="auto"/>
        <w:rPr>
          <w:sz w:val="20"/>
          <w:szCs w:val="20"/>
          <w:color w:val="auto"/>
        </w:rPr>
      </w:pPr>
      <w:r>
        <w:rPr>
          <w:rFonts w:ascii="Times New Roman" w:cs="Times New Roman" w:eastAsia="Times New Roman" w:hAnsi="Times New Roman"/>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(including under our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with Jefferies LLC dated November 1, 2021) and the market perceives that sales will occur. After this offering, we will have 41,158,814 outstanding shares of our common stock, based on the number of shares outstanding as of December 31, 2024 and assuming that the underwriters do not exercise their option to purchase additional shares of common stock. All of the shares of common stock sold in this offering will be available for sale in the public market, unless purchased by our affiliates or existing stockholders who are subject to lock-up restrictions described below.</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We, our executive officers and directors and certain of our stockholders have agreed that, among other things and subject to certain exceptions, during the period ending 90 days after the date of this prospectus supplement, we and they will not offer, sell, dispose of or hedge any shares of our common stock, subject to specified limited exceptions, without, in each case, the prior written consent of Goldman Sachs &amp; Co. LLC, BofA Securities and Barclays Capital Inc., who may release any of the securities subject to these lock-up agreements at any time without notice. Shares held by directors, executive officers and other affiliates will be subject to volume limitations under Rule 144 under the Securities Act of 1933, as amended, or the Securities Act, and various vesting agreements.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192" w:lineRule="exact"/>
        <w:rPr>
          <w:sz w:val="20"/>
          <w:szCs w:val="20"/>
          <w:color w:val="auto"/>
        </w:rPr>
      </w:pPr>
    </w:p>
    <w:p>
      <w:pPr>
        <w:ind w:left="120" w:right="380" w:firstLine="991"/>
        <w:spacing w:after="0" w:line="266" w:lineRule="auto"/>
        <w:rPr>
          <w:sz w:val="20"/>
          <w:szCs w:val="20"/>
          <w:color w:val="auto"/>
        </w:rPr>
      </w:pPr>
      <w:r>
        <w:rPr>
          <w:rFonts w:ascii="Times New Roman" w:cs="Times New Roman" w:eastAsia="Times New Roman" w:hAnsi="Times New Roman"/>
          <w:sz w:val="18"/>
          <w:szCs w:val="18"/>
          <w:color w:val="auto"/>
        </w:rPr>
        <w:t>In addition, we have filed a registration statement registering under the Securities Act the shares of our common stock reserved for issuance under our 2020 Plan and 2020 ESPP, including shares issuable upon exercise of outstanding options. These shares can be freely sold in the public market upon issuance, subject to volume limitations applicable to affiliates and the lock-up agreements described above.</w:t>
      </w:r>
    </w:p>
    <w:p>
      <w:pPr>
        <w:spacing w:after="0" w:line="176"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Further, as opportunities present themselves, we may enter into financing or similar arrangements in the future, including the issuance of debt or equity securities. If we issue common stock or securities convertible into our common stock, our common stockholders would experience additional dilution and, as a result, the price of our common stock may decline.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cannot predict the effect that future sales of common stock or other equity-related securities would have on the market price of our common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in this prospectus supplement, the accompanying prospectus, and any free writing prospectus that we authorize for use in connection with this offering, contains and may contain certain statements that constitute “forward-looking statements” within the meaning of Section 27A of the Securities Act and Section 21E of the Exchange Act.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supplement, the accompanying prospectus and the documents incorporated herein and therein by reference, particularly in the sections entitled “Prospectus Supplement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w:t>
      </w:r>
    </w:p>
    <w:p>
      <w:pPr>
        <w:spacing w:after="0" w:line="1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29" w:lineRule="exact"/>
        <w:rPr>
          <w:sz w:val="20"/>
          <w:szCs w:val="20"/>
          <w:color w:val="auto"/>
        </w:rPr>
      </w:pPr>
    </w:p>
    <w:p>
      <w:pPr>
        <w:ind w:left="1540" w:right="680" w:hanging="331"/>
        <w:spacing w:after="0" w:line="214"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commercialize XDEMVY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formerly known as TP-03,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w:t>
      </w:r>
    </w:p>
    <w:p>
      <w:pPr>
        <w:spacing w:after="0" w:line="10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prevalence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the size of the market opportunity for XDEMVY;</w:t>
      </w:r>
    </w:p>
    <w:p>
      <w:pPr>
        <w:spacing w:after="0" w:line="132"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continue commercializing XDEMVY and our product candidates, if approved, including commercialization timelines and sales strategy;</w:t>
      </w:r>
    </w:p>
    <w:p>
      <w:pPr>
        <w:spacing w:after="0" w:line="67" w:lineRule="exact"/>
        <w:rPr>
          <w:rFonts w:ascii="Times New Roman" w:cs="Times New Roman" w:eastAsia="Times New Roman" w:hAnsi="Times New Roman"/>
          <w:sz w:val="18"/>
          <w:szCs w:val="18"/>
          <w:color w:val="auto"/>
        </w:rPr>
      </w:pPr>
    </w:p>
    <w:p>
      <w:pPr>
        <w:ind w:left="1540" w:right="100" w:hanging="331"/>
        <w:spacing w:after="0" w:line="261"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statements regarding our ability to achieve distribution and patient access for our products including XDEMVY and timing and breadth of payer coverage; our expectations of the potential market size, pricing, gross-to-net yields, eye care provider and patient acceptance of our product and product candidates, opportunity and patient populations for our product and product candidates, including XDEMVY;</w:t>
      </w:r>
    </w:p>
    <w:p>
      <w:pPr>
        <w:spacing w:after="0" w:line="8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XDEMVY and our product candidates;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trials demonstrating safety and efficacy of our product candidates, and other positive results;</w:t>
      </w:r>
    </w:p>
    <w:p>
      <w:pPr>
        <w:spacing w:after="0" w:line="130" w:lineRule="exact"/>
        <w:rPr>
          <w:rFonts w:ascii="Times New Roman" w:cs="Times New Roman" w:eastAsia="Times New Roman" w:hAnsi="Times New Roman"/>
          <w:sz w:val="18"/>
          <w:szCs w:val="18"/>
          <w:color w:val="auto"/>
        </w:rPr>
      </w:pPr>
    </w:p>
    <w:p>
      <w:pPr>
        <w:ind w:left="1540" w:right="360" w:hanging="331"/>
        <w:spacing w:after="0" w:line="282"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current clinical trials and timing of initiation of our future clinical trials, and the reporting of data from our current and future trials;</w:t>
      </w:r>
    </w:p>
    <w:p>
      <w:pPr>
        <w:spacing w:after="0" w:line="67" w:lineRule="exact"/>
        <w:rPr>
          <w:rFonts w:ascii="Times New Roman" w:cs="Times New Roman" w:eastAsia="Times New Roman" w:hAnsi="Times New Roman"/>
          <w:sz w:val="18"/>
          <w:szCs w:val="18"/>
          <w:color w:val="auto"/>
        </w:rPr>
      </w:pPr>
    </w:p>
    <w:p>
      <w:pPr>
        <w:ind w:left="1540" w:right="500" w:hanging="331"/>
        <w:spacing w:after="0" w:line="282"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 for our product candidates and our ability to meet existing or future regulatory standards or comply with post-approval requirements;</w:t>
      </w:r>
    </w:p>
    <w:p>
      <w:pPr>
        <w:spacing w:after="0" w:line="67"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current and future product candidates, including the size, number and disease areas to be evaluated;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health epidemics on our business and operations;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unfavorable global and geopolitical economic conditions on our business and operations;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28" w:lineRule="exact"/>
        <w:rPr>
          <w:rFonts w:ascii="Times New Roman" w:cs="Times New Roman" w:eastAsia="Times New Roman" w:hAnsi="Times New Roman"/>
          <w:sz w:val="18"/>
          <w:szCs w:val="18"/>
          <w:color w:val="auto"/>
        </w:rPr>
      </w:pPr>
    </w:p>
    <w:p>
      <w:pPr>
        <w:ind w:left="1540" w:right="100" w:hanging="331"/>
        <w:spacing w:after="0" w:line="284"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estimates of the number of patients in the United States or globally, as applicable, who suffer from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Ocular Rosacea, Lyme disease and malaria and the number of patients that will enroll in our clinical trials;</w:t>
      </w:r>
    </w:p>
    <w:p>
      <w:pPr>
        <w:spacing w:after="0" w:line="6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therapeutic effects and potential advantages of our product and product candidates;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20" w:hanging="331"/>
        <w:spacing w:after="0" w:line="282"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and our product candidates to meet existing or future regulatory standards;</w:t>
      </w:r>
    </w:p>
    <w:p>
      <w:pPr>
        <w:spacing w:after="0" w:line="67" w:lineRule="exact"/>
        <w:rPr>
          <w:rFonts w:ascii="Times New Roman" w:cs="Times New Roman" w:eastAsia="Times New Roman" w:hAnsi="Times New Roman"/>
          <w:sz w:val="18"/>
          <w:szCs w:val="18"/>
          <w:color w:val="auto"/>
        </w:rPr>
      </w:pPr>
    </w:p>
    <w:p>
      <w:pPr>
        <w:ind w:left="1540" w:right="660" w:hanging="331"/>
        <w:spacing w:after="0" w:line="282"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and product candidates, including additional indications for which we may pursue;</w:t>
      </w:r>
    </w:p>
    <w:p>
      <w:pPr>
        <w:spacing w:after="0" w:line="67" w:lineRule="exact"/>
        <w:rPr>
          <w:rFonts w:ascii="Times New Roman" w:cs="Times New Roman" w:eastAsia="Times New Roman" w:hAnsi="Times New Roman"/>
          <w:sz w:val="18"/>
          <w:szCs w:val="18"/>
          <w:color w:val="auto"/>
        </w:rPr>
      </w:pPr>
    </w:p>
    <w:p>
      <w:pPr>
        <w:ind w:left="1540" w:right="720" w:hanging="331"/>
        <w:spacing w:after="0" w:line="282"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67" w:lineRule="exact"/>
        <w:rPr>
          <w:rFonts w:ascii="Times New Roman" w:cs="Times New Roman" w:eastAsia="Times New Roman" w:hAnsi="Times New Roman"/>
          <w:sz w:val="18"/>
          <w:szCs w:val="18"/>
          <w:color w:val="auto"/>
        </w:rPr>
      </w:pPr>
    </w:p>
    <w:p>
      <w:pPr>
        <w:ind w:left="1540" w:right="20" w:hanging="331"/>
        <w:spacing w:after="0" w:line="261"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spacing w:after="0" w:line="8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U.S. and other jurisdictions;</w:t>
      </w:r>
    </w:p>
    <w:p>
      <w:pPr>
        <w:spacing w:after="0" w:line="130" w:lineRule="exact"/>
        <w:rPr>
          <w:rFonts w:ascii="Times New Roman" w:cs="Times New Roman" w:eastAsia="Times New Roman" w:hAnsi="Times New Roman"/>
          <w:sz w:val="18"/>
          <w:szCs w:val="18"/>
          <w:color w:val="auto"/>
        </w:rPr>
      </w:pPr>
    </w:p>
    <w:p>
      <w:pPr>
        <w:ind w:left="1540" w:right="360" w:hanging="331"/>
        <w:spacing w:after="0" w:line="282"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maintain, and/or protect intellectual property rights, including extensions of existing patent terms where available;</w:t>
      </w:r>
    </w:p>
    <w:p>
      <w:pPr>
        <w:spacing w:after="0" w:line="67"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and retain such personnel;</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capital resources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 and the proceeds from this offering.</w:t>
      </w:r>
    </w:p>
    <w:p>
      <w:pPr>
        <w:spacing w:after="0" w:line="225"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prospectus supplement and the accompanying prospectus and are subject to risks, uncertainties and assumptions that are difficult to predict. Therefore, actual results may differ materially and adversely from those expressed in any forward-looking statements. Factors that might cause or contribute to such differences, and other factors that we believe affect our performance, include those discussed in the sections titled “Risk Factors” and “Management’s Discussion and Analysis of Financial Condition and Results of Operations” in our Annual Report on Form 10-K for the year ended December 31, 2024 incorporated by reference herein, and in other reports we file with the SEC. While forward-looking statements are based on the reasonable expectations of our management at the time that they are made, you should not rely on them unduly. We undertake no obligation to revise or update publicly any forward-looking statements for any reason, whether as a result of new information, future events or otherwise, except as may be required by law.</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We estimate that net proceeds from this offering will be approximately $117.1 million, or approximately $134.8 million if the underwriters exercise their option to purchase additional shares in full, after deducting underwriting discounts and commissions and estimated offering expenses payable by us.</w:t>
      </w:r>
    </w:p>
    <w:p>
      <w:pPr>
        <w:spacing w:after="0" w:line="176"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principal purpose of this offering is to increase our financial flexibility. We currently intend to use the net proceeds from this offering, together with our existing cash, cash equivalents and marketable securities, to (i) further advance the commercialization of XDEMVY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in the United States, including expanding our direct to consumer efforts, (ii) develop our product pipeline, TP-04 for the potential treatment of Ocular Rosacea, and TP-05 for potential Lyme disease prophylaxis, generate additional evidence including XDEMVY post-marketing studies with patients that have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with patients that have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with MGD, and fund other internal innovation, and (iii) other general corporate purposes, which may include the hiring of additional personnel, capital expenditures and the costs of operating as a public company. In addition, we may use a portion of the net proceeds for the development, acquisition or in-license of other products, product candidates, businesses or technologies. However, we have no current agreements or commitments for these possible expenditures.</w:t>
      </w:r>
    </w:p>
    <w:p>
      <w:pPr>
        <w:spacing w:after="0" w:line="192" w:lineRule="exact"/>
        <w:rPr>
          <w:sz w:val="20"/>
          <w:szCs w:val="20"/>
          <w:color w:val="auto"/>
        </w:rPr>
      </w:pPr>
    </w:p>
    <w:p>
      <w:pPr>
        <w:ind w:left="120" w:right="40" w:firstLine="991"/>
        <w:spacing w:after="0" w:line="253"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upon our current business plans and economic conditions. Either could change in the future as our business plans evolve and economic conditions shift. As of the date of this prospectus supplement, we cannot predict with certainty all of the particular uses for the net proceeds to be received upon the completion of this offering or the amounts that we will actually spend on the uses set forth above. The amounts and timing of our actual expenditures and the extent of our commercial and preclinical, clinical and future development activities may vary significantly depending on numerous factors, including the progress and results of our commercialization and development efforts, the status of and results from our ongoing and planned clinical trials, the timing of regulatory submissions and the outcome of regulatory review, our ability to take advantage of expedited programs or to obtain regulatory approval for product candidates, the timing and costs associated with the manufacture and supply of product candidates for clinical development or products for commercialization,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94"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In the event that we use a portion of the net proceeds from this offering for the development, acquisition or in-license of other products, product candidates, businesses or technologies, our cash resources could be depleted earlier than we currently expect. Pending the application of the net proceeds from this offering, we plan to invest the net proceeds from this offering in bank and investment accounts with the primary goal of capital preservation. These include operating bank accounts, short-term interest-bearing investment-grade securities and money market accounts.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for use in the operation of our business and do not anticipate paying any cash dividends on our common stock in the foreseeable future. Additionally, the terms of our credit facility with Pharmakon Advisors, LP restrict our ability to pay dividends under certain circumstances. Any future determination to declare dividends will be made at the discretion of our board of directors, will be subject to restrictions in our current or any future debt facility and will depend on our financial condition, operating results, capital requirements, general business conditions and other factors that our board of directors may deem relevant.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440" w:firstLine="991"/>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immediately diluted to the extent of the difference between the public offering price per share of our common stock and the as adjusted net tangible book value per share of our common stock immediately after the completion of this offering.</w:t>
      </w:r>
    </w:p>
    <w:p>
      <w:pPr>
        <w:spacing w:after="0" w:line="176"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Historical net tangible book value per share represents our total tangible assets less our liabilities and preferred stock that is not included in equity divided by the total number of shares of common stock outstanding. As of December 31, 2024, our historical net tangible book value was approximately $216.2 million, or $5.64 per share of common stock, based on 38,349,826 shares of common stock outstanding as of December 31, 2024.</w:t>
      </w:r>
    </w:p>
    <w:p>
      <w:pPr>
        <w:spacing w:after="0" w:line="176" w:lineRule="exact"/>
        <w:rPr>
          <w:sz w:val="20"/>
          <w:szCs w:val="20"/>
          <w:color w:val="auto"/>
        </w:rPr>
      </w:pPr>
    </w:p>
    <w:p>
      <w:pPr>
        <w:ind w:left="120" w:right="120" w:firstLine="991"/>
        <w:spacing w:after="0" w:line="255" w:lineRule="auto"/>
        <w:rPr>
          <w:sz w:val="20"/>
          <w:szCs w:val="20"/>
          <w:color w:val="auto"/>
        </w:rPr>
      </w:pPr>
      <w:r>
        <w:rPr>
          <w:rFonts w:ascii="Times New Roman" w:cs="Times New Roman" w:eastAsia="Times New Roman" w:hAnsi="Times New Roman"/>
          <w:sz w:val="18"/>
          <w:szCs w:val="18"/>
          <w:color w:val="auto"/>
        </w:rPr>
        <w:t>After giving effect to our sale in this offering of 2,808,988 shares of common stock at the public offering price of $44.50 per share, and after deducting estimated underwriting discounts and commissions and estimated offering expenses payable by us, our as adjusted net tangible book value as of December 31, 2024 would have been approximately $333.4 million, or $8.10 per share of our common stock. This amount represents an immediate increase in as adjusted net tangible book value of $2.46 per share to our existing stockholders and an immediate dilution of $36.40 per share to investors participating in this offering. Net tangible book value dilution per share to new investors participating in this offering represents the difference between the amount per share paid by purchaser of common stock in this offering and the as adjusted net tangible book value per share of common stock immediately after completion of this offering.</w:t>
      </w:r>
    </w:p>
    <w:p>
      <w:pPr>
        <w:spacing w:after="0" w:line="189"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Dilution per share to new investors purchasing our common stock is determined by subtracting as adjusted net tangible book value per share after this offering from the public offering price per share paid by new investors. The following table illustrates this dilution to new investors on a per share basis (without giving effect to any exercise by the underwriters of their option to purchase additional shares):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12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$44.50</w:t>
            </w:r>
          </w:p>
        </w:tc>
      </w:tr>
      <w:tr>
        <w:trPr>
          <w:trHeight w:val="216"/>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per share as of December 31, 2024</w:t>
            </w:r>
          </w:p>
        </w:tc>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$ 5.64</w:t>
            </w:r>
          </w:p>
        </w:tc>
      </w:tr>
      <w:tr>
        <w:trPr>
          <w:trHeight w:val="198"/>
        </w:trPr>
        <w:tc>
          <w:tcPr>
            <w:tcW w:w="70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Increase (decrease) in net tangible book value per share attributable to new investors in</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7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this offering</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$ 2.46</w:t>
            </w: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05"/>
        </w:trPr>
        <w:tc>
          <w:tcPr>
            <w:tcW w:w="7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As adjusted net tangible book value per share as of December 31, 2024, immediately after this</w:t>
            </w:r>
          </w:p>
        </w:tc>
        <w:tc>
          <w:tcPr>
            <w:tcW w:w="4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7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740" w:type="dxa"/>
            <w:vAlign w:val="bottom"/>
            <w:gridSpan w:val="2"/>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40" w:type="dxa"/>
            <w:vAlign w:val="bottom"/>
          </w:tcPr>
          <w:p>
            <w:pPr>
              <w:spacing w:after="0"/>
              <w:rPr>
                <w:sz w:val="20"/>
                <w:szCs w:val="20"/>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participating in this offering</w:t>
            </w:r>
          </w:p>
        </w:tc>
        <w:tc>
          <w:tcPr>
            <w:tcW w:w="12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36.40</w:t>
            </w:r>
          </w:p>
        </w:tc>
      </w:tr>
      <w:tr>
        <w:trPr>
          <w:trHeight w:val="20"/>
        </w:trPr>
        <w:tc>
          <w:tcPr>
            <w:tcW w:w="7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991"/>
        <w:spacing w:after="0" w:line="266" w:lineRule="auto"/>
        <w:rPr>
          <w:sz w:val="20"/>
          <w:szCs w:val="20"/>
          <w:color w:val="auto"/>
        </w:rPr>
      </w:pPr>
      <w:r>
        <w:rPr>
          <w:rFonts w:ascii="Times New Roman" w:cs="Times New Roman" w:eastAsia="Times New Roman" w:hAnsi="Times New Roman"/>
          <w:sz w:val="18"/>
          <w:szCs w:val="18"/>
          <w:color w:val="auto"/>
        </w:rPr>
        <w:t>If the underwriters’ option to purchase additional shares in this offering is exercised in full, the as adjusted net tangible book value would be $8.44 per share, the increase in the net tangible book value per share for existing stockholders would be $2.80 per share and the dilution to new investors participating in this offering would be $36.06 per share.</w:t>
      </w:r>
    </w:p>
    <w:p>
      <w:pPr>
        <w:spacing w:after="0" w:line="176"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The foregoing tables and calculations (other than the historical net tangible book value calculation) are based on 38,349,826 shares of our common stock outstanding as of December 31, 2024, and unless otherwise indicated, excludes:</w:t>
      </w:r>
    </w:p>
    <w:p>
      <w:pPr>
        <w:spacing w:after="0" w:line="67" w:lineRule="exact"/>
        <w:rPr>
          <w:sz w:val="20"/>
          <w:szCs w:val="20"/>
          <w:color w:val="auto"/>
        </w:rPr>
      </w:pPr>
    </w:p>
    <w:p>
      <w:pPr>
        <w:ind w:left="1540" w:right="340" w:hanging="331"/>
        <w:spacing w:after="0" w:line="282" w:lineRule="auto"/>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5,007,908 shares of common stock issuable upon the exercise of options outstanding as of December 31, 2024, with a weighted-average exercise price of $19.29 per share;</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1,915,281 shares of common stock underlying restricted stock units outstanding as of December 31, 2024;</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60" w:hanging="331"/>
        <w:spacing w:after="0" w:line="28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456,823 shares of common stock issuable upon the exercise of options granted after December 31, 2024, with a weighted-average exercise price of $44.88 per share;</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312,500 shares of common stock issuable upon the exercise of pre-funded warrants outstanding as of December 31, 2024;</w:t>
      </w:r>
    </w:p>
    <w:p>
      <w:pPr>
        <w:spacing w:after="0" w:line="130" w:lineRule="exact"/>
        <w:rPr>
          <w:rFonts w:ascii="Times New Roman" w:cs="Times New Roman" w:eastAsia="Times New Roman" w:hAnsi="Times New Roman"/>
          <w:sz w:val="18"/>
          <w:szCs w:val="18"/>
          <w:color w:val="auto"/>
        </w:rPr>
      </w:pPr>
    </w:p>
    <w:p>
      <w:pPr>
        <w:ind w:left="1540" w:right="400" w:hanging="331"/>
        <w:spacing w:after="0" w:line="28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7,204,677 shares of common stock reserved for future issuance under our 2020 Plan as of December 31, 2024, as well as any automatic increases in the number of shares of common stock reserved for future issuance under the 2020 Plan; and</w:t>
      </w:r>
    </w:p>
    <w:p>
      <w:pPr>
        <w:spacing w:after="0" w:line="67" w:lineRule="exact"/>
        <w:rPr>
          <w:rFonts w:ascii="Times New Roman" w:cs="Times New Roman" w:eastAsia="Times New Roman" w:hAnsi="Times New Roman"/>
          <w:sz w:val="18"/>
          <w:szCs w:val="18"/>
          <w:color w:val="auto"/>
        </w:rPr>
      </w:pPr>
    </w:p>
    <w:p>
      <w:pPr>
        <w:ind w:left="1540" w:right="40" w:hanging="331"/>
        <w:spacing w:after="0" w:line="28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2,765,942 shares of common stock reserved for issuance under our 2020 ESPP as of December 31, 2024, as well as any automatic increases in the number of shares of common stock reserved for future issuance under the 2020 ESPP.</w:t>
      </w:r>
    </w:p>
    <w:p>
      <w:pPr>
        <w:spacing w:after="0" w:line="162"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pre-funded warrants, or RSUs are exercised or settled,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0940"/>
          </w:cols>
          <w:pgMar w:left="320" w:top="455" w:right="6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MATERIAL U.S. FEDERAL INCOME AND ESTATE TAX CONSEQUENCES FOR NON-U.S. HOLDERS OF OUR COMMON STOCK</w:t>
      </w:r>
    </w:p>
    <w:p>
      <w:pPr>
        <w:spacing w:after="0" w:line="229"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The following is a general discussion of certain material U.S. federal income tax consequences applicable to non-U.S. holders (as defined below) with respect to their ownership and disposition of shares of our common stock issued pursuant to this offering.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85" w:lineRule="exact"/>
        <w:rPr>
          <w:sz w:val="20"/>
          <w:szCs w:val="20"/>
          <w:color w:val="auto"/>
        </w:rPr>
      </w:pPr>
    </w:p>
    <w:p>
      <w:pPr>
        <w:ind w:left="1540" w:hanging="331"/>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30"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includable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1540" w:right="220" w:hanging="331"/>
        <w:spacing w:after="0" w:line="266" w:lineRule="auto"/>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w:t>
      </w:r>
    </w:p>
    <w:p>
      <w:pPr>
        <w:spacing w:after="0" w:line="176"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This discussion is based on current provisions of the Internal Revenue Code of 1986, as amended, or the Code, existing, temporary and proposed Treasury Regulations promulgated thereunder, published administrative pronouncements of the Internal Revenue Service or, the IRS, and other applicable authorities, all of which are subject to change or to differing interpretation, possibly with retroactive effect. Any such change or differing interpretation could alter the tax consequences described in this discussion. There can be no assurance that the IRS will not challenge one or more of the tax consequences described herein, and we have not obtained, nor do we intend to obtain, a ruling with respect to the U.S. federal income tax consequences to a holder of the ownership or disposition of our common stock.</w:t>
      </w:r>
    </w:p>
    <w:p>
      <w:pPr>
        <w:spacing w:after="0" w:line="187"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This discussion assumes that a non-U.S. holder holds shares of our common stock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the special tax accounting rules under Section 451(b) of the Code, any U.S.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 of the purchase, ownership and disposition of our common stock.</w:t>
      </w:r>
    </w:p>
    <w:p>
      <w:pPr>
        <w:spacing w:after="0" w:line="186" w:lineRule="exact"/>
        <w:rPr>
          <w:sz w:val="20"/>
          <w:szCs w:val="20"/>
          <w:color w:val="auto"/>
        </w:rPr>
      </w:pPr>
    </w:p>
    <w:p>
      <w:pPr>
        <w:ind w:left="120" w:right="1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INVESTORS CONSIDERING THE PURCHASE OF OUR COMMON STOCK SHOULD CONSULT THEIR OWN TAX ADVISORS REGARDING THE APPLICATION OF THE U.S. FEDERAL INCOME AND ESTATE TAX LAWS TO THEIR PARTICULAR SITUATIONS AND THE CONSEQUENCES OF NON-U.S., STATE, OR LOCAL LAWS AND TAX TREATIES.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80" w:firstLine="991"/>
        <w:spacing w:after="0" w:line="255" w:lineRule="auto"/>
        <w:rPr>
          <w:sz w:val="20"/>
          <w:szCs w:val="20"/>
          <w:color w:val="auto"/>
        </w:rPr>
      </w:pPr>
      <w:r>
        <w:rPr>
          <w:rFonts w:ascii="Times New Roman" w:cs="Times New Roman" w:eastAsia="Times New Roman" w:hAnsi="Times New Roman"/>
          <w:sz w:val="18"/>
          <w:szCs w:val="18"/>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amount distributed in excess of basis will be treated as capital gain and will be subject to the treatment described below under “—Gain on Sale or Other Disposition of Common Stock.” Any distributions will also be subject to the discussion below under “—Backup Withholding and Information Reporting” and “—Foreign Account Tax Compliance Act.”</w:t>
      </w:r>
    </w:p>
    <w:p>
      <w:pPr>
        <w:spacing w:after="0" w:line="189" w:lineRule="exact"/>
        <w:rPr>
          <w:sz w:val="20"/>
          <w:szCs w:val="20"/>
          <w:color w:val="auto"/>
        </w:rPr>
      </w:pPr>
    </w:p>
    <w:p>
      <w:pPr>
        <w:ind w:left="120" w:firstLine="991"/>
        <w:spacing w:after="0" w:line="270" w:lineRule="auto"/>
        <w:rPr>
          <w:sz w:val="20"/>
          <w:szCs w:val="20"/>
          <w:color w:val="auto"/>
        </w:rPr>
      </w:pPr>
      <w:r>
        <w:rPr>
          <w:rFonts w:ascii="Times New Roman" w:cs="Times New Roman" w:eastAsia="Times New Roman" w:hAnsi="Times New Roman"/>
          <w:sz w:val="17"/>
          <w:szCs w:val="17"/>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IRS Form W-8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77"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that such dividends are effectively connected with the non-U.S. holder’s conduct of a trade or business within the United States. Such effectively connected dividends, although not subject to withholding tax, are taxed at the same rates applicable to U.S. persons, net of certain deductions and credits. In addition, dividends received by a corporate non-U.S. holder that are effectively connected with a U.S. trade or business of the corporate non-U.S. holder may also be subject to a branch profits tax at a rate of 30% or such lower rate as may be specified by an applicable tax treaty.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Common Stock</w:t>
      </w:r>
    </w:p>
    <w:p>
      <w:pPr>
        <w:spacing w:after="0" w:line="121" w:lineRule="exact"/>
        <w:rPr>
          <w:sz w:val="20"/>
          <w:szCs w:val="20"/>
          <w:color w:val="auto"/>
        </w:rPr>
      </w:pPr>
    </w:p>
    <w:p>
      <w:pPr>
        <w:jc w:val="both"/>
        <w:ind w:left="120" w:right="260" w:firstLine="991"/>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“—Foreign Account Tax Compliance Act,” non-U.S. holders will generally not be subject to U.S. federal income tax on any gains realized on the sale, exchange or other disposition of our common stock unless:</w:t>
      </w:r>
    </w:p>
    <w:p>
      <w:pPr>
        <w:spacing w:after="0" w:line="81" w:lineRule="exact"/>
        <w:rPr>
          <w:sz w:val="20"/>
          <w:szCs w:val="20"/>
          <w:color w:val="auto"/>
        </w:rPr>
      </w:pPr>
    </w:p>
    <w:p>
      <w:pPr>
        <w:ind w:left="1540" w:right="40" w:hanging="331"/>
        <w:spacing w:after="0" w:line="289" w:lineRule="auto"/>
        <w:tabs>
          <w:tab w:leader="none" w:pos="15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63" w:lineRule="exact"/>
        <w:rPr>
          <w:rFonts w:ascii="Times New Roman" w:cs="Times New Roman" w:eastAsia="Times New Roman" w:hAnsi="Times New Roman"/>
          <w:sz w:val="17"/>
          <w:szCs w:val="17"/>
          <w:color w:val="auto"/>
        </w:rPr>
      </w:pPr>
    </w:p>
    <w:p>
      <w:pPr>
        <w:ind w:left="1540" w:hanging="331"/>
        <w:spacing w:after="0" w:line="266"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sale, exchange or other disposition of our common stock, and certain other conditions are met (in which case the net gain would be subject to a flat 30% tax, or such reduced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40"/>
        <w:spacing w:after="0" w:line="266" w:lineRule="auto"/>
        <w:rPr>
          <w:sz w:val="20"/>
          <w:szCs w:val="20"/>
          <w:color w:val="auto"/>
        </w:rPr>
      </w:pPr>
      <w:r>
        <w:rPr>
          <w:rFonts w:ascii="Times New Roman" w:cs="Times New Roman" w:eastAsia="Times New Roman" w:hAnsi="Times New Roman"/>
          <w:sz w:val="18"/>
          <w:szCs w:val="18"/>
          <w:color w:val="auto"/>
        </w:rPr>
        <w:t>rate as may be specified by an applicable income tax treaty, which may be offset by U.S. source capital losses of such non-U.S. holder, if any, provided the non-U.S. holder has timely filed U.S. federal income tax returns with respect to such losses, even though the individual is not considered a resident of the United States); or</w:t>
      </w:r>
    </w:p>
    <w:p>
      <w:pPr>
        <w:spacing w:after="0" w:line="81" w:lineRule="exact"/>
        <w:rPr>
          <w:sz w:val="20"/>
          <w:szCs w:val="20"/>
          <w:color w:val="auto"/>
        </w:rPr>
      </w:pPr>
    </w:p>
    <w:p>
      <w:pPr>
        <w:ind w:left="1540" w:right="60" w:hanging="331"/>
        <w:spacing w:after="0" w:line="282"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the Foreign Investment in Real Property Tax Act, or FIRPTA, treat the gain as effectively connected with a U.S. trade or business.</w:t>
      </w:r>
    </w:p>
    <w:p>
      <w:pPr>
        <w:spacing w:after="0" w:line="162" w:lineRule="exact"/>
        <w:rPr>
          <w:sz w:val="20"/>
          <w:szCs w:val="20"/>
          <w:color w:val="auto"/>
        </w:rPr>
      </w:pPr>
    </w:p>
    <w:p>
      <w:pPr>
        <w:ind w:left="120" w:firstLine="991"/>
        <w:spacing w:after="0" w:line="255" w:lineRule="auto"/>
        <w:rPr>
          <w:sz w:val="20"/>
          <w:szCs w:val="20"/>
          <w:color w:val="auto"/>
        </w:rPr>
      </w:pPr>
      <w:r>
        <w:rPr>
          <w:rFonts w:ascii="Times New Roman" w:cs="Times New Roman" w:eastAsia="Times New Roman" w:hAnsi="Times New Roman"/>
          <w:sz w:val="18"/>
          <w:szCs w:val="18"/>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and the non-U.S. holder’s holding period.</w:t>
      </w:r>
    </w:p>
    <w:p>
      <w:pPr>
        <w:spacing w:after="0" w:line="189" w:lineRule="exact"/>
        <w:rPr>
          <w:sz w:val="20"/>
          <w:szCs w:val="20"/>
          <w:color w:val="auto"/>
        </w:rPr>
      </w:pPr>
    </w:p>
    <w:p>
      <w:pPr>
        <w:ind w:left="120" w:right="180" w:firstLine="991"/>
        <w:spacing w:after="0" w:line="255" w:lineRule="auto"/>
        <w:rPr>
          <w:sz w:val="20"/>
          <w:szCs w:val="20"/>
          <w:color w:val="auto"/>
        </w:rPr>
      </w:pPr>
      <w:r>
        <w:rPr>
          <w:rFonts w:ascii="Times New Roman" w:cs="Times New Roman" w:eastAsia="Times New Roman" w:hAnsi="Times New Roman"/>
          <w:sz w:val="18"/>
          <w:szCs w:val="18"/>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amount of distributions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w:t>
      </w:r>
    </w:p>
    <w:p>
      <w:pPr>
        <w:spacing w:after="0" w:line="180" w:lineRule="exact"/>
        <w:rPr>
          <w:sz w:val="20"/>
          <w:szCs w:val="20"/>
          <w:color w:val="auto"/>
        </w:rPr>
      </w:pPr>
    </w:p>
    <w:p>
      <w:pPr>
        <w:jc w:val="both"/>
        <w:ind w:left="120" w:firstLine="991"/>
        <w:spacing w:after="0" w:line="261" w:lineRule="auto"/>
        <w:rPr>
          <w:sz w:val="20"/>
          <w:szCs w:val="20"/>
          <w:color w:val="auto"/>
        </w:rPr>
      </w:pPr>
      <w:r>
        <w:rPr>
          <w:rFonts w:ascii="Times New Roman" w:cs="Times New Roman" w:eastAsia="Times New Roman" w:hAnsi="Times New Roman"/>
          <w:sz w:val="18"/>
          <w:szCs w:val="18"/>
          <w:color w:val="auto"/>
        </w:rPr>
        <w:t>A non-U.S. holder will generally be subject to backup withholding on distributions on our common stock paid to such holder unless such holder certifies under penalties of perjury that, among other things, it is a non-U.S. holder, generally by providing an applicable and properly completed IRS Form W-8BEN, IRS Form W-8BEN-E, or IRS Form W-8ECI (and the payer does not have actual knowledge or reason to know that such holder is a U.S. person) or otherwise establishes an exemption.</w:t>
      </w:r>
    </w:p>
    <w:p>
      <w:pPr>
        <w:spacing w:after="0" w:line="180" w:lineRule="exact"/>
        <w:rPr>
          <w:sz w:val="20"/>
          <w:szCs w:val="20"/>
          <w:color w:val="auto"/>
        </w:rPr>
      </w:pPr>
    </w:p>
    <w:p>
      <w:pPr>
        <w:ind w:left="120" w:right="40" w:firstLine="991"/>
        <w:spacing w:after="0" w:line="255" w:lineRule="auto"/>
        <w:rPr>
          <w:sz w:val="20"/>
          <w:szCs w:val="20"/>
          <w:color w:val="auto"/>
        </w:rPr>
      </w:pPr>
      <w:r>
        <w:rPr>
          <w:rFonts w:ascii="Times New Roman" w:cs="Times New Roman" w:eastAsia="Times New Roman" w:hAnsi="Times New Roman"/>
          <w:sz w:val="18"/>
          <w:szCs w:val="18"/>
          <w:color w:val="auto"/>
        </w:rPr>
        <w:t>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Under the Foreign Account Tax Compliance Act, or FATCA, withholding tax of 30% applies to certain payments to foreign financial institutions, investment funds and certain other non-U.S. persons that fail to comply with certain information reporting and certification requirements pertaining to their direct and indirect U.S. securityholders and/or U.S. accountholders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w:t>
      </w:r>
    </w:p>
    <w:p>
      <w:pPr>
        <w:spacing w:after="0" w:line="187"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w:t>
      </w:r>
    </w:p>
    <w:p>
      <w:pPr>
        <w:spacing w:after="0" w:line="176" w:lineRule="exact"/>
        <w:rPr>
          <w:sz w:val="20"/>
          <w:szCs w:val="20"/>
          <w:color w:val="auto"/>
        </w:rPr>
      </w:pPr>
    </w:p>
    <w:p>
      <w:pPr>
        <w:ind w:left="120" w:right="480" w:firstLine="991"/>
        <w:spacing w:after="0" w:line="282" w:lineRule="auto"/>
        <w:rPr>
          <w:sz w:val="20"/>
          <w:szCs w:val="20"/>
          <w:color w:val="auto"/>
        </w:rPr>
      </w:pPr>
      <w:r>
        <w:rPr>
          <w:rFonts w:ascii="Times New Roman" w:cs="Times New Roman" w:eastAsia="Times New Roman" w:hAnsi="Times New Roman"/>
          <w:sz w:val="18"/>
          <w:szCs w:val="18"/>
          <w:color w:val="auto"/>
        </w:rPr>
        <w:t>Prospective investors are encouraged to consult with their own tax advisors regarding the possible implications of FATCA on their investment in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121"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Common stock we have issued that is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w:t>
      </w:r>
    </w:p>
    <w:p>
      <w:pPr>
        <w:spacing w:after="0" w:line="172" w:lineRule="exact"/>
        <w:rPr>
          <w:sz w:val="20"/>
          <w:szCs w:val="20"/>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PROSPECTIVE INVESTORS SHOULD CONSULT THEIR OWN TAX ADVISORS REGARDING THE POTENTIAL APPLICATION OF WITHHOLDING UNDER FATCA TO THEIR INVESTMENT IN OUR COMMON STOCK. THE PRECEDING DISCUSSION OF U.S. FEDERAL INCOME TAX CONSEQUENCES IS FOR GENERAL INFORMATION PURPOSES ONLY. IT IS NOT TAX ADVICE. EACH PROSPECTIVE INVESTOR SHOULD CONSULT ITS OWN TAX ADVISOR REGARDING THE PARTICULAR U.S. FEDERAL, GIFT, ESTATE, STATE, LOCAL, AND NON-U.S. TAX CONSEQUENCES OF PURCHASING, HOLDING, AND DISPOSING OF OUR COMMON STOCK, INCLUDING THE CONSEQUENCES OF ANY PROPOSED CHANGE IN APPLICABLE LAWS.</w:t>
      </w:r>
    </w:p>
    <w:p>
      <w:pPr>
        <w:spacing w:after="0" w:line="1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0980"/>
          </w:cols>
          <w:pgMar w:left="320" w:top="455" w:right="5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60" w:firstLine="991"/>
        <w:spacing w:after="0" w:line="266" w:lineRule="auto"/>
        <w:rPr>
          <w:sz w:val="20"/>
          <w:szCs w:val="20"/>
          <w:color w:val="auto"/>
        </w:rPr>
      </w:pPr>
      <w:r>
        <w:rPr>
          <w:rFonts w:ascii="Times New Roman" w:cs="Times New Roman" w:eastAsia="Times New Roman" w:hAnsi="Times New Roman"/>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BofA Securities, Inc. and Barclays Capital Inc. are the representatives of the underwriters.</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1,109,550</w:t>
            </w:r>
          </w:p>
        </w:tc>
      </w:tr>
      <w:tr>
        <w:trPr>
          <w:trHeight w:val="198"/>
        </w:trPr>
        <w:tc>
          <w:tcPr>
            <w:tcW w:w="6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BofA Securities, Inc.</w:t>
            </w:r>
          </w:p>
        </w:tc>
        <w:tc>
          <w:tcPr>
            <w:tcW w:w="11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912,921</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533,708</w:t>
            </w: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252,809</w:t>
            </w:r>
          </w:p>
        </w:tc>
      </w:tr>
      <w:tr>
        <w:trPr>
          <w:trHeight w:val="27"/>
        </w:trPr>
        <w:tc>
          <w:tcPr>
            <w:tcW w:w="6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2,808,988</w:t>
            </w:r>
          </w:p>
        </w:tc>
      </w:tr>
      <w:tr>
        <w:trPr>
          <w:trHeight w:val="20"/>
        </w:trPr>
        <w:tc>
          <w:tcPr>
            <w:tcW w:w="6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firstLine="991"/>
        <w:spacing w:after="0" w:line="282"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62" w:lineRule="exact"/>
        <w:rPr>
          <w:sz w:val="20"/>
          <w:szCs w:val="20"/>
          <w:color w:val="auto"/>
        </w:rPr>
      </w:pPr>
    </w:p>
    <w:p>
      <w:pPr>
        <w:ind w:left="120" w:right="20" w:firstLine="991"/>
        <w:spacing w:after="0" w:line="289" w:lineRule="auto"/>
        <w:rPr>
          <w:sz w:val="20"/>
          <w:szCs w:val="20"/>
          <w:color w:val="auto"/>
        </w:rPr>
      </w:pPr>
      <w:r>
        <w:rPr>
          <w:rFonts w:ascii="Times New Roman" w:cs="Times New Roman" w:eastAsia="Times New Roman" w:hAnsi="Times New Roman"/>
          <w:sz w:val="17"/>
          <w:szCs w:val="17"/>
          <w:color w:val="auto"/>
        </w:rPr>
        <w:t>The underwriters have an option to buy up to an additional 421,348 shares of our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58" w:lineRule="exact"/>
        <w:rPr>
          <w:sz w:val="20"/>
          <w:szCs w:val="20"/>
          <w:color w:val="auto"/>
        </w:rPr>
      </w:pPr>
    </w:p>
    <w:p>
      <w:pPr>
        <w:ind w:left="120" w:right="440" w:firstLine="991"/>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an additional 421,348 shares of our common stock from us.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No Exercise</w:t>
            </w:r>
          </w:p>
        </w:tc>
        <w:tc>
          <w:tcPr>
            <w:tcW w:w="14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Full Exercise</w:t>
            </w:r>
          </w:p>
        </w:tc>
      </w:tr>
      <w:tr>
        <w:trPr>
          <w:trHeight w:val="210"/>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7,499,997.96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8,624,997.12</w:t>
            </w:r>
          </w:p>
        </w:tc>
      </w:tr>
    </w:tbl>
    <w:p>
      <w:pPr>
        <w:spacing w:after="0" w:line="179"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public offering price set forth on the cover of this prospectus supplement. Any shares sold by the underwriters to securities dealers may be sold at a discount of up to $1.6020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80"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We and our executive officers, directors, and certain other stockholders have agreed or will agree with the underwriters, among other things and subject to certain exceptions, not to dispose of or hedge any of our or their common stock or securities convertible into or exchangeable for shares of our common stock during the period from the date of this prospectus supplement continuing through the date 90 days after the date of this prospectus supplement, or the Lock-Up Period, except with the prior written consent of Goldman Sachs &amp; Co. LLC, BofA Securities, Inc. and Barclays Capital Inc., or the representatives. This agreement does not apply to any existing employee benefit plans.</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 us with respect to:</w:t>
      </w:r>
    </w:p>
    <w:p>
      <w:pPr>
        <w:spacing w:after="0" w:line="131" w:lineRule="exact"/>
        <w:rPr>
          <w:sz w:val="20"/>
          <w:szCs w:val="20"/>
          <w:color w:val="auto"/>
        </w:rPr>
      </w:pPr>
    </w:p>
    <w:p>
      <w:pPr>
        <w:ind w:left="2080" w:hanging="533"/>
        <w:spacing w:after="0"/>
        <w:tabs>
          <w:tab w:leader="none" w:pos="2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sold in this offering;</w:t>
      </w:r>
    </w:p>
    <w:p>
      <w:pPr>
        <w:spacing w:after="0" w:line="130" w:lineRule="exact"/>
        <w:rPr>
          <w:rFonts w:ascii="Times New Roman" w:cs="Times New Roman" w:eastAsia="Times New Roman" w:hAnsi="Times New Roman"/>
          <w:sz w:val="18"/>
          <w:szCs w:val="18"/>
          <w:color w:val="auto"/>
        </w:rPr>
      </w:pPr>
    </w:p>
    <w:p>
      <w:pPr>
        <w:jc w:val="both"/>
        <w:ind w:left="2080" w:right="240" w:hanging="533"/>
        <w:spacing w:after="0" w:line="266" w:lineRule="auto"/>
        <w:tabs>
          <w:tab w:leader="none" w:pos="2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issued by us upon the exercise of an option or warrant or the conversion of a security, in each case, outstanding on the date of this prospectus supplement and referred to herein or in a document incorporated herein by reference;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2080" w:right="40" w:hanging="533"/>
        <w:spacing w:after="0" w:line="266" w:lineRule="auto"/>
        <w:tabs>
          <w:tab w:leader="none" w:pos="2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reacquisition or withholding of all or a portion of shares of common stock subject to a stock award to satisfy a tax withholding obligation of us in connection with the vesting or exercise of such stock award or to satisfy the purchase price or exercise price of such stock award;</w:t>
      </w:r>
    </w:p>
    <w:p>
      <w:pPr>
        <w:spacing w:after="0" w:line="81" w:lineRule="exact"/>
        <w:rPr>
          <w:rFonts w:ascii="Times New Roman" w:cs="Times New Roman" w:eastAsia="Times New Roman" w:hAnsi="Times New Roman"/>
          <w:sz w:val="18"/>
          <w:szCs w:val="18"/>
          <w:color w:val="auto"/>
        </w:rPr>
      </w:pPr>
    </w:p>
    <w:p>
      <w:pPr>
        <w:ind w:left="2080" w:right="260" w:hanging="533"/>
        <w:spacing w:after="0" w:line="282" w:lineRule="auto"/>
        <w:tabs>
          <w:tab w:leader="none" w:pos="2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compensatory equity-based awards, and/or the issuance of shares of common stock with respect thereto, made pursuant to compensatory equity-based plans referred to herein or in a document incorporated herein by reference;</w:t>
      </w:r>
    </w:p>
    <w:p>
      <w:pPr>
        <w:spacing w:after="0" w:line="67" w:lineRule="exact"/>
        <w:rPr>
          <w:rFonts w:ascii="Times New Roman" w:cs="Times New Roman" w:eastAsia="Times New Roman" w:hAnsi="Times New Roman"/>
          <w:sz w:val="18"/>
          <w:szCs w:val="18"/>
          <w:color w:val="auto"/>
        </w:rPr>
      </w:pPr>
    </w:p>
    <w:p>
      <w:pPr>
        <w:ind w:left="2080" w:right="560" w:hanging="533"/>
        <w:spacing w:after="0" w:line="282" w:lineRule="auto"/>
        <w:tabs>
          <w:tab w:leader="none" w:pos="2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issued pursuant to any non-employee director compensation plan or program or dividend reinvestment plan referred to herein or in a document incorporated herein by reference;</w:t>
      </w:r>
    </w:p>
    <w:p>
      <w:pPr>
        <w:spacing w:after="0" w:line="67" w:lineRule="exact"/>
        <w:rPr>
          <w:rFonts w:ascii="Times New Roman" w:cs="Times New Roman" w:eastAsia="Times New Roman" w:hAnsi="Times New Roman"/>
          <w:sz w:val="18"/>
          <w:szCs w:val="18"/>
          <w:color w:val="auto"/>
        </w:rPr>
      </w:pPr>
    </w:p>
    <w:p>
      <w:pPr>
        <w:ind w:left="2080" w:right="500" w:hanging="533"/>
        <w:spacing w:after="0" w:line="282" w:lineRule="auto"/>
        <w:tabs>
          <w:tab w:leader="none" w:pos="2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registration statement on Form S-8 relating to the registration of securities to be offered under any of our employee benefit or equity incentive plans referred to herein or in a document incorporated herein by reference;</w:t>
      </w:r>
    </w:p>
    <w:p>
      <w:pPr>
        <w:spacing w:after="0" w:line="67" w:lineRule="exact"/>
        <w:rPr>
          <w:rFonts w:ascii="Times New Roman" w:cs="Times New Roman" w:eastAsia="Times New Roman" w:hAnsi="Times New Roman"/>
          <w:sz w:val="18"/>
          <w:szCs w:val="18"/>
          <w:color w:val="auto"/>
        </w:rPr>
      </w:pPr>
    </w:p>
    <w:p>
      <w:pPr>
        <w:ind w:left="2080" w:right="20" w:hanging="533"/>
        <w:spacing w:after="0" w:line="257" w:lineRule="auto"/>
        <w:tabs>
          <w:tab w:leader="none" w:pos="2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restricted stock awards or securities convertible into or exercisable or exchangeable for shares of common stock in connection with (A) the acquisition of the securities, business, property or other assets of another person or pursuant to any employee benefit plan assumed in connection with any such acquisition, (B) joint ventures,</w:t>
      </w:r>
    </w:p>
    <w:p>
      <w:pPr>
        <w:spacing w:after="0" w:line="1" w:lineRule="exact"/>
        <w:rPr>
          <w:rFonts w:ascii="Times New Roman" w:cs="Times New Roman" w:eastAsia="Times New Roman" w:hAnsi="Times New Roman"/>
          <w:sz w:val="18"/>
          <w:szCs w:val="18"/>
          <w:color w:val="auto"/>
        </w:rPr>
      </w:pPr>
    </w:p>
    <w:p>
      <w:pPr>
        <w:ind w:left="20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commercial relationships or (D) other strategic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of our common stock, restricted stock awards and shares of common stock issuable upon the conversion, exercise or exchange of securities (on an as converted or as exercised basis, as the case may be) issued pursuant to this clause (vii) shall not exceed 5% of the total number of shares of our common stock issued and outstanding immediately following the issuance and sale of the shares of common stock in this offering and that each recipient of such securities shall execute a lock-up agreement substantially in the same form; or</w:t>
      </w:r>
    </w:p>
    <w:p>
      <w:pPr>
        <w:spacing w:after="0" w:line="95" w:lineRule="exact"/>
        <w:rPr>
          <w:rFonts w:ascii="Times New Roman" w:cs="Times New Roman" w:eastAsia="Times New Roman" w:hAnsi="Times New Roman"/>
          <w:sz w:val="18"/>
          <w:szCs w:val="18"/>
          <w:color w:val="auto"/>
        </w:rPr>
      </w:pPr>
    </w:p>
    <w:p>
      <w:pPr>
        <w:ind w:left="2080" w:right="60" w:hanging="533"/>
        <w:spacing w:after="0" w:line="224" w:lineRule="auto"/>
        <w:tabs>
          <w:tab w:leader="none" w:pos="2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61st day from the date of this prospectus supplement, the shares of common stock sold pursuant to that certain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by and between us and Jefferies LLC (provided that no public filings regarding such sales or announcement regarding such sales shall be required or be voluntarily made during the Lock-Up Period).</w:t>
      </w:r>
    </w:p>
    <w:p>
      <w:pPr>
        <w:spacing w:after="0" w:line="199" w:lineRule="exact"/>
        <w:rPr>
          <w:sz w:val="20"/>
          <w:szCs w:val="20"/>
          <w:color w:val="auto"/>
        </w:rPr>
      </w:pPr>
    </w:p>
    <w:p>
      <w:pPr>
        <w:ind w:left="120" w:right="580" w:firstLine="991"/>
        <w:spacing w:after="0" w:line="282" w:lineRule="auto"/>
        <w:rPr>
          <w:sz w:val="20"/>
          <w:szCs w:val="20"/>
          <w:color w:val="auto"/>
        </w:rPr>
      </w:pPr>
      <w:r>
        <w:rPr>
          <w:rFonts w:ascii="Times New Roman" w:cs="Times New Roman" w:eastAsia="Times New Roman" w:hAnsi="Times New Roman"/>
          <w:sz w:val="18"/>
          <w:szCs w:val="18"/>
          <w:color w:val="auto"/>
        </w:rPr>
        <w:t>The restrictions described above do not apply to our executive officers, directors and certain of our stockholders who entered into a lock-up agreement with respect to, among other things and subject to certain exceptions:</w:t>
      </w:r>
    </w:p>
    <w:p>
      <w:pPr>
        <w:spacing w:after="0" w:line="65" w:lineRule="exact"/>
        <w:rPr>
          <w:sz w:val="20"/>
          <w:szCs w:val="20"/>
          <w:color w:val="auto"/>
        </w:rPr>
      </w:pPr>
    </w:p>
    <w:p>
      <w:pPr>
        <w:ind w:left="2080" w:hanging="533"/>
        <w:spacing w:after="0"/>
        <w:tabs>
          <w:tab w:leader="none" w:pos="2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w:t>
      </w:r>
    </w:p>
    <w:p>
      <w:pPr>
        <w:spacing w:after="0" w:line="132"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any trust for the direct or indirect benefit of the stockholder or the immediate family of the stockholder;</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as distributions to any general or limited partners, members, stockholders or other equity holders of the stockholder;</w:t>
      </w:r>
    </w:p>
    <w:p>
      <w:pPr>
        <w:spacing w:after="0" w:line="130" w:lineRule="exact"/>
        <w:rPr>
          <w:rFonts w:ascii="Times New Roman" w:cs="Times New Roman" w:eastAsia="Times New Roman" w:hAnsi="Times New Roman"/>
          <w:sz w:val="18"/>
          <w:szCs w:val="18"/>
          <w:color w:val="auto"/>
        </w:rPr>
      </w:pPr>
    </w:p>
    <w:p>
      <w:pPr>
        <w:ind w:left="2080" w:right="560" w:hanging="533"/>
        <w:spacing w:after="0" w:line="282" w:lineRule="auto"/>
        <w:tabs>
          <w:tab w:leader="none" w:pos="2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the stockholder’s affiliates or to any investment fund or other entity that, directly or indirectly, controls or manages, is controlled or managed by, or is under common control or management with, the stockholder;</w:t>
      </w:r>
    </w:p>
    <w:p>
      <w:pPr>
        <w:spacing w:after="0" w:line="67"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will or intestate succession upon the death of the stockholder;</w:t>
      </w:r>
    </w:p>
    <w:p>
      <w:pPr>
        <w:spacing w:after="0" w:line="130" w:lineRule="exact"/>
        <w:rPr>
          <w:rFonts w:ascii="Times New Roman" w:cs="Times New Roman" w:eastAsia="Times New Roman" w:hAnsi="Times New Roman"/>
          <w:sz w:val="18"/>
          <w:szCs w:val="18"/>
          <w:color w:val="auto"/>
        </w:rPr>
      </w:pPr>
    </w:p>
    <w:p>
      <w:pPr>
        <w:ind w:left="2080" w:right="840" w:hanging="533"/>
        <w:spacing w:after="0" w:line="282" w:lineRule="auto"/>
        <w:tabs>
          <w:tab w:leader="none" w:pos="2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court of regulatory agency order, a qualified domestic order or in connection with a divorce settlement;</w:t>
      </w:r>
    </w:p>
    <w:p>
      <w:pPr>
        <w:spacing w:after="0" w:line="67" w:lineRule="exact"/>
        <w:rPr>
          <w:rFonts w:ascii="Times New Roman" w:cs="Times New Roman" w:eastAsia="Times New Roman" w:hAnsi="Times New Roman"/>
          <w:sz w:val="18"/>
          <w:szCs w:val="18"/>
          <w:color w:val="auto"/>
        </w:rPr>
      </w:pPr>
    </w:p>
    <w:p>
      <w:pPr>
        <w:ind w:left="2080" w:right="320" w:hanging="533"/>
        <w:spacing w:after="0" w:line="282" w:lineRule="auto"/>
        <w:tabs>
          <w:tab w:leader="none" w:pos="2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us in connection with the settlement of restricted stock units or exercise of options, warrants or other rights to acquire shares of common stock or any security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2080" w:right="80"/>
        <w:spacing w:after="0" w:line="258" w:lineRule="auto"/>
        <w:rPr>
          <w:sz w:val="20"/>
          <w:szCs w:val="20"/>
          <w:color w:val="auto"/>
        </w:rPr>
      </w:pPr>
      <w:r>
        <w:rPr>
          <w:rFonts w:ascii="Times New Roman" w:cs="Times New Roman" w:eastAsia="Times New Roman" w:hAnsi="Times New Roman"/>
          <w:sz w:val="18"/>
          <w:szCs w:val="18"/>
          <w:color w:val="auto"/>
        </w:rPr>
        <w:t xml:space="preserve">convertible, exercisable for or settled into shares of our common stock by way of net exercise, net settlement and/or to cover withholding tax obligations in connection with such exercise or settlement pursuant to an employee benefit plan, option, restricted stock unit or warrant or other right disclosed herein or any document incorporated by reference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shares of the common stock issued upon settlement of such restricted stock unit or exercise of such option, warrant or other right shall be subject to the same restrictions;</w:t>
      </w:r>
    </w:p>
    <w:p>
      <w:pPr>
        <w:spacing w:after="0" w:line="89" w:lineRule="exact"/>
        <w:rPr>
          <w:sz w:val="20"/>
          <w:szCs w:val="20"/>
          <w:color w:val="auto"/>
        </w:rPr>
      </w:pPr>
    </w:p>
    <w:p>
      <w:pPr>
        <w:ind w:left="2080" w:right="60" w:hanging="533"/>
        <w:spacing w:after="0" w:line="266" w:lineRule="auto"/>
        <w:tabs>
          <w:tab w:leader="none" w:pos="2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us pursuant to agreements under which we have exercised an option to repurchase such shares or has exercised a right of first refusal with respect to transfers of such shares upon termination of service of the stockholder, so long as such agreement or right of first refusal is disclosed herein or in any document incorporated by reference herein, for this offering;</w:t>
      </w:r>
    </w:p>
    <w:p>
      <w:pPr>
        <w:spacing w:after="0" w:line="81" w:lineRule="exact"/>
        <w:rPr>
          <w:rFonts w:ascii="Times New Roman" w:cs="Times New Roman" w:eastAsia="Times New Roman" w:hAnsi="Times New Roman"/>
          <w:sz w:val="18"/>
          <w:szCs w:val="18"/>
          <w:color w:val="auto"/>
        </w:rPr>
      </w:pPr>
    </w:p>
    <w:p>
      <w:pPr>
        <w:ind w:left="2080" w:hanging="533"/>
        <w:spacing w:after="0" w:line="254" w:lineRule="auto"/>
        <w:tabs>
          <w:tab w:leader="none" w:pos="2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to a bona fide third party pursuant to a merger, consolidation, tender offer or other similar transaction made to all holders of shares of the common stock and involving a Change of Control of us and approved by our board of directors; provided that, in the event that such Change of Control is not completed, the stockholder’s securities subject to such lock-up restrictions shall remain subject to such restrictions,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any shares of the common stock not transferred in such merger, consolidation, tender offer or other transaction shall remain subject to the restrictions contained herein. “Change of Control” shall mean the transfer (whether by tender offer, merger, consolidation or other similar transaction), in one transaction or a series of related transactions, to a person or group of affiliated persons (other than an underwriter pursuant to this offering), of our voting securities if, after such transfer, such person or group of affiliated persons would hold more than 50% of our outstanding voting securities (or the surviving entity);</w:t>
      </w:r>
    </w:p>
    <w:p>
      <w:pPr>
        <w:spacing w:after="0" w:line="93" w:lineRule="exact"/>
        <w:rPr>
          <w:rFonts w:ascii="Times New Roman" w:cs="Times New Roman" w:eastAsia="Times New Roman" w:hAnsi="Times New Roman"/>
          <w:sz w:val="18"/>
          <w:szCs w:val="18"/>
          <w:color w:val="auto"/>
        </w:rPr>
      </w:pPr>
    </w:p>
    <w:p>
      <w:pPr>
        <w:ind w:left="2080" w:right="80" w:hanging="533"/>
        <w:spacing w:after="0" w:line="254" w:lineRule="auto"/>
        <w:tabs>
          <w:tab w:leader="none" w:pos="2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the sale on the open market of up to 100,000 shares (in the aggregate for all of our directors and executive officers) of common stock underlying restricted stock units held by such person that will vest during the Lock-Up Period and settle during the Lock-Up Period, but solely to the extent necessary to satisfy income tax withholding and remittance obligations in connection with the vesting and settlement of such restricted stock units that are outstanding as of the date of this prospectus supplement and described herein or in a document incorporated herein by reference and pursuant to an equity incentive plan or other equity award plan described in this prospectus supplement or in a document incorporated therein by reference; provided that any remaining shares of common stock issued upon vesting of such restricted stock units shall be subject to the same lock-up restrictions;</w:t>
      </w:r>
    </w:p>
    <w:p>
      <w:pPr>
        <w:spacing w:after="0" w:line="97" w:lineRule="exact"/>
        <w:rPr>
          <w:rFonts w:ascii="Times New Roman" w:cs="Times New Roman" w:eastAsia="Times New Roman" w:hAnsi="Times New Roman"/>
          <w:sz w:val="18"/>
          <w:szCs w:val="18"/>
          <w:color w:val="auto"/>
        </w:rPr>
      </w:pPr>
    </w:p>
    <w:p>
      <w:pPr>
        <w:ind w:left="2080" w:right="280" w:hanging="533"/>
        <w:spacing w:after="0" w:line="266" w:lineRule="auto"/>
        <w:tabs>
          <w:tab w:leader="none" w:pos="2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common stock acquired in this offering or other securities acquired in open market transactions after the completion of this offering, provided that such sales are not required to be reported in any public report or filing with the SEC;</w:t>
      </w:r>
    </w:p>
    <w:p>
      <w:pPr>
        <w:spacing w:after="0" w:line="81" w:lineRule="exact"/>
        <w:rPr>
          <w:rFonts w:ascii="Times New Roman" w:cs="Times New Roman" w:eastAsia="Times New Roman" w:hAnsi="Times New Roman"/>
          <w:sz w:val="18"/>
          <w:szCs w:val="18"/>
          <w:color w:val="auto"/>
        </w:rPr>
      </w:pPr>
    </w:p>
    <w:p>
      <w:pPr>
        <w:ind w:left="2080" w:right="100" w:hanging="533"/>
        <w:spacing w:after="0" w:line="258" w:lineRule="auto"/>
        <w:tabs>
          <w:tab w:leader="none" w:pos="2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provided that (1) any required filing under the Exchange Act made by us or any person regarding the establishment of such plan during the Lock-Up Period shall state that the stockholder is not permitted to sell, transfer or otherwise dispose of securities under such plan during the Lock-Up Period in contravention of the lock-up agreement relating thereto and (2) no sales are made during the Lock-Up Period pursuant to such plan; and</w:t>
      </w:r>
    </w:p>
    <w:p>
      <w:pPr>
        <w:spacing w:after="0" w:line="88" w:lineRule="exact"/>
        <w:rPr>
          <w:rFonts w:ascii="Times New Roman" w:cs="Times New Roman" w:eastAsia="Times New Roman" w:hAnsi="Times New Roman"/>
          <w:sz w:val="18"/>
          <w:szCs w:val="18"/>
          <w:color w:val="auto"/>
        </w:rPr>
      </w:pPr>
    </w:p>
    <w:p>
      <w:pPr>
        <w:ind w:left="2080" w:right="60" w:hanging="533"/>
        <w:spacing w:after="0" w:line="261" w:lineRule="auto"/>
        <w:tabs>
          <w:tab w:leader="none" w:pos="2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Rule 10b5-1 trading plan that has been entered into prior to the entry into the applicable lock-up agreement and provided to the representatives, provided that any filing under Section 16(a) of the Exchange Act that is made in connection with any such sales during the Lock-Up Period shall state that such sales have been executed under a 10b5-1 Trading Plan and shall also state the date such 10b5-1 Trading Plan was adopted.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above, the executive officer, director or stockholder may transfer the Lock-Up Securities without the prior written consent of the representatives, provided that (1) in the case of clause (i) through (vi) and (ix) above, the representatives receive a signed lock-up agreement for the balance of the Lock-Up Period from each donee, trustee, distributee or transferee, as the case may be, (2) (A) in the clauses (i) through (v) above, any such transfer shall not involve a disposition for value, (B) in the cases of clauses (i) through (iv) above, such transfers are not required to be reported during the Lock-Up Period with the SEC on Form 4 in accordance with Section 16 of the Exchange Act, and (C) in the cases of clauses (v) through (x) above, any filing under Section 16 of the Exchange Act made during the Lock-Up Period shall clearly indicate in the footnotes the circumstances of the transfer, and (3) such person does not otherwise voluntarily effect any public filing or report regarding such transfers during the Lock-Up Period.</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“TARS.”</w:t>
      </w:r>
    </w:p>
    <w:p>
      <w:pPr>
        <w:spacing w:after="0" w:line="225"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7"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83"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 $0.4 million. We have agreed to reimburse the underwriters for certain of their expenses in an amount up to $30,000.</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w:t>
      </w:r>
    </w:p>
    <w:p>
      <w:pPr>
        <w:spacing w:after="0" w:line="225"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76" w:lineRule="exact"/>
        <w:rPr>
          <w:sz w:val="20"/>
          <w:szCs w:val="20"/>
          <w:color w:val="auto"/>
        </w:rPr>
      </w:pPr>
    </w:p>
    <w:p>
      <w:pPr>
        <w:ind w:left="120" w:right="80" w:firstLine="991"/>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no securities have been offered or will be offered pursuant to the offering to the public in that Relevant Member State prior to the publication of a prospectus in relation to the securities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securities may be offered to the public in that Relevant Member State at any time:</w:t>
      </w:r>
    </w:p>
    <w:p>
      <w:pPr>
        <w:spacing w:after="0" w:line="89"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540" w:right="500" w:hanging="424"/>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us or any of the underwriters or any of their respective affiliates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81"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the Company and/ or any underwriters or any of their affiliates to publish a prospectus pursuant to Section 85 of the FSMA or supplement a prospectus pursuant to Article 23 of the UK Prospectus Regulation.</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securities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securities which are or are intended to be disposed of only to persons outside Hong Kong or only to “professional investors” in Hong Kong as defined in the Securities and Futures Ordinance and any rules made thereunder.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securities may not be circulated or distributed, nor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may the securities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securities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securities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9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 309B of the SFA, we have determined, and hereby notify all relevant persons (as defined in the CMP Regulations 2018), that the securities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offering document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6"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Any offer in Australia of the securities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8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offering document relates to an Exempt Offer in accordance with the Offered Securities Rules of the Dubai Financial Services Authority, or the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not and will not register with the Swiss Financial Market Supervisory Authority, or the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 w:firstLine="991"/>
        <w:spacing w:after="0" w:line="261" w:lineRule="auto"/>
        <w:rPr>
          <w:sz w:val="20"/>
          <w:szCs w:val="20"/>
          <w:color w:val="auto"/>
        </w:rPr>
      </w:pPr>
      <w:r>
        <w:rPr>
          <w:rFonts w:ascii="Times New Roman" w:cs="Times New Roman" w:eastAsia="Times New Roman" w:hAnsi="Times New Roman"/>
          <w:sz w:val="18"/>
          <w:szCs w:val="18"/>
          <w:color w:val="auto"/>
        </w:rPr>
        <w:t>The validity of the shares of our common stock offered in this prospectus supplement will be passed upon for us by Gunderson Dettmer Stough Villeneuve Franklin &amp; Hachigian, LLP, San Diego, California. Cooley LLP, San Francisco, California is acting as counsel for the underwriters in connection with this offering. Certain partners of Gunderson Dettmer Stough Villeneuve Franklin &amp; Hachigian, LLP, collectively own an interest representing less than one percent of the shares of our common stock.</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financial statements included in our Annual Report on Form 10-K for the year ended December 31, 2024, and the effectiveness of our internal control over financial reporting as of December 31, 2024,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20" w:firstLine="991"/>
        <w:spacing w:after="0" w:line="257" w:lineRule="auto"/>
        <w:rPr>
          <w:sz w:val="20"/>
          <w:szCs w:val="20"/>
          <w:color w:val="auto"/>
        </w:rPr>
      </w:pPr>
      <w:r>
        <w:rPr>
          <w:rFonts w:ascii="Times New Roman" w:cs="Times New Roman" w:eastAsia="Times New Roman" w:hAnsi="Times New Roman"/>
          <w:sz w:val="18"/>
          <w:szCs w:val="18"/>
          <w:color w:val="auto"/>
        </w:rPr>
        <w:t>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w:t>
      </w:r>
    </w:p>
    <w:p>
      <w:pPr>
        <w:spacing w:after="0" w:line="1"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Section 13(a) or 15(d) of the Exchange Act can also be accessed free of charge through the Internet. These filings will be available as soon as reasonably practicable after we electronically file such material with, or furnish it to, the SEC.</w:t>
      </w:r>
    </w:p>
    <w:p>
      <w:pPr>
        <w:spacing w:after="0" w:line="181"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supplement and the accompanying prospectus do not contain all of the information set forth in the registration statement. The registration statement and the documents referred to below under “Incorporation by Reference” are also available on our website, www.tarsusrx.com. This website address, and the website addresses included in any documents incorporated by reference herein, are not intended to function as hyperlinks, and the information contained on such websites and on the SEC’s website is not incorporated by reference in this prospectus supplement and the accompanying prospectus and you should not consider it a part of this prospectus supplement and the accompanying prospectus.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certain information we file with it, which means that we can disclose important information by referring you to those documents. The information incorporated by reference is considered to be a part of this prospectus supplement, and information that we file later with the SEC will automatically update and supersede information contained in this prospectus supplement. We incorporate by reference the documents listed below that we have previously filed with the SEC (excluding any portions of any Form 8-K that are not deemed “filed” pursuant to the General Instructions of Form 8-K):</w:t>
      </w:r>
    </w:p>
    <w:p>
      <w:pPr>
        <w:spacing w:after="0" w:line="89" w:lineRule="exact"/>
        <w:rPr>
          <w:sz w:val="20"/>
          <w:szCs w:val="20"/>
          <w:color w:val="auto"/>
        </w:rPr>
      </w:pPr>
    </w:p>
    <w:p>
      <w:pPr>
        <w:ind w:left="1540" w:hanging="331"/>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February 25, 2025;</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47">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January 17, 2025 (to the extent filed and not furnished); and</w:t>
      </w:r>
    </w:p>
    <w:p>
      <w:pPr>
        <w:spacing w:after="0" w:line="130" w:lineRule="exact"/>
        <w:rPr>
          <w:rFonts w:ascii="Times New Roman" w:cs="Times New Roman" w:eastAsia="Times New Roman" w:hAnsi="Times New Roman"/>
          <w:sz w:val="18"/>
          <w:szCs w:val="18"/>
          <w:color w:val="auto"/>
        </w:rPr>
      </w:pPr>
    </w:p>
    <w:p>
      <w:pPr>
        <w:jc w:val="both"/>
        <w:ind w:left="1540" w:right="80" w:hanging="331"/>
        <w:spacing w:after="0" w:line="312" w:lineRule="auto"/>
        <w:tabs>
          <w:tab w:leader="none" w:pos="1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common stock contained in </w:t>
      </w:r>
      <w:hyperlink r:id="rId48">
        <w:r>
          <w:rPr>
            <w:rFonts w:ascii="Times New Roman" w:cs="Times New Roman" w:eastAsia="Times New Roman" w:hAnsi="Times New Roman"/>
            <w:sz w:val="17"/>
            <w:szCs w:val="17"/>
            <w:u w:val="single" w:color="auto"/>
            <w:color w:val="0000EE"/>
          </w:rPr>
          <w:t>Exhibit 4.2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Registrant’s Form 10-K for the year ended December 31, 2022, filed with the SEC on March 17, 2023, and any amendment or report filed with the SEC for the purpose of updating the description.</w:t>
      </w:r>
    </w:p>
    <w:p>
      <w:pPr>
        <w:spacing w:after="0" w:line="140" w:lineRule="exact"/>
        <w:rPr>
          <w:rFonts w:ascii="Times New Roman" w:cs="Times New Roman" w:eastAsia="Times New Roman" w:hAnsi="Times New Roman"/>
          <w:sz w:val="18"/>
          <w:szCs w:val="18"/>
          <w:color w:val="auto"/>
        </w:rPr>
      </w:pPr>
    </w:p>
    <w:p>
      <w:pPr>
        <w:ind w:left="120" w:right="60" w:firstLine="991"/>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additional documents that we may file with the SEC under Sections 13(a), 13(c), 14 or 15(d) of the Exchange Act after the date of this prospectus supplement and prior to the completion or termination of the offering, but excluding any information deemed furnished and not filed with the SEC. Any statements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7" w:lineRule="exact"/>
        <w:rPr>
          <w:rFonts w:ascii="Times New Roman" w:cs="Times New Roman" w:eastAsia="Times New Roman" w:hAnsi="Times New Roman"/>
          <w:sz w:val="18"/>
          <w:szCs w:val="18"/>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This prospectus supplement may contain information that updates, modifies or is contrary to information in one or more of the documents incorporated by reference in this prospectus supplement. 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w:t>
      </w:r>
    </w:p>
    <w:p>
      <w:pPr>
        <w:spacing w:after="0" w:line="183" w:lineRule="exact"/>
        <w:rPr>
          <w:rFonts w:ascii="Times New Roman" w:cs="Times New Roman" w:eastAsia="Times New Roman" w:hAnsi="Times New Roman"/>
          <w:sz w:val="18"/>
          <w:szCs w:val="18"/>
          <w:color w:val="auto"/>
        </w:rPr>
      </w:pPr>
    </w:p>
    <w:p>
      <w:pPr>
        <w:ind w:left="120" w:right="320" w:firstLine="991"/>
        <w:spacing w:after="0" w:line="282"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this prospectus supplement is delivered, upon written or oral request, at no cost to the requester, a copy of any and all of the information that is incorporated by reference in this prospectus supplement.</w:t>
      </w:r>
    </w:p>
    <w:p>
      <w:pPr>
        <w:spacing w:after="0" w:line="162"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You should direct any requests for documents to:</w:t>
      </w:r>
    </w:p>
    <w:p>
      <w:pPr>
        <w:spacing w:after="0" w:line="11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15440 Laguna Canyon Road, Suite 160</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Irvine, California 92618</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(949) 418-1801</w:t>
      </w:r>
    </w:p>
    <w:p>
      <w:pPr>
        <w:spacing w:after="0" w:line="207" w:lineRule="exact"/>
        <w:rPr>
          <w:rFonts w:ascii="Times New Roman" w:cs="Times New Roman" w:eastAsia="Times New Roman" w:hAnsi="Times New Roman"/>
          <w:sz w:val="18"/>
          <w:szCs w:val="18"/>
          <w:color w:val="auto"/>
        </w:rPr>
      </w:pPr>
    </w:p>
    <w:p>
      <w:pPr>
        <w:ind w:left="120" w:right="160" w:firstLine="991"/>
        <w:spacing w:after="0" w:line="266" w:lineRule="auto"/>
        <w:rPr>
          <w:sz w:val="20"/>
          <w:szCs w:val="20"/>
          <w:color w:val="auto"/>
        </w:rPr>
      </w:pPr>
      <w:r>
        <w:rPr>
          <w:rFonts w:ascii="Times New Roman" w:cs="Times New Roman" w:eastAsia="Times New Roman" w:hAnsi="Times New Roman"/>
          <w:sz w:val="18"/>
          <w:szCs w:val="18"/>
          <w:color w:val="auto"/>
        </w:rPr>
        <w:t>Our reports and documents incorporated by reference herein may also be found in the “Investors &amp; News” section of our website at www.tarsusrx.com. Except for the specific incorporated documents listed above, the information on, or that can be accessed through, our website shall not be deemed to be incorporated by reference in this prospectus supplement or the registration statement of which it forms a part.</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116205</wp:posOffset>
            </wp:positionV>
            <wp:extent cx="2040255" cy="13798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204025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195580</wp:posOffset>
            </wp:positionV>
            <wp:extent cx="1474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20" w:right="280" w:firstLine="440"/>
        <w:spacing w:after="0" w:line="298" w:lineRule="auto"/>
        <w:rPr>
          <w:sz w:val="20"/>
          <w:szCs w:val="20"/>
          <w:color w:val="auto"/>
        </w:rPr>
      </w:pPr>
      <w:r>
        <w:rPr>
          <w:rFonts w:ascii="Times New Roman" w:cs="Times New Roman" w:eastAsia="Times New Roman" w:hAnsi="Times New Roman"/>
          <w:sz w:val="16"/>
          <w:szCs w:val="16"/>
          <w:color w:val="auto"/>
        </w:rPr>
        <w:t>We may offer and sell from time to time, in one or more series or issuances and on terms that we will determine at the time of the offering, our common stock, preferred stock, debt securities, warrants, units or any combination of these securities.</w:t>
      </w:r>
    </w:p>
    <w:p>
      <w:pPr>
        <w:spacing w:after="0" w:line="97"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6"/>
          <w:szCs w:val="16"/>
          <w:color w:val="auto"/>
        </w:rPr>
        <w:t>This prospectus provides you with a general description of the securities we may offer hereunder. We will provide specific terms of any offering in a prospectus supplement to this prospectus. Any prospectus supplement and any related free writing prospectus may also add, update, or change information contained in this prospectus. You should carefully read this prospectus and the applicable prospectus supplement and any related free writing prospectus relating to a particular offering as well as the documents incorporated or deemed to be incorporated by reference in this prospectus before you purchase any of the securities offered hereby.</w:t>
      </w:r>
    </w:p>
    <w:p>
      <w:pPr>
        <w:spacing w:after="0" w:line="115"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6"/>
          <w:szCs w:val="16"/>
          <w:color w:val="auto"/>
        </w:rPr>
        <w:t>We may offer and sell these securities in the same offering or in separate offerings; to or through one or more underwriters, dealers and agents; or directly to purchasers, or through a combination of these methods on a continuous or delayed basis. The names of any underwriters, dealers, or agents involved in the sale of our securities, their compensation and any over-allotment options held by them will be described in the applicable prospectus supplement. None of our securities may be sold without delivery of the applicable prospectus supplement describing the method and terms of the offering of those securities. See “Plan of Distribution.”</w:t>
      </w:r>
    </w:p>
    <w:p>
      <w:pPr>
        <w:spacing w:after="0" w:line="102" w:lineRule="exact"/>
        <w:rPr>
          <w:sz w:val="20"/>
          <w:szCs w:val="20"/>
          <w:color w:val="auto"/>
        </w:rPr>
      </w:pPr>
    </w:p>
    <w:p>
      <w:pPr>
        <w:ind w:left="120" w:right="60" w:firstLine="440"/>
        <w:spacing w:after="0" w:line="298" w:lineRule="auto"/>
        <w:rPr>
          <w:sz w:val="20"/>
          <w:szCs w:val="20"/>
          <w:color w:val="auto"/>
        </w:rPr>
      </w:pPr>
      <w:r>
        <w:rPr>
          <w:rFonts w:ascii="Times New Roman" w:cs="Times New Roman" w:eastAsia="Times New Roman" w:hAnsi="Times New Roman"/>
          <w:sz w:val="16"/>
          <w:szCs w:val="16"/>
          <w:color w:val="auto"/>
        </w:rPr>
        <w:t>Our common stock is listed on the Nasdaq Global Select Market, or Nasdaq, under the symbol “TARS.” On February 28, 2024, the last reported sale price for our common stock was $37.87 per share. This prospectus may not be used to consummate a sale of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147320</wp:posOffset>
            </wp:positionV>
            <wp:extent cx="1474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4" w:lineRule="exact"/>
        <w:rPr>
          <w:sz w:val="20"/>
          <w:szCs w:val="20"/>
          <w:color w:val="auto"/>
        </w:rPr>
      </w:pPr>
    </w:p>
    <w:p>
      <w:pPr>
        <w:ind w:left="120" w:right="40" w:firstLine="440"/>
        <w:spacing w:after="0" w:line="247" w:lineRule="auto"/>
        <w:rPr>
          <w:sz w:val="20"/>
          <w:szCs w:val="20"/>
          <w:color w:val="auto"/>
        </w:rPr>
      </w:pPr>
      <w:r>
        <w:rPr>
          <w:rFonts w:ascii="Times New Roman" w:cs="Times New Roman" w:eastAsia="Times New Roman" w:hAnsi="Times New Roman"/>
          <w:sz w:val="20"/>
          <w:szCs w:val="20"/>
          <w:b w:val="1"/>
          <w:bCs w:val="1"/>
          <w:color w:val="auto"/>
        </w:rPr>
        <w:t>INVESTING IN OUR SECURITIES INVOLVES SIGNIFICANT RISKS. SEE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5 OF THIS PROSPECTUS AND ANY SIMILAR SECTION CONTAINED IN THE APPLICABLE PROSPECTUS SUPPLEMENT AS WELL AS THE RISK FACTORS THAT ARE INCORPORATED BY REFERENCE INTO THIS PROSPECTUS AND ANY PROSPECTUS SUPPLEMENT FROM OUR FILINGS WITH THE SECURITIES AND EXCHANGE COMMISSION, BEFORE INVESTING IN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155575</wp:posOffset>
            </wp:positionV>
            <wp:extent cx="1474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The date of this prospectus is February 28, 2024.</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660" w:type="dxa"/>
            <w:vAlign w:val="bottom"/>
            <w:gridSpan w:val="16"/>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2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8440" w:type="dxa"/>
            <w:vAlign w:val="bottom"/>
            <w:gridSpan w:val="8"/>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58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1"/>
          </w:tcPr>
          <w:p>
            <w:pPr>
              <w:spacing w:after="0"/>
              <w:rPr>
                <w:sz w:val="17"/>
                <w:szCs w:val="17"/>
                <w:color w:val="auto"/>
              </w:rPr>
            </w:pPr>
          </w:p>
        </w:tc>
        <w:tc>
          <w:tcPr>
            <w:tcW w:w="5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6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1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864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764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62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800" w:type="dxa"/>
            <w:vAlign w:val="bottom"/>
            <w:gridSpan w:val="1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66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part of an automatic registration statement on Form S-3 that we filed with the United States Securities and Exchange Commission, or the SEC, as a “well-known seasoned issuer” as defined in Rule 405 under the Securities Act of 1933, as amended, or the Securities Act, using a “shelf” registration process. Under this shelf registration process, we may, from time to time, offer and sell any combination of the securities described in this prospectus in one or more offerings.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include a discussion of any risk factors or other special considerations that apply to those securities. The prospectus supplement may also add to, update or change information contained in the prospectus and, accordingly, to the extent inconsistent, information in this prospectus is superseded by the information in the prospectus supplement.</w:t>
      </w:r>
    </w:p>
    <w:p>
      <w:pPr>
        <w:spacing w:after="0" w:line="183"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prospectus supplement to be attached to the front of this prospectus may describe, as applicable: the terms of the securities offered; the initial or secondary public offering price; the price paid for the securities; net proceeds; and the other specific terms related to the offering of the securities.</w:t>
      </w:r>
    </w:p>
    <w:p>
      <w:pPr>
        <w:spacing w:after="0" w:line="14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give any information or make any representations in connection with this offering other than those contained or incorporated by reference in this prospectus, any accompanying prospectus supplement and any related free writing prospectus in connection with the offering described herein and therein. We take no responsibility for, and can provide no assurance as to the reliability of, any information that others may give you. Neither this prospectus nor any prospectus supplement nor any related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You should read the entire prospectus and any accompanying prospectus supplement and any related free writing prospectus, as well as the documents incorporated by reference before making an investment decision. Neither the delivery of this prospectus or any prospectus supplement or any related free writing prospectus nor any sale made hereunder shall under any circumstances imply that the information contained or incorporated by reference herein or in any prospectus supplement or related free writing prospectus is correct as of any date subsequent to the date hereof or of such prospectus supplement or related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description about us and our business highlights selected information contained elsewhere in this prospectus or incorporated in this prospectus by reference. This summary does not contain all of the information you should consider before buying securities in this offering. You should carefully read this entire prospectus and any applicable prospectus supplement, including each of the documents incorporated herein or therein by reference, before making an investment decision. As used in this prospectus, “we,” “us,” “Tarsus,” the “Company,” and “our” refer to Tarsus Pharmaceuticals, Inc., a Delaware corporation.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 w:firstLine="426"/>
        <w:spacing w:after="0" w:line="233"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development and commercialization of therapeutics, starting with eye care. Our lead commercial product, XDEMVY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(lotilaner ophthalmic solution) 0.25%, formerly known as TP-03, was approved by the U.S. Food and Drug Administration, or the FDA, on July 24, 2023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 eyelid margin disease characterized by inflammation, redness and ocular irritation. There are an estimated 25 million people in the U.S. who suffer from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XDEMVY is the first and only FDA-approved therapeutic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and we believe it is the definitive standard of care.</w:t>
      </w:r>
    </w:p>
    <w:p>
      <w:pPr>
        <w:spacing w:after="0" w:line="202"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We intend to further advance our pipeline with the lotilaner API to address several diseases in human medicine, including eye care, dermatology, and infectious disease prevention. We are investigating the development of our product candidates to address targeted diseases with high unmet medical needs, which currently include TP-03 for the potential treatment of MGD, TP-04, a novel gel formulation of lotilaner for the potential treatment of rosacea, and TP-05, a novel investigative oral formulation of lotilaner, for potential Lyme disease prophylaxis and community malaria reduction.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November 17, 2016. Our principal executive offices are located at 15440 Laguna Canyon Road, Suite 160, Irvine, California 92618. Our main telephone number is (949) 418-1801. Our website is www.tarsusrx.com. The information on, or that can be accessed through, our website address is an inactive textual reference and is not part of this prospectus and is not incorporated by reference herein.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300" w:right="140" w:firstLine="426"/>
        <w:spacing w:after="0" w:line="233" w:lineRule="auto"/>
        <w:rPr>
          <w:sz w:val="20"/>
          <w:szCs w:val="20"/>
          <w:color w:val="auto"/>
        </w:rPr>
      </w:pPr>
      <w:r>
        <w:rPr>
          <w:rFonts w:ascii="Times New Roman" w:cs="Times New Roman" w:eastAsia="Times New Roman" w:hAnsi="Times New Roman"/>
          <w:sz w:val="18"/>
          <w:szCs w:val="18"/>
          <w:color w:val="auto"/>
        </w:rPr>
        <w:t xml:space="preserve">Tarsus Pharmaceuticals, Tarsus, and our logo are some of our tradenames used in this prospectus and in the documents incorporated by reference in this prospectus. This prospectus also includes trademarks, tradenames, and service marks that are the property of other organizations. Solely for convenience, our trademarks and tradenames referred to in this prospectus or in the documents incorporated by reference in this prospectus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 but those references are not intended to indicate, in any way, that we will not assert, to the fullest extent under applicable law, our rights, or the right of the applicable licensor to these trademarks and tradenames.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We are an Emerging Growth Company</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currently are an “emerging growth company” as defined in the Jumpstart Our Business Startups Act of 2012, as amended, or JOBS Act.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$1.235 billion in annual revenue; (ii) the date we qualify as a “large accelerated filer,” as defined in Rule 12b-2 under the Exchange Act, with at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least $700 million of equity securities held by non-affiliates; (iii) the issuance, in any three-year period, by us of more than $1.0 billion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non-convertible debt securities; and (iv) the last day of the fiscal year ending after the fifth</w:t>
      </w:r>
    </w:p>
    <w:p>
      <w:pPr>
        <w:spacing w:after="0" w:line="32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anniversary of our initial public offering. As a result of this status, we have taken advantage of reduced reporting requirements in this prospectus that are applicable to other publicly-traded entities that are not emerging growth companies and may elect to take advantage of other exemptions from reporting requirements in our future filings with the SEC. In addition, Section 107 of the JOBS Act provides that an emerging growth company may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we will adopt new or revised accounting standards on the relevant dates on which adoption of such standards is required for other public companies that are not emerging growth companies.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this prospectus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jc w:val="both"/>
        <w:ind w:left="300" w:right="380" w:firstLine="426"/>
        <w:spacing w:after="0" w:line="289" w:lineRule="auto"/>
        <w:rPr>
          <w:sz w:val="20"/>
          <w:szCs w:val="20"/>
          <w:color w:val="auto"/>
        </w:rPr>
      </w:pPr>
      <w:r>
        <w:rPr>
          <w:rFonts w:ascii="Times New Roman" w:cs="Times New Roman" w:eastAsia="Times New Roman" w:hAnsi="Times New Roman"/>
          <w:sz w:val="17"/>
          <w:szCs w:val="17"/>
          <w:color w:val="auto"/>
        </w:rPr>
        <w:t>We may offer common stock, preferred stock, debt securities and warrants in one or more offerings and in any combination, including in units from time to time. This prospectus provides you with a general description of the securities that may be offered hereunder. A prospectus supplement, which we will provide each time we offer securities, will describe the specific amounts, prices and terms of these securities.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to be voted upon by the stockholders, and there are no cumulative rights. Subject to any preferential rights of any outstanding preferred stock, holders of our common stock are entitled to receive ratably the dividends, if any, as may be declared from time to time by the board of directors out of funds legally available therefor. If there is a liquidation, dissolution or winding up of our company, holders of our common stock would be entitled to share in our assets remaining after the payment of liabilities and any preferential rights of any outstanding preferred stock. Our common stock is described in greater detail in this prospectus under “Description of Capital Stock — Common Stock.”</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0" w:lineRule="exact"/>
        <w:rPr>
          <w:sz w:val="20"/>
          <w:szCs w:val="20"/>
          <w:color w:val="auto"/>
        </w:rPr>
      </w:pPr>
    </w:p>
    <w:p>
      <w:pPr>
        <w:ind w:left="300" w:right="280" w:firstLine="426"/>
        <w:spacing w:after="0" w:line="261" w:lineRule="auto"/>
        <w:rPr>
          <w:sz w:val="20"/>
          <w:szCs w:val="20"/>
          <w:color w:val="auto"/>
        </w:rPr>
      </w:pPr>
      <w:r>
        <w:rPr>
          <w:rFonts w:ascii="Times New Roman" w:cs="Times New Roman" w:eastAsia="Times New Roman" w:hAnsi="Times New Roman"/>
          <w:sz w:val="18"/>
          <w:szCs w:val="18"/>
          <w:color w:val="auto"/>
        </w:rPr>
        <w:t>Each series of preferred stock, if issued, will be more fully described in the particular prospectus supplement that will accompany this prospectus, including redemption provisions, rights in the event of our liquidation, dissolution or winding up, voting rights and rights to convert into common stock. We have no present plans to issue any shares of preferred stock, nor are any shares of our preferred stock presently outstanding. Preferred stock is described in greater detail in this prospectus under “Description of Capital Stock — Preferred Stock.”</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Debt Securities</w:t>
      </w:r>
    </w:p>
    <w:p>
      <w:pPr>
        <w:spacing w:after="0" w:line="119" w:lineRule="exact"/>
        <w:rPr>
          <w:sz w:val="20"/>
          <w:szCs w:val="20"/>
          <w:color w:val="auto"/>
        </w:rPr>
      </w:pPr>
    </w:p>
    <w:p>
      <w:pPr>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The debt securities may be senior or subordinated in right of payment. For any particular debt securities we offer, the applicable prospectus supplement or term sheet will describe the title and series of the debt securities, the aggregate principal amount and the original issue price; the ranking, whether senior or subordinated; the</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2531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998970" cy="32531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stated maturity; the redemption terms, if any; the rate or manner of calculating the rate and the payment dates for interest; the amount or manner of calculating the amount payable at maturity and whether that amount may be paid by delivering cash, securities or other property; the terms on which the debt securities may be convertible into or exchangeable for common stock or other securities of Tarsus, or any other entity, if any; and any other specific terms. We will issue the debt securities under an indenture, as described in “Description of Debt Securities.”</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left="300" w:right="540" w:firstLine="426"/>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or debt securities. We may issue warrants independently or together with other securities.</w:t>
      </w:r>
    </w:p>
    <w:p>
      <w:pPr>
        <w:spacing w:after="0" w:line="162"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The warrants will be evidenced by warrant certificates issued under one or more warrant agreements, which are contracts between us and an agent for the holders of the warrants. In this prospectus, we have summarized certain general features of the warrants under “Description of Warrants.” We urge you, however, to read the prospectus supplements and any free writing prospectus that we may authorize to be provided to you related to the series of warrants being offered, as well as the complete warrant agreements and warrant certificates that contain the terms of the warrants. Specific warrant agreements will contain additional important terms and provisions and will be incorporated by reference as an exhibit to the registration statement which includes this prospectus.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Units</w:t>
      </w:r>
    </w:p>
    <w:p>
      <w:pPr>
        <w:spacing w:after="0" w:line="119"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We may issue units comprised of one or more of the other classes of securities issued by us as described in this prospectus in any combination. Each unit will be issued so that the holder of the unit is also the holder of each security included in the unit. Units are described in greater detail in this prospectus under “Description of Units.”</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320" w:top="455" w:right="6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 investment in our securities involves significant risks.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most recent Annual Report on Form 10-K and in our Quarterly Reports on Form 10-Q filed subsequent to such Annual Report on Form 10-K, as well as any amendments thereto, all of which are incorporated herein by reference, and may be amended, supplemented or superseded from time to time by other reports we file with the SEC in the future and by information contained in any prospectus supplement related to a particular offering. The risks and uncertainties we have described are not the only ones we face. Additional risks and uncertainties not presently known to us or that we currently deem immaterial may also affect our business, results of operations and financial conditions and could result in a partial or complete loss of your investment.</w:t>
      </w:r>
    </w:p>
    <w:p>
      <w:pPr>
        <w:spacing w:after="0" w:line="1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455" w:right="5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contains and may contain certain statements that constitute “forward-looking statements” within the meaning of Section 27A of the Securities Act of 1933 and Section 21E of the Securities Exchange Act of 1934. The words “aim,” “anticipate,” “assume,” “believe,” “can,” “contemplate,” “continue,” “could,” “due,” “estimate,” “expect,” “goal,” ‘intend,” “may,” “objective,” “ongoing,” “plan,” “potential,” “project,” “predict,” “seek,” “should,” “target,” “will,” and “would”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any prospectus supplement and the information incorporated by reference in this prospectus and any prospectus supplement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0"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 risks, uncertainties and assumptions that could cause actual results to differ materially from those anticipated or implied in our forward-looking statements include, but are not limited to, those set forth above under the section entitled “Risk Factors” and in the applicable prospectus supplement, together with all of the other information contained in or incorporated by reference into the prospectus supplement or appearing or incorporated by reference into this prospectus.</w:t>
      </w:r>
    </w:p>
    <w:p>
      <w:pPr>
        <w:spacing w:after="0" w:line="17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the net proceeds from the sale by us of the securities will be used for general corporate purposes, which may include working capital, sales and marketing activities, research and development, general and administrative matters, and capital expenditures.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455" w:right="5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following information describes our common stock and preferred stock, as well as certain provisions of our amended and restated certificate of incorporation and amended and restated bylaws. This description is only a summary. You should also refer to our amended and restated certificate of incorporation and amended and restated bylaws, which have been incorporated by reference as exhibits to our registration statement, of which this prospectus forms a part.</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with a $0.0001 par value per share and 10,000,000 shares of preferred stock, with a $0.0001 par value per share, all of which shares of preferred stock are undesignated. Our board of directors may establish the rights and preferences of the preferred stock from time to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on all matters to be voted upon by the stockholders. The holders of common stock are entitled to receive ratably such dividends, if any, as may be declared from time to time by the board of directors out of funds legally available, subject to preferences that may be applicable to preferred stock, if any, then outstanding.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w:t>
      </w:r>
    </w:p>
    <w:p>
      <w:pPr>
        <w:spacing w:after="0" w:line="187"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the holders of our common stock are subject to, and may be adversely affected by, the rights of the holders of shares of any series of preferred stock that we may designate and issue in the future.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“TARS.” The transfer agent and registrar for our common stock is ComputerShare Trust Company, N.A. Its address is 462 South 4th Street, Suite 1600, Louisville, KY 40202.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of preferred stock and the description of the terms of any particular series of preferred stock that we choose to issue hereunder and that will be set forth in the related prospectus supplement are not complete. These descriptions are qualified in their entirety by reference to our amended and restated certificate of incorporation and the certificate of designation relating to any series. The rights, preferences, privileges and restrictions of the preferred stock of each series will be fixed by the certificate of designation relating to that series. The prospectus supplement also will contain a description of certain United States federal income tax consequences relating to the purchase and ownership of the series of preferred stock that is described in the prospectus supplement.</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our amended and restated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There are no restrictions presently on the repurchase or redemption of any shares of our preferred stock.</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for a series of preferred stock will specify:</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shares;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dividend rate, if any, whether the dividend rate is fixed or variable, the date or dates on which dividends will accrue, the dividend payment dates, and whether dividends will be cumulative;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the terms and conditions for redemption, if any, including redemption at our option or at the option of the holders, including the time period for redemption, and any accumulated dividends or premiums;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if any, and any accumulated dividends upon the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similar provision, and, if so, the terms and provisions relating to the purpose and operation of the fund;</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and</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other preferences and relative, participating, optional or other special rights, privileges or qualifications, limitations or restrictions.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 The effects of issuing preferred stock could include one or more of the following:</w:t>
      </w:r>
    </w:p>
    <w:p>
      <w:pPr>
        <w:spacing w:after="0" w:line="8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dividends on the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the common stock;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preventing changes in control or management of our company.</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have no present plans to issue any shares of preferred stock nor are any shares of our preferred stock presently outstanding. Preferred stock will be fully paid and nonassessable upon issuance.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issue debt securities in one or more distinct series. This section summarizes the material terms of the debt securities that are expected to be common to all series. Most of the financial terms and other specific material terms, as well as any material U.S. federal income tax consequences, of any series of debt securities that we offer will be described in a prospectus supplement or term sheet to be attached to this prospectus. Since the terms of specific debt securities may differ from the general information provided below, you should read both this prospectus and the relevant prospectus supplement or term sheet and rely on information in the prospectus supplement or term sheet that supersedes any contrary or inconsistent information below.</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debt securities will be governed by a document called an “indenture.” An indenture is a contract between us and a financial institution acting as trustee on your behalf. The trustee has two main roles. First, the trustee can enforce your rights against us if we default. There are some limitations on the extent to which the trustee acts on your behalf, described in the second paragraph under “Events of Default.” Second, the trustee performs certain administrative duties for us.</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Senior or subordinated debt securities will be issued by us under an indenture or indentures, as supplemented from time to time, between us, as issuer, and the trustee identified in the relevant prospectus supplement, or the trustee. The debt securities may be guaranteed by one or more of our subsidiaries.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indenture will be subject to and governed by the Trust Indenture Act of 1939, as amended, or the TIA. The terms “we,” “our” and “us,” when used to refer to an issuer of securities, means Tarsus Pharmaceuticals, Inc.</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or in the relevant prospectus supplement, but for the rest you will need to read the indenture. See “Where You Can Find More Information” for information on how to locate the indenture and any supplemental indentures that may be filed.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Provisions of the Indenture</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or term sheet for a particular series, the debt securities covered by this prospectus will be direct, unsecured obligations of Tarsus. Any senior securities will be unsecured and will rank equally with all other unsecured and unsubordinated indebtedness of Tarsus. Any subordinated securities will be unsecured and will be subordinated in right of payment to the prior payment in full of the senior indebtedness of Tarsus, as more fully described in a prospectus supplement or term sheet.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an attached prospectus supplement or term sheet (“offered debt securities”) and any debt securities issuable upon the exercise of debt warrants or upon conversion or exchange of other offered securities (“underlying debt securities”), as well as other debt securities, may be issued under the indenture in one or more series. Any secured indebtedness of ours will rank ahead of the debt securities to the extent of the value of the assets securing such indebtedness.</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You should read the prospectus supplement or term sheet for the material terms of the offered debt securities and any underlying debt securities, including the following:</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 debt securities will be senior securities or subordinated securities of Tarsus;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 of the series and any limit on such total principal amount;</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the principal amount of the debt securities, the portion of the principal amount payable upon acceleration of the maturity of the debt securities or how this portion will be determined;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how the date or dates will be determined or may be extended, when the principal of the debt securities will be payable;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that the debt securities will bear, if any, or how the rate or rates will be determined, the date or dates from which any interest will accrue or how the date or dates will be determined, the interest payment dates, any record dates for these payments, whether payments of interest will be made in cash or in kind and the basis upon which interest will be calculated if other than that of a 360-day year of twelve 30-day months;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optional redemption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in which we will issue the debt securities and whether we will have the option of issuing debt securities in “certificated”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or currencies in which the debt securities are denominated and/or payable;</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the debt securities will be determined with reference to an index, formula or other method (which index, formula or method may be based, without limitation,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City of New York, of payment, transfer, conversion and/or exchange of the debt securities;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$2,000 or any integral multiple of $1,000 above the minimum denomination in the case of registered securities issued in certificated form, the denominations in which the offered debt securities will be issued;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provisions of Article Fourteen of the indenture described under “defeasance” are not applicable and any provisions in modification of, in addition to or in lieu of any of these provisions;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as contemplated by Section 1010 of the indenture, in respect of any tax, assessment or governmental charge and, if so, whether we will have the option to redeem the debt securities rather than pay the additional amounts (and the terms of this option);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subordinated and the terms of such subordination;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the holders of the debt securities upon the occurrence of specified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Events of Default or covenants contained in the applicable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convertible into or exchangeable for any other securities and the applicable terms and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guaranteed;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the debt securities will include additional amounts if required by the terms of the debt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we repurchase a significant amount of equity or effect a recapitalization, or we are acquired by another entity.</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refer you to the applicable prospectus supplement or term sheet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Any additional indenture securities, together with all other outstanding indenture securities of that series, will constitute a single series of indenture securities under the indenture.</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or term sheet, the debt securities will be denominated in U.S. dollars and all payments on the debt securities will be made in U.S. dollars.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Payment of the purchase price of the debt securities must be made in immediately available funds.</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authorized denominations of debt securities denominated in U.S. dollars will be a minimum denomination of $2,000 and integral multiples of $1,000 above the minimum denomination. The authorized denominations of foreign currency notes will be set forth in the applicable prospectus supplement or term sheet.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and Interest Rates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Each debt security will begin to accrue interest from the date it is originally issued. The related prospectus supplement or term sheet will describe the method of determining the interest rate.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trustee’s records as the owner of the debt security at the close of business on a particular day in advance of each regularly scheduled date for interest, even if that person no longer owns the debt security on the interest due date. That day, typically set at a date approximately two weeks prior to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Payments on Global Securities</w:t>
      </w:r>
    </w:p>
    <w:p>
      <w:pPr>
        <w:spacing w:after="0" w:line="11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will make payments on a global security in accordance with the applicable policies of the depositary as in effect from time to time. Under those policies, we will make payments directly to the depositary, or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nominee, and not to any indirect holders who own beneficial interests in the global security. An indirect holder’s right to those payments will be governed by the rules and practices of the depositary and its participants.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Payments on Certificated Debt Securities</w:t>
      </w:r>
    </w:p>
    <w:p>
      <w:pPr>
        <w:spacing w:after="0" w:line="11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payments of principal and premium, if any, duly and punctually to the office of the trustee.</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Alternatively, if the holder asks us to do so, we may pay any amount that becomes due on the debt security by wire transfer of immediately available funds to an account at a bank in New York City, on the due date. To request payment by wire, the holder must give the trustee or other paying agent appropriate transfer instructions at least 15 calendar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In addition, see the description under “Interest and Interest Rates.”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Covenants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prospectus supplement or term sheet relating to a particular series of debt securities that we offer will describe the material covenants included in the indenture and will be subject to negotiation between the holder and us. Such material covenants may include covenants with respect to payments of principal, premium (if any) and interest and limitations or restrictions with respect to a consolidation, merger sale or conveyance of us, restrictions on liens, or other covenants, limitations or restrictions on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with respect to the debt securities of any series is defined in the indenture as:</w:t>
      </w:r>
    </w:p>
    <w:p>
      <w:pPr>
        <w:spacing w:after="0" w:line="131" w:lineRule="exact"/>
        <w:rPr>
          <w:sz w:val="20"/>
          <w:szCs w:val="20"/>
          <w:color w:val="auto"/>
        </w:rPr>
      </w:pPr>
    </w:p>
    <w:p>
      <w:pPr>
        <w:ind w:left="1540" w:hanging="439"/>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payment of any interest on the debt securities of such series when it becomes due and payable;</w:t>
      </w:r>
    </w:p>
    <w:p>
      <w:pPr>
        <w:spacing w:after="0" w:line="130" w:lineRule="exact"/>
        <w:rPr>
          <w:rFonts w:ascii="Times New Roman" w:cs="Times New Roman" w:eastAsia="Times New Roman" w:hAnsi="Times New Roman"/>
          <w:sz w:val="18"/>
          <w:szCs w:val="18"/>
          <w:color w:val="auto"/>
        </w:rPr>
      </w:pPr>
    </w:p>
    <w:p>
      <w:pPr>
        <w:ind w:left="1540" w:right="40" w:hanging="439"/>
        <w:spacing w:after="0" w:line="282"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principal of or any premium on the debt securities of such series at maturity or upon redemption or repayment when the same becomes due and payable;</w:t>
      </w:r>
    </w:p>
    <w:p>
      <w:pPr>
        <w:spacing w:after="0" w:line="67" w:lineRule="exact"/>
        <w:rPr>
          <w:rFonts w:ascii="Times New Roman" w:cs="Times New Roman" w:eastAsia="Times New Roman" w:hAnsi="Times New Roman"/>
          <w:sz w:val="18"/>
          <w:szCs w:val="18"/>
          <w:color w:val="auto"/>
        </w:rPr>
      </w:pPr>
    </w:p>
    <w:p>
      <w:pPr>
        <w:ind w:left="1540" w:right="20" w:hanging="439"/>
        <w:spacing w:after="0" w:line="312" w:lineRule="auto"/>
        <w:tabs>
          <w:tab w:leader="none" w:pos="15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by us in the performance of any other covenant contained in the applicable indenture for the benefit of the debt securities of such series that has not been remedied by the end of a specified period of time after notice is given as specified in the indenture; and</w:t>
      </w:r>
    </w:p>
    <w:p>
      <w:pPr>
        <w:spacing w:after="0" w:line="45" w:lineRule="exact"/>
        <w:rPr>
          <w:rFonts w:ascii="Times New Roman" w:cs="Times New Roman" w:eastAsia="Times New Roman" w:hAnsi="Times New Roman"/>
          <w:sz w:val="17"/>
          <w:szCs w:val="17"/>
          <w:color w:val="auto"/>
        </w:rPr>
      </w:pPr>
    </w:p>
    <w:p>
      <w:pPr>
        <w:ind w:left="1540" w:hanging="439"/>
        <w:spacing w:after="0"/>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and reorganization of Tarsus.</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or term sheet relating to a particular series of debt securities that we offer will describe the events of default included in the indenture and will be subject to negotiation between the holder and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without the consent of the holders of the debt securities issued under such indenture, enter into supplemental indentures for, among others, one or more of the following purposes:</w:t>
      </w:r>
    </w:p>
    <w:p>
      <w:pPr>
        <w:spacing w:after="0" w:line="67" w:lineRule="exact"/>
        <w:rPr>
          <w:sz w:val="20"/>
          <w:szCs w:val="20"/>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of its obligations under the indenture and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of Tarsus or surrender any of its rights, or add any rights for the benefit of the holders of debt securities;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 in such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other series of debt securities, including any subordinated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maintain the qualification of the indenture under the Trust Indenture Act;</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the acceptance of any successor trustee with respect to the debt securities or one or more other series of debt securities under the indenture or to facilitate the administration of the trusts thereunder by one or more trustees in accordance with the indenture;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additional events of default;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of the provisions of the indentures in respect of one or more series of debt securities, provided that any such addition, change or elimination, shall become effective only when there is no security outstanding of any series created prior to the adoption of such addition, change or elimination;</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provisions with respect to the optional conversion rights of holders, including providing for the conversion of the debt securities into any other security or securities of ours, provided that such provisions are not adverse to the interests of the holders of any debt securities then outstanding;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guarantee of one or more series of the debt securities;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 indenture to such extent as shall be necessary to permit or facilitate the defeasance and discharge of any series of debt securities pursuant to the indenture; provided that any such action shall not adversely affect the interests of the holders of debt securities of such series and any related coupons or any other series of securities in any material respect.</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With certain exceptions, the indenture or the rights of the holders of the debt securities may be modified by us and the trustee with the consent of the holders of a majority in aggregate principal amount of the debt securities then outstanding affected thereby, but no such modification may be made without the consent of the holder of each outstanding note affected thereby that would:</w:t>
      </w:r>
    </w:p>
    <w:p>
      <w:pPr>
        <w:spacing w:after="0" w:line="81" w:lineRule="exact"/>
        <w:rPr>
          <w:sz w:val="20"/>
          <w:szCs w:val="20"/>
          <w:color w:val="auto"/>
        </w:rPr>
      </w:pPr>
    </w:p>
    <w:p>
      <w:pPr>
        <w:ind w:left="1080" w:right="100" w:hanging="424"/>
        <w:spacing w:after="0" w:line="258"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maturity of the principal of, or any premium on, or any installment of principal of or interest on any debt securities, or reduce the principal amount or any premium or the rate or manner of calculating interest or any premium payable upon redemption or repayment of any debt securities, or change the dates or periods for any redemption or repayment or change any place of payment where, or the coin or currency in which, any principal, premium or interest is payable, or impair the right to institute suit for the enforcement of any such payment on or after the maturity thereof (or, in the case of redemption or repayment, on or after the redemption or repayment date);</w:t>
      </w:r>
    </w:p>
    <w:p>
      <w:pPr>
        <w:spacing w:after="0" w:line="88"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debt securities, the consent whose holders is required for any such modification, or the consent of whose holders is required for any waiver of compliance with certain provisions of the indenture or certain defaults thereunder and their consequences provided for in the indenture; or</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of certain sections of the indenture, including the provisions summarized in this paragraph, except to increase any such percentage or to provide that certain other provisions of the indenture cannot be modified or waived without the consent of the holder of each of the outstanding debt securities affected thereby.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or term sheet that the provisions of covenant defeasance and full defeasance will not be applicable to that series.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current United States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In order to achieve covenant defeasance, we must do the following:</w:t>
      </w:r>
    </w:p>
    <w:p>
      <w:pPr>
        <w:spacing w:after="0" w:line="85" w:lineRule="exact"/>
        <w:rPr>
          <w:sz w:val="20"/>
          <w:szCs w:val="20"/>
          <w:color w:val="auto"/>
        </w:rPr>
      </w:pPr>
    </w:p>
    <w:p>
      <w:pPr>
        <w:ind w:left="1080" w:right="1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in trust for the benefit of all holders of such debt securities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w:t>
      </w:r>
    </w:p>
    <w:p>
      <w:pPr>
        <w:spacing w:after="0" w:line="81"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a legal opinion of our counsel confirming that, under current United States federal income tax law, we may make the above deposit without causing you to be taxed on the debt securities of such series any differently than if we did not make the deposit and just repaid such debt securities ourselves at maturity.</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Full Defeasance</w:t>
      </w:r>
    </w:p>
    <w:p>
      <w:pPr>
        <w:spacing w:after="0" w:line="119"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If there is a change in United States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5" w:lineRule="exact"/>
        <w:rPr>
          <w:sz w:val="20"/>
          <w:szCs w:val="20"/>
          <w:color w:val="auto"/>
        </w:rPr>
      </w:pPr>
    </w:p>
    <w:p>
      <w:pPr>
        <w:ind w:left="1080" w:right="36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deposit in trust for the benefit of all holders of the debt securities of such series a combination of money and government or government agency debt securities or bonds in the relevant currency that will generate enough cash to make interest, principal and any other payments on the debt securities of such series in the relevant currency on their various due dates; and</w:t>
      </w:r>
    </w:p>
    <w:p>
      <w:pPr>
        <w:spacing w:after="0" w:line="81"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in current United States federal tax law or an Internal Revenue Service ruling that allows us to make the above deposit without causing you to be taxed on the debt securities of such series any differently than if we did not make the deposit and just repaid such debt securities ourselves at maturity. Under current United States federal tax law, the deposit and our legal release from the debt securities of such series would be treated as though we paid you your share of the cash and debt securities or bonds at the time the cash and debt securities or bonds were deposited in trust in exchange for your debt securities and you would recognize gain or loss on your debt securities at the time of the deposit.</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ever did accomplish full defeasance, as described above, you would have to rely solely on the trust deposit for repayment of the debt securities of such series. You could not look to us for repayment in the unlikely event of any shortfall. Conversely, the trust deposit would most likely be protected from claims of our lenders and other creditors if we ever became bankrupt or insolvent.</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Covenant defeasance and full defeasance are both subject to certain conditions, such as no default or event of default occurring and continuing, and no breach of any material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 of the Indenture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may satisfy and discharge our obligations under the indenture by delivering to the trustee for cancellation all outstanding debt securities or by depositing with the trustee or the paying agent after the debt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securities have become due and payable, whether at stated maturity, or any redemption or repayment date, or otherwise, cash sufficient to pay all of the outstanding debt securities and paying all other sums payable under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No recourse for the payment of the principal of or premium, if any, or interest on any debt security or any coupons appertaining thereto, or for any claim based thereon or otherwise in respect thereof, and no recourse under or upon any obligation, covenant or agreement of ours in the indenture or in any supplemental indenture, or in any debt security or any coupons appertaining thereto, or because of the creation of any indebtedness represented thereby, shall be had against any director, officer, employee, or stockholder as such, past, present or future, of ours or any of our affiliates or any successor person, either directly or through us or any of our affiliates or any successor person,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the indenture and the issue of the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law will govern the indenture and the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Debt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registered debt securities cease to be issued in book-entry form, they will be issued:</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 fully registered certificated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interest coupons,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or term sheet, in a minimum denomination of $2,000 and amounts above the minimum denomination that are integral multiples of $1,000.</w:t>
      </w:r>
    </w:p>
    <w:p>
      <w:pPr>
        <w:spacing w:after="0" w:line="16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debt securities at the office of the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we have designated additional transfer agents for your debt security, they will be named in the applicable prospectus supplement or term sheet. We may appoint additional transfer agents or cancel the appointment of any particular transfer agent. We may also approve a change in the office through which any transfer agent acts.</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any certificated debt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debt securities selected for redemption, except that we will continue to permit transfers and exchanges of the unredeemed portion of any debt security that will be partially redeemed.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trustee may resign or be removed at any time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The trustee may be one of a number of banks with which we maintain ordinary banking relationships and from which we may obtain credit facilities and lines of credit in the future. The trustee may also serve as trustee under other indentures under which we are the obligor in the future.</w:t>
      </w:r>
    </w:p>
    <w:p>
      <w:pPr>
        <w:spacing w:after="0" w:line="7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00"/>
          </w:cols>
          <w:pgMar w:left="320" w:top="455" w:right="7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We may issue warrants for the purchase of our preferred stock, common stock, debt securities or any combination thereof. Warrants may be issued independently or together with our preferred stock, common stock or debt securities and may be attached to or separate from any offered securities. Any series of warrants may be issued under a separate warrant agreement to be entered into between us and a bank or trust company, as warrant agent. Any such warrant agent will act solely as our agent in connection with the warrants and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7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warrants to purchase such securities will describe the terms of the warrants, including the following:</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securities that may be purchased upon exercise of the warrants;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basic terms of the securities that may be purchased upon exercise of a warrant and the exercise price for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warrants upon a change in control or similar event; and</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equity warrants will not be entitled:</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 of us.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Holders of warrants to purchase debt securities will not be entitled to payments of principal of, or any premium or interest on, the debt securities purchasable on exercise, or to exercise any of the rights of the holders of such debt securities until such warrant is exercised.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Holders of the warrants may exercise the warrants by delivering the warrant certificate representing the warrants to be exercised together with specified information, and paying the required amount to us or the warrant agent, if any, in immediately available funds, as provided in the applicable prospectus supplement. We will set forth on the reverse side of the warrant certificate and in the applicable prospectus supplement the information that the holder of the warrant will be required to deliver to us or the warrant agent.</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if any, or any other office, including ours,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67"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applicable,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any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its participants or customers or by law, to pass it along to the indirect holders but does not do so.</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legal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recognize an indirect holder as a holder of securities and instead deal only with the depositary that holds the global security.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as global securities, an investor should be aware of the following:</w:t>
      </w:r>
    </w:p>
    <w:p>
      <w:pPr>
        <w:spacing w:after="0" w:line="131" w:lineRule="exact"/>
        <w:rPr>
          <w:sz w:val="20"/>
          <w:szCs w:val="20"/>
          <w:color w:val="auto"/>
        </w:rPr>
      </w:pPr>
    </w:p>
    <w:p>
      <w:pPr>
        <w:ind w:left="1080" w:right="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the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the global security. We and any applicable trustee have no responsibility for any aspect of the depositary’s actions or for its records of ownership interests in the global security. We and the trustee also do not supervise the depositary in any way;</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the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global security will terminate when the following special situations occur:</w:t>
      </w:r>
    </w:p>
    <w:p>
      <w:pPr>
        <w:spacing w:after="0" w:line="131" w:lineRule="exact"/>
        <w:rPr>
          <w:sz w:val="20"/>
          <w:szCs w:val="20"/>
          <w:color w:val="auto"/>
        </w:rPr>
      </w:pPr>
    </w:p>
    <w:p>
      <w:pPr>
        <w:ind w:left="1080" w:right="2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in primary offerings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85"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through underwriters or dealers</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spacing w:after="0" w:line="194"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 sales and sales through agents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Delayed delivery contracts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Market making, stabilization and other transactions</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Any underwriter may also engage in stabilizing transactions, syndicate covering transactions and penalty bids in accordance with Rule 104 under the Securities Exchange Act of 1934, as amended.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Derivative transactions and hedging</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Electronic auctions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present to each bidder, on a so-called “real-time” basis, relevant information to assist in making a bid, such as the clearing spread at which the offering would be sold, based on the bids submitted, and whether a bidder’s individual bids would be accepted, prorated or rejected.</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information</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entered into with us, to indemnification by us against certain liabilities, including liabilities under the Securities Act.</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320" w:top="455" w:right="6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securities offered by this prospectus will be passed upon by Gunderson Dettmer Stough Villeneuve Franklin &amp; Hachigian, LLP, San Diego, California. Certain partners and certain investment partnerships comprised of partners of Gunderson Dettmer Stough Villeneuve Franklin &amp; Hachigian, LLP own an interest representing less than one percent of the shares of our common stock. Additional legal matters may be passed upon for us or any underwriters, dealers or agents, by counsel that we will name in the applicable prospectus supplement.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financial statements included in our Annual Report on Form 10-K for the year ended December 31, 2024, and the effectiveness of our internal control over financial reporting as of December 31, 2024,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w:t>
      </w:r>
    </w:p>
    <w:p>
      <w:pPr>
        <w:spacing w:after="0" w:line="183" w:lineRule="exact"/>
        <w:rPr>
          <w:sz w:val="20"/>
          <w:szCs w:val="20"/>
          <w:color w:val="auto"/>
        </w:rPr>
      </w:pPr>
    </w:p>
    <w:p>
      <w:pPr>
        <w:jc w:val="both"/>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of 1933 relating to the offering of these securities. The registration statement, including the attached exhibits, contains additional relevant information about us and the securities. This prospectus does not contain all of the information set forth in the registration statement. The registration statement and the documents referred to below under “Information Incorporated by Reference” are also available on our website, www.tarsusrx.com. We have not incorporated by reference into this prospectus the information on our website, and you should not consider it to be a part of this prospectus.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certain information we file with it, which means that we can disclose important information by referring you to those documents. The information incorporated by reference is considered to be a part of this prospectus, and information that we file later with the SEC will automatically update and supersede information contained in this prospectus and any accompanying prospectus supplement. We incorporate by reference the documents listed below that we have previously filed with the SEC (excluding any portions of any Form 8-K that are not deemed “filed” pursuant to the General Instructions of Form 8-K):</w:t>
      </w:r>
    </w:p>
    <w:p>
      <w:pPr>
        <w:spacing w:after="0" w:line="89"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December 31, 2023, filed with the SEC on </w:t>
      </w:r>
      <w:hyperlink r:id="rId87">
        <w:r>
          <w:rPr>
            <w:rFonts w:ascii="Times New Roman" w:cs="Times New Roman" w:eastAsia="Times New Roman" w:hAnsi="Times New Roman"/>
            <w:sz w:val="18"/>
            <w:szCs w:val="18"/>
            <w:u w:val="single" w:color="auto"/>
            <w:color w:val="0000EE"/>
          </w:rPr>
          <w:t>February 27,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with the SEC on </w:t>
      </w:r>
      <w:hyperlink r:id="rId88">
        <w:r>
          <w:rPr>
            <w:rFonts w:ascii="Times New Roman" w:cs="Times New Roman" w:eastAsia="Times New Roman" w:hAnsi="Times New Roman"/>
            <w:sz w:val="18"/>
            <w:szCs w:val="18"/>
            <w:u w:val="single" w:color="auto"/>
            <w:color w:val="0000EE"/>
          </w:rPr>
          <w:t>January 18,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extent filed and not furnished); and</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8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filed with the SEC on October 13, 2020 pursuant to Section 12(b) of the Exchange Act, as updated by </w:t>
      </w:r>
      <w:hyperlink r:id="rId48">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2021,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7"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may contain information that updates, modifies or is contrary to information in one or more of the documents incorporated by reference in this prospectus. 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w:t>
      </w:r>
    </w:p>
    <w:p>
      <w:pPr>
        <w:spacing w:after="0" w:line="180" w:lineRule="exact"/>
        <w:rPr>
          <w:rFonts w:ascii="Times New Roman" w:cs="Times New Roman" w:eastAsia="Times New Roman" w:hAnsi="Times New Roman"/>
          <w:sz w:val="18"/>
          <w:szCs w:val="18"/>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this prospectus is delivered, upon written or oral request, at no cost to the requester, a copy of any and all of the information that is incorporated by reference in this prospectus.</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should direct any requests for documents to:</w:t>
      </w:r>
    </w:p>
    <w:p>
      <w:pPr>
        <w:spacing w:after="0" w:line="11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15440 Laguna Canyon Road, Suite 160</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Irvine, California 92618</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(949) 418-1801</w:t>
      </w:r>
    </w:p>
    <w:p>
      <w:pPr>
        <w:spacing w:after="0" w:line="207" w:lineRule="exact"/>
        <w:rPr>
          <w:rFonts w:ascii="Times New Roman" w:cs="Times New Roman" w:eastAsia="Times New Roman" w:hAnsi="Times New Roman"/>
          <w:sz w:val="18"/>
          <w:szCs w:val="18"/>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Our reports and documents incorporated by reference herein may also be found in the “Investors &amp; News” section of our website at www.tarsusrx.com. Our website and the information contained in it or connected to it shall not be in this prospectus through our website at www.tarsusrx.com. Except for the specific incorporated documents listed above, the information on, or that can be accessed through, our website shall not be deemed to be incorporated by reference in this prospectus or the registration statement of which it forms a part.</w:t>
      </w:r>
    </w:p>
    <w:p>
      <w:pPr>
        <w:spacing w:after="0" w:line="11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2326005</wp:posOffset>
            </wp:positionV>
            <wp:extent cx="2057400" cy="1405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205740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2,808,988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495935</wp:posOffset>
            </wp:positionV>
            <wp:extent cx="1474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000"/>
        <w:spacing w:after="0"/>
        <w:rPr>
          <w:sz w:val="20"/>
          <w:szCs w:val="20"/>
          <w:color w:val="auto"/>
        </w:rPr>
      </w:pPr>
      <w:r>
        <w:rPr>
          <w:rFonts w:ascii="Times New Roman" w:cs="Times New Roman" w:eastAsia="Times New Roman" w:hAnsi="Times New Roman"/>
          <w:sz w:val="22"/>
          <w:szCs w:val="22"/>
          <w:b w:val="1"/>
          <w:bCs w:val="1"/>
          <w:color w:val="auto"/>
        </w:rPr>
        <w:t>BofA Securities</w:t>
      </w:r>
    </w:p>
    <w:p>
      <w:pPr>
        <w:spacing w:after="0" w:line="32" w:lineRule="exact"/>
        <w:rPr>
          <w:sz w:val="20"/>
          <w:szCs w:val="20"/>
          <w:color w:val="auto"/>
        </w:rPr>
      </w:pPr>
    </w:p>
    <w:p>
      <w:pPr>
        <w:jc w:val="center"/>
        <w:ind w:right="3000"/>
        <w:spacing w:after="0"/>
        <w:rPr>
          <w:sz w:val="20"/>
          <w:szCs w:val="20"/>
          <w:color w:val="auto"/>
        </w:rPr>
      </w:pPr>
      <w:r>
        <w:rPr>
          <w:rFonts w:ascii="Times New Roman" w:cs="Times New Roman" w:eastAsia="Times New Roman" w:hAnsi="Times New Roman"/>
          <w:sz w:val="21"/>
          <w:szCs w:val="21"/>
          <w:b w:val="1"/>
          <w:bCs w:val="1"/>
          <w:color w:val="auto"/>
        </w:rPr>
        <w:t>Oppenheimer &amp; 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Barclays</w:t>
      </w:r>
    </w:p>
    <w:p>
      <w:pPr>
        <w:spacing w:after="0" w:line="484" w:lineRule="exact"/>
        <w:rPr>
          <w:sz w:val="20"/>
          <w:szCs w:val="20"/>
          <w:color w:val="auto"/>
        </w:rPr>
      </w:pPr>
    </w:p>
    <w:p>
      <w:pPr>
        <w:sectPr>
          <w:pgSz w:w="11900" w:h="16838" w:orient="portrait"/>
          <w:cols w:equalWidth="0" w:num="3">
            <w:col w:w="4020" w:space="720"/>
            <w:col w:w="4880" w:space="720"/>
            <w:col w:w="800"/>
          </w:cols>
          <w:pgMar w:left="320" w:top="455" w:right="43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1477010</wp:posOffset>
            </wp:positionV>
            <wp:extent cx="6995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1545590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bookmarkStart w:id="62" w:name="page63"/>
    <w:bookmarkEnd w:id="62"/>
    <w:p>
      <w:pPr>
        <w:ind w:left="10124"/>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424(b)(5)</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39"/>
        </w:trPr>
        <w:tc>
          <w:tcPr>
            <w:tcW w:w="1040" w:type="dxa"/>
            <w:vAlign w:val="bottom"/>
            <w:tcBorders>
              <w:top w:val="single" w:sz="8" w:color="auto"/>
              <w:left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252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8"/>
              </w:rPr>
              <w:t>Fee</w:t>
            </w:r>
          </w:p>
        </w:tc>
        <w:tc>
          <w:tcPr>
            <w:tcW w:w="118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Proposed</w:t>
            </w: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108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jc w:val="center"/>
              <w:ind w:left="17"/>
              <w:spacing w:after="0" w:line="149" w:lineRule="exact"/>
              <w:rPr>
                <w:sz w:val="20"/>
                <w:szCs w:val="20"/>
                <w:color w:val="auto"/>
              </w:rPr>
            </w:pPr>
            <w:r>
              <w:rPr>
                <w:rFonts w:ascii="Times New Roman" w:cs="Times New Roman" w:eastAsia="Times New Roman" w:hAnsi="Times New Roman"/>
                <w:sz w:val="14"/>
                <w:szCs w:val="14"/>
                <w:color w:val="auto"/>
              </w:rPr>
              <w:t>Calculation</w:t>
            </w:r>
          </w:p>
        </w:tc>
        <w:tc>
          <w:tcPr>
            <w:tcW w:w="11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Maximum</w:t>
            </w:r>
          </w:p>
        </w:tc>
        <w:tc>
          <w:tcPr>
            <w:tcW w:w="148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48"/>
        </w:trPr>
        <w:tc>
          <w:tcPr>
            <w:tcW w:w="1040" w:type="dxa"/>
            <w:vAlign w:val="bottom"/>
            <w:tcBorders>
              <w:left w:val="single" w:sz="8" w:color="auto"/>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252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or Carry</w:t>
            </w:r>
          </w:p>
        </w:tc>
        <w:tc>
          <w:tcPr>
            <w:tcW w:w="118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Offering</w:t>
            </w:r>
          </w:p>
        </w:tc>
        <w:tc>
          <w:tcPr>
            <w:tcW w:w="14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Aggregate</w:t>
            </w:r>
          </w:p>
        </w:tc>
        <w:tc>
          <w:tcPr>
            <w:tcW w:w="10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40" w:type="dxa"/>
            <w:vAlign w:val="bottom"/>
            <w:tcBorders>
              <w:left w:val="single" w:sz="8" w:color="auto"/>
              <w:right w:val="single" w:sz="8" w:color="auto"/>
            </w:tcBorders>
          </w:tcPr>
          <w:p>
            <w:pPr>
              <w:spacing w:after="0"/>
              <w:rPr>
                <w:sz w:val="13"/>
                <w:szCs w:val="13"/>
                <w:color w:val="auto"/>
              </w:rPr>
            </w:pPr>
          </w:p>
        </w:tc>
        <w:tc>
          <w:tcPr>
            <w:tcW w:w="700" w:type="dxa"/>
            <w:vAlign w:val="bottom"/>
            <w:tcBorders>
              <w:right w:val="single" w:sz="8" w:color="auto"/>
            </w:tcBorders>
          </w:tcPr>
          <w:p>
            <w:pPr>
              <w:ind w:left="120"/>
              <w:spacing w:after="0" w:line="158" w:lineRule="exact"/>
              <w:rPr>
                <w:sz w:val="20"/>
                <w:szCs w:val="20"/>
                <w:color w:val="auto"/>
              </w:rPr>
            </w:pPr>
            <w:r>
              <w:rPr>
                <w:rFonts w:ascii="Times New Roman" w:cs="Times New Roman" w:eastAsia="Times New Roman" w:hAnsi="Times New Roman"/>
                <w:sz w:val="14"/>
                <w:szCs w:val="14"/>
                <w:color w:val="auto"/>
              </w:rPr>
              <w:t>Security</w:t>
            </w:r>
          </w:p>
        </w:tc>
        <w:tc>
          <w:tcPr>
            <w:tcW w:w="25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 Class Title</w:t>
            </w:r>
          </w:p>
        </w:tc>
        <w:tc>
          <w:tcPr>
            <w:tcW w:w="120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Forward</w:t>
            </w:r>
          </w:p>
        </w:tc>
        <w:tc>
          <w:tcPr>
            <w:tcW w:w="11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Amount</w:t>
            </w:r>
          </w:p>
        </w:tc>
        <w:tc>
          <w:tcPr>
            <w:tcW w:w="8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Price</w:t>
            </w:r>
          </w:p>
        </w:tc>
        <w:tc>
          <w:tcPr>
            <w:tcW w:w="14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Offering</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 Rate</w:t>
            </w:r>
          </w:p>
        </w:tc>
        <w:tc>
          <w:tcPr>
            <w:tcW w:w="10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Registration</w:t>
            </w: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9"/>
              </w:rPr>
              <w:t>Type </w:t>
            </w:r>
          </w:p>
        </w:tc>
        <w:tc>
          <w:tcPr>
            <w:tcW w:w="2520" w:type="dxa"/>
            <w:vAlign w:val="bottom"/>
            <w:tcBorders>
              <w:bottom w:val="single" w:sz="8" w:color="auto"/>
              <w:right w:val="single" w:sz="8" w:color="auto"/>
            </w:tcBorders>
            <w:vMerge w:val="continue"/>
          </w:tcPr>
          <w:p>
            <w:pPr>
              <w:spacing w:after="0"/>
              <w:rPr>
                <w:sz w:val="15"/>
                <w:szCs w:val="15"/>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Rule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Registered</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Per Unit </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Price(1)</w:t>
            </w:r>
          </w:p>
        </w:tc>
        <w:tc>
          <w:tcPr>
            <w:tcW w:w="1080" w:type="dxa"/>
            <w:vAlign w:val="bottom"/>
            <w:tcBorders>
              <w:bottom w:val="single" w:sz="8" w:color="auto"/>
              <w:right w:val="single" w:sz="8" w:color="auto"/>
            </w:tcBorders>
            <w:vMerge w:val="continue"/>
          </w:tcPr>
          <w:p>
            <w:pPr>
              <w:spacing w:after="0"/>
              <w:rPr>
                <w:sz w:val="15"/>
                <w:szCs w:val="15"/>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Fee(1)</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Newly Registered Securities</w:t>
            </w:r>
          </w:p>
        </w:tc>
        <w:tc>
          <w:tcPr>
            <w:tcW w:w="8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0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Fees to</w:t>
            </w:r>
          </w:p>
        </w:tc>
        <w:tc>
          <w:tcPr>
            <w:tcW w:w="700" w:type="dxa"/>
            <w:vAlign w:val="bottom"/>
            <w:tcBorders>
              <w:right w:val="single" w:sz="8" w:color="auto"/>
            </w:tcBorders>
          </w:tcPr>
          <w:p>
            <w:pPr>
              <w:spacing w:after="0"/>
              <w:rPr>
                <w:sz w:val="16"/>
                <w:szCs w:val="16"/>
                <w:color w:val="auto"/>
              </w:rPr>
            </w:pPr>
          </w:p>
        </w:tc>
        <w:tc>
          <w:tcPr>
            <w:tcW w:w="25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12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040" w:type="dxa"/>
            <w:vAlign w:val="bottom"/>
            <w:tcBorders>
              <w:left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4"/>
              </w:rPr>
              <w:t>Be Paid </w:t>
            </w:r>
          </w:p>
        </w:tc>
        <w:tc>
          <w:tcPr>
            <w:tcW w:w="7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 </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 par value per share </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Rule 457(r) </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3,230,336(2) </w:t>
            </w:r>
          </w:p>
        </w:tc>
        <w:tc>
          <w:tcPr>
            <w:tcW w:w="820" w:type="dxa"/>
            <w:vAlign w:val="bottom"/>
            <w:tcBorders>
              <w:bottom w:val="single" w:sz="8" w:color="auto"/>
              <w:right w:val="single" w:sz="8" w:color="auto"/>
            </w:tcBorders>
          </w:tcPr>
          <w:p>
            <w:pPr>
              <w:jc w:val="center"/>
              <w:ind w:left="3"/>
              <w:spacing w:after="0"/>
              <w:rPr>
                <w:sz w:val="20"/>
                <w:szCs w:val="20"/>
                <w:color w:val="auto"/>
              </w:rPr>
            </w:pPr>
            <w:r>
              <w:rPr>
                <w:rFonts w:ascii="Times New Roman" w:cs="Times New Roman" w:eastAsia="Times New Roman" w:hAnsi="Times New Roman"/>
                <w:sz w:val="18"/>
                <w:szCs w:val="18"/>
                <w:color w:val="auto"/>
              </w:rPr>
              <w:t>$44.50 </w:t>
            </w:r>
          </w:p>
        </w:tc>
        <w:tc>
          <w:tcPr>
            <w:tcW w:w="148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8"/>
                <w:szCs w:val="18"/>
                <w:color w:val="auto"/>
              </w:rPr>
              <w:t>$143,749,952.00 </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0.00015310 </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$22,008.12</w:t>
            </w:r>
          </w:p>
        </w:tc>
        <w:tc>
          <w:tcPr>
            <w:tcW w:w="0" w:type="dxa"/>
            <w:vAlign w:val="bottom"/>
          </w:tcPr>
          <w:p>
            <w:pPr>
              <w:spacing w:after="0"/>
              <w:rPr>
                <w:sz w:val="1"/>
                <w:szCs w:val="1"/>
                <w:color w:val="auto"/>
              </w:rPr>
            </w:pPr>
          </w:p>
        </w:tc>
      </w:tr>
      <w:tr>
        <w:trPr>
          <w:trHeight w:val="191"/>
        </w:trPr>
        <w:tc>
          <w:tcPr>
            <w:tcW w:w="10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Fees</w:t>
            </w:r>
          </w:p>
        </w:tc>
        <w:tc>
          <w:tcPr>
            <w:tcW w:w="700" w:type="dxa"/>
            <w:vAlign w:val="bottom"/>
            <w:tcBorders>
              <w:right w:val="single" w:sz="8" w:color="auto"/>
            </w:tcBorders>
          </w:tcPr>
          <w:p>
            <w:pPr>
              <w:spacing w:after="0"/>
              <w:rPr>
                <w:sz w:val="16"/>
                <w:szCs w:val="16"/>
                <w:color w:val="auto"/>
              </w:rPr>
            </w:pPr>
          </w:p>
        </w:tc>
        <w:tc>
          <w:tcPr>
            <w:tcW w:w="25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Previously</w:t>
            </w:r>
          </w:p>
        </w:tc>
        <w:tc>
          <w:tcPr>
            <w:tcW w:w="70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7"/>
              </w:rPr>
              <w:t>Paid </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520" w:type="dxa"/>
            <w:vAlign w:val="bottom"/>
            <w:tcBorders>
              <w:bottom w:val="single" w:sz="8" w:color="auto"/>
              <w:right w:val="single" w:sz="8" w:color="auto"/>
            </w:tcBorders>
          </w:tcPr>
          <w:p>
            <w:pPr>
              <w:jc w:val="center"/>
              <w:ind w:left="14"/>
              <w:spacing w:after="0"/>
              <w:rPr>
                <w:sz w:val="20"/>
                <w:szCs w:val="20"/>
                <w:color w:val="auto"/>
              </w:rPr>
            </w:pPr>
            <w:r>
              <w:rPr>
                <w:rFonts w:ascii="Times New Roman" w:cs="Times New Roman" w:eastAsia="Times New Roman" w:hAnsi="Times New Roman"/>
                <w:sz w:val="18"/>
                <w:szCs w:val="18"/>
                <w:color w:val="auto"/>
                <w:w w:val="98"/>
              </w:rPr>
              <w:t>N/A </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9"/>
              </w:rPr>
              <w:t>N/A </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 </w:t>
            </w:r>
          </w:p>
        </w:tc>
        <w:tc>
          <w:tcPr>
            <w:tcW w:w="820" w:type="dxa"/>
            <w:vAlign w:val="bottom"/>
            <w:tcBorders>
              <w:bottom w:val="single" w:sz="8" w:color="auto"/>
              <w:right w:val="single" w:sz="8" w:color="auto"/>
            </w:tcBorders>
          </w:tcPr>
          <w:p>
            <w:pPr>
              <w:jc w:val="center"/>
              <w:ind w:left="3"/>
              <w:spacing w:after="0"/>
              <w:rPr>
                <w:sz w:val="20"/>
                <w:szCs w:val="20"/>
                <w:color w:val="auto"/>
              </w:rPr>
            </w:pPr>
            <w:r>
              <w:rPr>
                <w:rFonts w:ascii="Times New Roman" w:cs="Times New Roman" w:eastAsia="Times New Roman" w:hAnsi="Times New Roman"/>
                <w:sz w:val="18"/>
                <w:szCs w:val="18"/>
                <w:color w:val="auto"/>
                <w:w w:val="98"/>
              </w:rPr>
              <w:t>N/A </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 </w:t>
            </w:r>
          </w:p>
        </w:tc>
        <w:tc>
          <w:tcPr>
            <w:tcW w:w="108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Carry Forward Securities</w:t>
            </w:r>
          </w:p>
        </w:tc>
        <w:tc>
          <w:tcPr>
            <w:tcW w:w="8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0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Carry</w:t>
            </w:r>
          </w:p>
        </w:tc>
        <w:tc>
          <w:tcPr>
            <w:tcW w:w="700" w:type="dxa"/>
            <w:vAlign w:val="bottom"/>
            <w:tcBorders>
              <w:right w:val="single" w:sz="8" w:color="auto"/>
            </w:tcBorders>
          </w:tcPr>
          <w:p>
            <w:pPr>
              <w:spacing w:after="0"/>
              <w:rPr>
                <w:sz w:val="16"/>
                <w:szCs w:val="16"/>
                <w:color w:val="auto"/>
              </w:rPr>
            </w:pPr>
          </w:p>
        </w:tc>
        <w:tc>
          <w:tcPr>
            <w:tcW w:w="25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Forward</w:t>
            </w:r>
          </w:p>
        </w:tc>
        <w:tc>
          <w:tcPr>
            <w:tcW w:w="700" w:type="dxa"/>
            <w:vAlign w:val="bottom"/>
            <w:tcBorders>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Securities </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520" w:type="dxa"/>
            <w:vAlign w:val="bottom"/>
            <w:tcBorders>
              <w:bottom w:val="single" w:sz="8" w:color="auto"/>
              <w:right w:val="single" w:sz="8" w:color="auto"/>
            </w:tcBorders>
          </w:tcPr>
          <w:p>
            <w:pPr>
              <w:jc w:val="center"/>
              <w:ind w:left="14"/>
              <w:spacing w:after="0"/>
              <w:rPr>
                <w:sz w:val="20"/>
                <w:szCs w:val="20"/>
                <w:color w:val="auto"/>
              </w:rPr>
            </w:pPr>
            <w:r>
              <w:rPr>
                <w:rFonts w:ascii="Times New Roman" w:cs="Times New Roman" w:eastAsia="Times New Roman" w:hAnsi="Times New Roman"/>
                <w:sz w:val="18"/>
                <w:szCs w:val="18"/>
                <w:color w:val="auto"/>
                <w:w w:val="98"/>
              </w:rPr>
              <w:t>N/A </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9"/>
              </w:rPr>
              <w:t>N/A </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 </w:t>
            </w:r>
          </w:p>
        </w:tc>
        <w:tc>
          <w:tcPr>
            <w:tcW w:w="82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 </w:t>
            </w:r>
          </w:p>
        </w:tc>
        <w:tc>
          <w:tcPr>
            <w:tcW w:w="108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Offering Amounts </w:t>
            </w:r>
          </w:p>
        </w:tc>
        <w:tc>
          <w:tcPr>
            <w:tcW w:w="8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8"/>
                <w:szCs w:val="18"/>
                <w:color w:val="auto"/>
              </w:rPr>
              <w:t>$143,749,952.00 </w:t>
            </w:r>
          </w:p>
        </w:tc>
        <w:tc>
          <w:tcPr>
            <w:tcW w:w="108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$22,008.12</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Fees Previously Paid </w:t>
            </w:r>
          </w:p>
        </w:tc>
        <w:tc>
          <w:tcPr>
            <w:tcW w:w="8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Total Fee Offsets </w:t>
            </w:r>
          </w:p>
        </w:tc>
        <w:tc>
          <w:tcPr>
            <w:tcW w:w="8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Net Fee Due </w:t>
            </w:r>
          </w:p>
        </w:tc>
        <w:tc>
          <w:tcPr>
            <w:tcW w:w="8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$22,008.12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40" w:hanging="424"/>
        <w:spacing w:after="0" w:line="257" w:lineRule="auto"/>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under the Securities Act of 1933, as amended, or the Securities Act, the registrant initially deferred payment of all of the registration fees for the Registration Statement on Form S-3 (Registration No. 333-277523), which was filed on February 29, 2024.</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421,348 of common stock that the underwriters have an option to purchase.</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lowerRoman"/>
      <w:start w:val="1"/>
    </w:lvl>
  </w:abstractNum>
  <w:abstractNum w:abstractNumId="11">
    <w:nsid w:val="79838CB2"/>
    <w:multiLevelType w:val="hybridMultilevel"/>
    <w:lvl w:ilvl="0">
      <w:lvlJc w:val="left"/>
      <w:lvlText w:val="(%1)"/>
      <w:numFmt w:val="lowerRoman"/>
      <w:start w:val="3"/>
    </w:lvl>
  </w:abstractNum>
  <w:abstractNum w:abstractNumId="12">
    <w:nsid w:val="4353D0CD"/>
    <w:multiLevelType w:val="hybridMultilevel"/>
    <w:lvl w:ilvl="0">
      <w:lvlJc w:val="left"/>
      <w:lvlText w:val="(%1)"/>
      <w:numFmt w:val="lowerRoman"/>
      <w:start w:val="1"/>
    </w:lvl>
  </w:abstractNum>
  <w:abstractNum w:abstractNumId="13">
    <w:nsid w:val="B03E0C6"/>
    <w:multiLevelType w:val="hybridMultilevel"/>
    <w:lvl w:ilvl="0">
      <w:lvlJc w:val="left"/>
      <w:lvlText w:val="(%1)"/>
      <w:numFmt w:val="lowerRoman"/>
      <w:start w:val="8"/>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jpe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jpe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46" Type="http://schemas.openxmlformats.org/officeDocument/2006/relationships/hyperlink" Target="http://www.sec.gov/ix?doc=/Archives/edgar/data/1819790/000181979025000011/tars-20241231.htm" TargetMode="External"/><Relationship Id="rId47" Type="http://schemas.openxmlformats.org/officeDocument/2006/relationships/hyperlink" Target="http://www.sec.gov/ix?doc=/Archives/edgar/data/1819790/000181979025000003/tars-20250115.htm" TargetMode="External"/><Relationship Id="rId48" Type="http://schemas.openxmlformats.org/officeDocument/2006/relationships/hyperlink" Target="http://www.sec.gov/Archives/edgar/data/1819790/000181979022000010/tarsus-form10xkxex42descri.htm" TargetMode="External"/><Relationship Id="rId87" Type="http://schemas.openxmlformats.org/officeDocument/2006/relationships/hyperlink" Target="http://www.sec.gov/ix?doc=/Archives/edgar/data/1819790/000181979024000018/tars-20231231.htm" TargetMode="External"/><Relationship Id="rId88" Type="http://schemas.openxmlformats.org/officeDocument/2006/relationships/hyperlink" Target="http://www.sec.gov/ix?doc=/Archives/edgar/data/1819790/000181979024000006/tars-20240111.htm" TargetMode="External"/><Relationship Id="rId89" Type="http://schemas.openxmlformats.org/officeDocument/2006/relationships/hyperlink" Target="http://www.sec.gov/Archives/edgar/data/1819790/000119312520267409/d6841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2025-03-13T16:14:31Z</dcterms:created>
  <dcterms:modified xsi:type="dcterms:W3CDTF">2025-03-13T16:14:31Z</dcterms:modified>
</cp:coreProperties>
</file>