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TARSUS PHARMACEUTICALS,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81-4717861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15440 Laguna Canyon Road, Suite 160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Irvine, CA 92618</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(949) 409-9820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1"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TARS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Global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84"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February 29, 2024, Tarsus Pharmaceuticals, Inc., a Delaware corporation (the “Company”), entered into an Underwriting Agreement (the “Underwriting Agreement”) with Goldman Sachs &amp; Co. LLC, BofA Securities, Inc. and Guggenheim Securities, LLC, acting as representatives of the underwriters named in the Underwriting Agreement (the “Underwriters”), relating to the sale of 2,812,500 shares of the Company’s common stock, par value $0.0001 per share, and, in lieu of common stock to a certain investor, pre-funded warrants to purchase 312,500 shares of its common stock (the “Offering”). The price to the public in the Offering is $32.00 per share and $31.9999 per pre-funded warrant, which is the price to the public of each share of common stock sold in the Offering, minus the $0.0001 exercise price per pre-funded warrant. The exercise price of each pre-funded warrant will equal $0.0001 per share and each pre-funded warrant will be exercisable from the date of issuance until fully exercised, subject to an ownership limitation. Pursuant to the Underwriting Agreement, the Underwriters have agreed to purchase the shares and the pre-funded warrants from the Company pursuant to the Underwriting Agreement at a price of $30.08 per share and a price of $30.0799 per pre-funded warrant, respectively. Under the terms of the Underwriting Agreement, the Company has granted the Underwriters an option, exercisable for 30 days, to purchase up to an additional 468,750 shares. The net proceeds to the Company from the Offering are expected to be approximately $93.7 million, after deducting underwriting discounts and commissions and estimated Offering expenses payable by the Company, assuming no exercise by the Underwriters of their option to purchase additional shares of common stock. The transactions contemplated by the Underwriting Agreement are expected to close on March 5, 2024, subject to the satisfaction of customary closing conditions.</w:t>
      </w:r>
    </w:p>
    <w:p>
      <w:pPr>
        <w:spacing w:after="0" w:line="19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Offering was made pursuant to the Company’s shelf registration statement on Form S-3, filed with the Securities and Exchange Commission (“SEC”) on February 29, 2024, which became automatically effective upon filing (File No. 333-277523) and the prospectus included therein (the “Registration Statement”), a preliminary prospectus supplement, dated February 29, 2024, filed with the SEC pursuant to Rule 424(b) under the Securities Act of 1933, as amended (the “Securities Act”), and a final prospectus supplement, dated February 29, 2024, filed with the SEC pursuant to Rule 424(b) under the Securities Act.</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other obligations of the parties and termination provisions. Copies of the Underwriting Agreement and the form of pre-funded warrant are filed as Exhibit 1.1 and Exhibit 4.1 to this Current Report, respectively, and are incorporated herein by reference. The foregoing description of the terms of the Underwriting Agreement and the form of pre-funded warrant is qualified in its entirety by such exhibits hereto.</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Underwriting Agreement is attached hereto as an exhibit to provide interested persons with information regarding its terms, but is not intended to provide any other factual information about the Company. The representations, warranties and covenants contained in the Underwriting Agreement were made only for purposes of the Underwriting Agreement as of specific dates indicated therein, were solely for the benefit of the parties to the Underwriting Agreement, and may be subject to limitations agreed upon by the parties, including being qualified by confidential disclosures exchanged between the parties in connection with the execution of the Underwriting Agreement.</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legal opinion, including the related consent, of Gunderson Dettmer Stough Villeneuve Franklin &amp; Hachigian, LLP relating to the legality of the issuance and sale of the securities in the Offering is filed as Exhibit 5.1 to this Current Report.</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Current Report contains forward-looking statements that involve risk and uncertainties, such as statements related to the anticipated closing of the Offering and the amount of net proceeds expected from the Offering. The risks and uncertainties involved include the Company’s ability to satisfy certain conditions to closing on a timely basis or at all, as well as other risks detailed from time to time in the Company’s SEC filings.</w:t>
      </w:r>
    </w:p>
    <w:p>
      <w:pPr>
        <w:sectPr>
          <w:pgSz w:w="11900" w:h="16838" w:orient="portrait"/>
          <w:cols w:equalWidth="0" w:num="1">
            <w:col w:w="11020"/>
          </w:cols>
          <w:pgMar w:left="440" w:top="293" w:right="43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On February 29, 2024, the Company issued a press release to announce a proposed offering of $100.0 million of shares and pre-funded warrants pursuant to the Registration Statement (the “Offering Press Release”). A copy of the Offering Press Release is attached hereto as Exhibit 99.1 and is incorporated herein by reference.</w:t>
      </w:r>
    </w:p>
    <w:p>
      <w:pPr>
        <w:spacing w:after="0" w:line="176"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On February 29, 2024, the Company also issued a press release to announce that it had priced a $100.0 million offering (the “Pricing Press Release”). A copy of the Pricing Press Release is attached hereto as Exhibit 99.2 and is incorporated herein by reference.</w:t>
      </w:r>
    </w:p>
    <w:p>
      <w:pPr>
        <w:spacing w:after="0" w:line="306"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5220" w:type="dxa"/>
            <w:vAlign w:val="bottom"/>
            <w:gridSpan w:val="2"/>
            <w:vMerge w:val="restart"/>
          </w:tcPr>
          <w:p>
            <w:pPr>
              <w:ind w:left="4560"/>
              <w:spacing w:after="0"/>
              <w:rPr>
                <w:sz w:val="20"/>
                <w:szCs w:val="20"/>
                <w:color w:val="auto"/>
              </w:rPr>
            </w:pPr>
            <w:r>
              <w:rPr>
                <w:rFonts w:ascii="Times New Roman" w:cs="Times New Roman" w:eastAsia="Times New Roman" w:hAnsi="Times New Roman"/>
                <w:sz w:val="14"/>
                <w:szCs w:val="14"/>
                <w:color w:val="auto"/>
                <w:w w:val="97"/>
              </w:rPr>
              <w:t>Description</w:t>
            </w:r>
          </w:p>
        </w:tc>
        <w:tc>
          <w:tcPr>
            <w:tcW w:w="0" w:type="dxa"/>
            <w:vAlign w:val="bottom"/>
          </w:tcPr>
          <w:p>
            <w:pPr>
              <w:spacing w:after="0"/>
              <w:rPr>
                <w:sz w:val="1"/>
                <w:szCs w:val="1"/>
                <w:color w:val="auto"/>
              </w:rPr>
            </w:pPr>
          </w:p>
        </w:tc>
      </w:tr>
      <w:tr>
        <w:trPr>
          <w:trHeight w:val="171"/>
        </w:trPr>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620" w:type="dxa"/>
            <w:vAlign w:val="bottom"/>
          </w:tcPr>
          <w:p>
            <w:pPr>
              <w:spacing w:after="0"/>
              <w:rPr>
                <w:sz w:val="14"/>
                <w:szCs w:val="14"/>
                <w:color w:val="auto"/>
              </w:rPr>
            </w:pPr>
          </w:p>
        </w:tc>
        <w:tc>
          <w:tcPr>
            <w:tcW w:w="5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844" w:right="320" w:hanging="844"/>
        <w:spacing w:after="0" w:line="282" w:lineRule="auto"/>
        <w:tabs>
          <w:tab w:leader="none" w:pos="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Underwriting Agreement, dated February 29, 2024, by and among the Company, Goldman Sachs &amp; Co. LLC, BofA Securities, Inc. and Guggenheim Securities, LLC.</w:t>
      </w:r>
    </w:p>
    <w:p>
      <w:pPr>
        <w:spacing w:after="0" w:line="53"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r>
      <w:r>
        <w:rPr>
          <w:rFonts w:ascii="Times New Roman" w:cs="Times New Roman" w:eastAsia="Times New Roman" w:hAnsi="Times New Roman"/>
          <w:sz w:val="17"/>
          <w:szCs w:val="17"/>
          <w:u w:val="single" w:color="auto"/>
          <w:color w:val="0000EE"/>
        </w:rPr>
        <w:t>Form of Pre-Funded Warrant</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and Consent of Gunderson Dettmer Stough Villeneuve Franklin &amp; Hachigian LLP.</w:t>
      </w:r>
    </w:p>
    <w:p>
      <w:pPr>
        <w:spacing w:after="0" w:line="129"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Gunderson Dettmer Stough Villeneuve Franklin &amp; Hachigian LLP (included in Exhibit 5.1).</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the Company, dated February 29, 2024, titled “Tarsus Announces Proposed $100.0 Million Public Offering”.</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Press release issued by the Company, dated February 29, 2024, titled “Tarsus Announces Pricing of $100.0 Million Public Offering”.</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XBRL document)</w:t>
      </w:r>
    </w:p>
    <w:p>
      <w:pPr>
        <w:sectPr>
          <w:pgSz w:w="11900" w:h="16838" w:orient="portrait"/>
          <w:cols w:equalWidth="0" w:num="1">
            <w:col w:w="10944"/>
          </w:cols>
          <w:pgMar w:left="436" w:top="293" w:right="519" w:bottom="1440" w:gutter="0" w:footer="0" w:header="0"/>
        </w:sectPr>
      </w:pPr>
    </w:p>
    <w:bookmarkStart w:id="3" w:name="page4"/>
    <w:bookmarkEnd w:id="3"/>
    <w:p>
      <w:pPr>
        <w:jc w:val="center"/>
        <w:ind w:right="-3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1, 2024</w:t>
      </w:r>
      <w:r>
        <w:rPr>
          <w:sz w:val="20"/>
          <w:szCs w:val="20"/>
          <w:color w:val="auto"/>
        </w:rPr>
        <w:tab/>
      </w:r>
      <w:r>
        <w:rPr>
          <w:rFonts w:ascii="Times New Roman" w:cs="Times New Roman" w:eastAsia="Times New Roman" w:hAnsi="Times New Roman"/>
          <w:sz w:val="17"/>
          <w:szCs w:val="17"/>
          <w:color w:val="auto"/>
        </w:rPr>
        <w:t>Tarsus Pharmaceuticals,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S.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Jeffrey S. Farrow</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 Accounting Officer)</w:t>
      </w:r>
    </w:p>
    <w:p>
      <w:pPr>
        <w:sectPr>
          <w:pgSz w:w="11900" w:h="16838" w:orient="portrait"/>
          <w:cols w:equalWidth="0" w:num="1">
            <w:col w:w="10620"/>
          </w:cols>
          <w:pgMar w:left="440" w:top="297" w:right="8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2,812,500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Pre-Funded Warrants to Purchase 312,500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222885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TARSUS PHARMACEUTICALS,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2,812,500 Shares of Common Stock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Pre-Funded Warrants to Purchase 312,500 Shares of Common Stock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c/o</w:t>
        <w:tab/>
        <w:t>Goldman Sachs &amp; Co.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Tarsus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confirms its agreement with Goldman Sachs &amp; Co. LLC (“</w:t>
      </w:r>
      <w:r>
        <w:rPr>
          <w:rFonts w:ascii="Times New Roman" w:cs="Times New Roman" w:eastAsia="Times New Roman" w:hAnsi="Times New Roman"/>
          <w:sz w:val="18"/>
          <w:szCs w:val="18"/>
          <w:b w:val="1"/>
          <w:bCs w:val="1"/>
          <w:color w:val="auto"/>
        </w:rPr>
        <w:t>Goldman</w:t>
      </w:r>
      <w:r>
        <w:rPr>
          <w:rFonts w:ascii="Times New Roman" w:cs="Times New Roman" w:eastAsia="Times New Roman" w:hAnsi="Times New Roman"/>
          <w:sz w:val="18"/>
          <w:szCs w:val="18"/>
          <w:color w:val="auto"/>
        </w:rPr>
        <w:t>”), BofA Securities, Inc. (“</w:t>
      </w:r>
      <w:r>
        <w:rPr>
          <w:rFonts w:ascii="Times New Roman" w:cs="Times New Roman" w:eastAsia="Times New Roman" w:hAnsi="Times New Roman"/>
          <w:sz w:val="18"/>
          <w:szCs w:val="18"/>
          <w:b w:val="1"/>
          <w:bCs w:val="1"/>
          <w:color w:val="auto"/>
        </w:rPr>
        <w:t>BofA</w:t>
      </w:r>
      <w:r>
        <w:rPr>
          <w:rFonts w:ascii="Times New Roman" w:cs="Times New Roman" w:eastAsia="Times New Roman" w:hAnsi="Times New Roman"/>
          <w:sz w:val="18"/>
          <w:szCs w:val="18"/>
          <w:color w:val="auto"/>
        </w:rPr>
        <w:t>”), Guggenheim Securities, LLC (“</w:t>
      </w:r>
      <w:r>
        <w:rPr>
          <w:rFonts w:ascii="Times New Roman" w:cs="Times New Roman" w:eastAsia="Times New Roman" w:hAnsi="Times New Roman"/>
          <w:sz w:val="18"/>
          <w:szCs w:val="18"/>
          <w:b w:val="1"/>
          <w:bCs w:val="1"/>
          <w:color w:val="auto"/>
        </w:rPr>
        <w:t>Guggenheim</w:t>
      </w:r>
      <w:r>
        <w:rPr>
          <w:rFonts w:ascii="Times New Roman" w:cs="Times New Roman" w:eastAsia="Times New Roman" w:hAnsi="Times New Roman"/>
          <w:sz w:val="18"/>
          <w:szCs w:val="18"/>
          <w:color w:val="auto"/>
        </w:rPr>
        <w:t>”) and each of the other underwriters named in Schedule A hereto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which term shall also include any underwriter substituted as hereinafter provided in Section 10 hereof), for whom Goldman, BofA and Guggenheim are acting as representatives (in such capacity,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with respect to the sale by the Company and the purchase by the Underwriters, acting severally and not jointly, of the respective numbers of shares of (i) common stock, par value $0.0001 per share, of the Company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and (ii) pre-funded warrants,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to purchase shares of Common 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each as set forth in Schedule A hereto, and (ii) the grant by the Company to the Underwriters, acting severally and not jointly, of the option described in Section 2(b) hereof to purchase all or any part of 468,750 additional shares of Common Stock. The aforesaid 2,812,500 shares of Common Stock (the “</w:t>
      </w:r>
      <w:r>
        <w:rPr>
          <w:rFonts w:ascii="Times New Roman" w:cs="Times New Roman" w:eastAsia="Times New Roman" w:hAnsi="Times New Roman"/>
          <w:sz w:val="18"/>
          <w:szCs w:val="18"/>
          <w:b w:val="1"/>
          <w:bCs w:val="1"/>
          <w:color w:val="auto"/>
        </w:rPr>
        <w:t>Initial Shares</w:t>
      </w:r>
      <w:r>
        <w:rPr>
          <w:rFonts w:ascii="Times New Roman" w:cs="Times New Roman" w:eastAsia="Times New Roman" w:hAnsi="Times New Roman"/>
          <w:sz w:val="18"/>
          <w:szCs w:val="18"/>
          <w:color w:val="auto"/>
        </w:rPr>
        <w:t>”) and Pre-Funded Warrants to purchase 312,500 shares of Common Stock (together with the Initial Shares, the “</w:t>
      </w:r>
      <w:r>
        <w:rPr>
          <w:rFonts w:ascii="Times New Roman" w:cs="Times New Roman" w:eastAsia="Times New Roman" w:hAnsi="Times New Roman"/>
          <w:sz w:val="18"/>
          <w:szCs w:val="18"/>
          <w:b w:val="1"/>
          <w:bCs w:val="1"/>
          <w:color w:val="auto"/>
        </w:rPr>
        <w:t>Initial Securities</w:t>
      </w:r>
      <w:r>
        <w:rPr>
          <w:rFonts w:ascii="Times New Roman" w:cs="Times New Roman" w:eastAsia="Times New Roman" w:hAnsi="Times New Roman"/>
          <w:sz w:val="18"/>
          <w:szCs w:val="18"/>
          <w:color w:val="auto"/>
        </w:rPr>
        <w:t>”) to be purchased by the Underwriters and all or any part of the 468,750 shares of Common Stock subject to the option described in Section 2(b) hereof (the “</w:t>
      </w:r>
      <w:r>
        <w:rPr>
          <w:rFonts w:ascii="Times New Roman" w:cs="Times New Roman" w:eastAsia="Times New Roman" w:hAnsi="Times New Roman"/>
          <w:sz w:val="18"/>
          <w:szCs w:val="18"/>
          <w:b w:val="1"/>
          <w:bCs w:val="1"/>
          <w:color w:val="auto"/>
        </w:rPr>
        <w:t>Option Securities</w:t>
      </w:r>
      <w:r>
        <w:rPr>
          <w:rFonts w:ascii="Times New Roman" w:cs="Times New Roman" w:eastAsia="Times New Roman" w:hAnsi="Times New Roman"/>
          <w:sz w:val="18"/>
          <w:szCs w:val="18"/>
          <w:color w:val="auto"/>
        </w:rPr>
        <w:t>” and together with the Initial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are herein called,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shares of Common Stock issuable upon exercise of the Pre-Funded Warrants are herein called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6" w:name="page7"/>
    <w:bookmarkEnd w:id="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understands that the Underwriters propose to make a public offering of the Securities as soon as the Representatives deem advisable after this underwriting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been executed and delivered.</w:t>
      </w:r>
    </w:p>
    <w:p>
      <w:pPr>
        <w:spacing w:after="0" w:line="158"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an automatic shelf registration statement on Form S-3 (File No. 333-277523), covering the public offering and sale of certain securities, including the Securities, under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and the rules and regulations promulgated thereunder (the “</w:t>
      </w:r>
      <w:r>
        <w:rPr>
          <w:rFonts w:ascii="Times New Roman" w:cs="Times New Roman" w:eastAsia="Times New Roman" w:hAnsi="Times New Roman"/>
          <w:sz w:val="18"/>
          <w:szCs w:val="18"/>
          <w:b w:val="1"/>
          <w:bCs w:val="1"/>
          <w:color w:val="auto"/>
        </w:rPr>
        <w:t>1933 Act Regulations</w:t>
      </w:r>
      <w:r>
        <w:rPr>
          <w:rFonts w:ascii="Times New Roman" w:cs="Times New Roman" w:eastAsia="Times New Roman" w:hAnsi="Times New Roman"/>
          <w:sz w:val="18"/>
          <w:szCs w:val="18"/>
          <w:color w:val="auto"/>
        </w:rPr>
        <w:t>”), which automatic shelf registration statement became effective under Rule 462(e) under the 1933 Act Regulations (“</w:t>
      </w:r>
      <w:r>
        <w:rPr>
          <w:rFonts w:ascii="Times New Roman" w:cs="Times New Roman" w:eastAsia="Times New Roman" w:hAnsi="Times New Roman"/>
          <w:sz w:val="18"/>
          <w:szCs w:val="18"/>
          <w:b w:val="1"/>
          <w:bCs w:val="1"/>
          <w:color w:val="auto"/>
        </w:rPr>
        <w:t>Rule 462(e)</w:t>
      </w:r>
      <w:r>
        <w:rPr>
          <w:rFonts w:ascii="Times New Roman" w:cs="Times New Roman" w:eastAsia="Times New Roman" w:hAnsi="Times New Roman"/>
          <w:sz w:val="18"/>
          <w:szCs w:val="18"/>
          <w:color w:val="auto"/>
        </w:rPr>
        <w:t>”).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w:t>
      </w:r>
      <w:r>
        <w:rPr>
          <w:rFonts w:ascii="Times New Roman" w:cs="Times New Roman" w:eastAsia="Times New Roman" w:hAnsi="Times New Roman"/>
          <w:sz w:val="18"/>
          <w:szCs w:val="18"/>
          <w:b w:val="1"/>
          <w:bCs w:val="1"/>
          <w:color w:val="auto"/>
        </w:rPr>
        <w:t>Rule 430B</w:t>
      </w:r>
      <w:r>
        <w:rPr>
          <w:rFonts w:ascii="Times New Roman" w:cs="Times New Roman" w:eastAsia="Times New Roman" w:hAnsi="Times New Roman"/>
          <w:sz w:val="18"/>
          <w:szCs w:val="18"/>
          <w:color w:val="auto"/>
        </w:rPr>
        <w:t>”), and is referred to herein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provided, however, that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Rule 430B. Each preliminary prospectus used in connection with the offering of the Securities, including the documents incorporated or deemed to be incorporated by reference therein pursuant to Item 12 of Form S-3 under the 1933 Act, are collectively referred to herein as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Promptly after execution and delivery of this Agreement, the Company will prepare and file a final prospectus relating to the Securities in accordance with the provisions of Rule 424(b) under the 1933 Act Regulations (“</w:t>
      </w:r>
      <w:r>
        <w:rPr>
          <w:rFonts w:ascii="Times New Roman" w:cs="Times New Roman" w:eastAsia="Times New Roman" w:hAnsi="Times New Roman"/>
          <w:sz w:val="18"/>
          <w:szCs w:val="18"/>
          <w:b w:val="1"/>
          <w:bCs w:val="1"/>
          <w:color w:val="auto"/>
        </w:rPr>
        <w:t>Rule 424(b)</w:t>
      </w:r>
      <w:r>
        <w:rPr>
          <w:rFonts w:ascii="Times New Roman" w:cs="Times New Roman" w:eastAsia="Times New Roman" w:hAnsi="Times New Roman"/>
          <w:sz w:val="18"/>
          <w:szCs w:val="18"/>
          <w:color w:val="auto"/>
        </w:rPr>
        <w:t>”).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113" w:lineRule="exact"/>
        <w:rPr>
          <w:sz w:val="20"/>
          <w:szCs w:val="20"/>
          <w:color w:val="auto"/>
        </w:rPr>
      </w:pPr>
    </w:p>
    <w:p>
      <w:pPr>
        <w:ind w:left="440" w:right="42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7:30 P.M., New York City time, on February 29, 2024 or such other time as agreed by the Company and the Representatives.</w:t>
      </w:r>
    </w:p>
    <w:p>
      <w:pPr>
        <w:spacing w:after="0" w:line="47" w:lineRule="exact"/>
        <w:rPr>
          <w:sz w:val="20"/>
          <w:szCs w:val="20"/>
          <w:color w:val="auto"/>
        </w:rPr>
      </w:pPr>
    </w:p>
    <w:p>
      <w:pPr>
        <w:ind w:left="440" w:right="20" w:firstLine="4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Disclosure Package</w:t>
      </w:r>
      <w:r>
        <w:rPr>
          <w:rFonts w:ascii="Times New Roman" w:cs="Times New Roman" w:eastAsia="Times New Roman" w:hAnsi="Times New Roman"/>
          <w:sz w:val="18"/>
          <w:szCs w:val="18"/>
          <w:color w:val="auto"/>
        </w:rPr>
        <w:t>”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Schedule B-1 hereto, all considered together.</w:t>
      </w:r>
    </w:p>
    <w:p>
      <w:pPr>
        <w:spacing w:after="0" w:line="63" w:lineRule="exact"/>
        <w:rPr>
          <w:sz w:val="20"/>
          <w:szCs w:val="20"/>
          <w:color w:val="auto"/>
        </w:rPr>
      </w:pPr>
    </w:p>
    <w:p>
      <w:pPr>
        <w:ind w:left="440" w:right="12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of the 1933 Act Regulations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433</w:t>
      </w:r>
      <w:r>
        <w:rPr>
          <w:rFonts w:ascii="Times New Roman" w:cs="Times New Roman" w:eastAsia="Times New Roman" w:hAnsi="Times New Roman"/>
          <w:sz w:val="18"/>
          <w:szCs w:val="18"/>
          <w:color w:val="auto"/>
        </w:rPr>
        <w:t>”), including without limitation any “free writing prospectus” (as defined in Rule 405 of the 1933 Act Regulations (“</w:t>
      </w:r>
      <w:r>
        <w:rPr>
          <w:rFonts w:ascii="Times New Roman" w:cs="Times New Roman" w:eastAsia="Times New Roman" w:hAnsi="Times New Roman"/>
          <w:sz w:val="18"/>
          <w:szCs w:val="18"/>
          <w:b w:val="1"/>
          <w:bCs w:val="1"/>
          <w:color w:val="auto"/>
        </w:rPr>
        <w:t>Rule 405</w:t>
      </w:r>
      <w:r>
        <w:rPr>
          <w:rFonts w:ascii="Times New Roman" w:cs="Times New Roman" w:eastAsia="Times New Roman" w:hAnsi="Times New Roman"/>
          <w:sz w:val="18"/>
          <w:szCs w:val="18"/>
          <w:color w:val="auto"/>
        </w:rPr>
        <w:t>”))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7" w:name="page8"/>
    <w:bookmarkEnd w:id="7"/>
    <w:p>
      <w:pPr>
        <w:ind w:left="440" w:right="500" w:firstLine="423"/>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Issuer General Use Free Writing Prospectus</w:t>
      </w:r>
      <w:r>
        <w:rPr>
          <w:rFonts w:ascii="Times New Roman" w:cs="Times New Roman" w:eastAsia="Times New Roman" w:hAnsi="Times New Roman"/>
          <w:sz w:val="18"/>
          <w:szCs w:val="18"/>
          <w:color w:val="auto"/>
        </w:rPr>
        <w:t>” means any Issuer Free Writing Prospectus that is intended for general distribution to prospective investors, as evidenced by its being specified in Schedule B-2 hereto.</w:t>
      </w:r>
    </w:p>
    <w:p>
      <w:pPr>
        <w:spacing w:after="0" w:line="47" w:lineRule="exact"/>
        <w:rPr>
          <w:sz w:val="20"/>
          <w:szCs w:val="20"/>
          <w:color w:val="auto"/>
        </w:rPr>
      </w:pPr>
    </w:p>
    <w:p>
      <w:pPr>
        <w:ind w:left="440" w:right="20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Limited Use Free Writing Prospectus</w:t>
      </w:r>
      <w:r>
        <w:rPr>
          <w:rFonts w:ascii="Times New Roman" w:cs="Times New Roman" w:eastAsia="Times New Roman" w:hAnsi="Times New Roman"/>
          <w:sz w:val="18"/>
          <w:szCs w:val="18"/>
          <w:color w:val="auto"/>
        </w:rPr>
        <w:t>” means any Issuer Free Writing Prospectus that is not an Issuer General Use Free Writing Prospectus.</w:t>
      </w:r>
    </w:p>
    <w:p>
      <w:pPr>
        <w:spacing w:after="0" w:line="47" w:lineRule="exact"/>
        <w:rPr>
          <w:sz w:val="20"/>
          <w:szCs w:val="20"/>
          <w:color w:val="auto"/>
        </w:rPr>
      </w:pPr>
    </w:p>
    <w:p>
      <w:pPr>
        <w:ind w:left="440" w:right="58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or Rule 163B under, the 1933 Act.</w:t>
      </w:r>
    </w:p>
    <w:p>
      <w:pPr>
        <w:spacing w:after="0" w:line="47" w:lineRule="exact"/>
        <w:rPr>
          <w:sz w:val="20"/>
          <w:szCs w:val="20"/>
          <w:color w:val="auto"/>
        </w:rPr>
      </w:pPr>
    </w:p>
    <w:p>
      <w:pPr>
        <w:ind w:left="440" w:right="6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1933 Act.</w:t>
      </w:r>
    </w:p>
    <w:p>
      <w:pPr>
        <w:spacing w:after="0" w:line="15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(or other references of like import) in the Registration Statement, any preliminary prospectus or the Prospectus shall include all such financial statements and schedules and other information which is incorporated by reference in or otherwise deemed by 1933 Act Regulations to be a part of or included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include the filing of any document under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and the rules and regulations promulgated thereunder (the “</w:t>
      </w:r>
      <w:r>
        <w:rPr>
          <w:rFonts w:ascii="Times New Roman" w:cs="Times New Roman" w:eastAsia="Times New Roman" w:hAnsi="Times New Roman"/>
          <w:sz w:val="18"/>
          <w:szCs w:val="18"/>
          <w:b w:val="1"/>
          <w:bCs w:val="1"/>
          <w:color w:val="auto"/>
        </w:rPr>
        <w:t>1934 Regulations</w:t>
      </w:r>
      <w:r>
        <w:rPr>
          <w:rFonts w:ascii="Times New Roman" w:cs="Times New Roman" w:eastAsia="Times New Roman" w:hAnsi="Times New Roman"/>
          <w:sz w:val="18"/>
          <w:szCs w:val="18"/>
          <w:color w:val="auto"/>
        </w:rPr>
        <w:t>”), which is incorporated by reference in or otherwise deemed by 1933 Act Regulations to be a part of or included in the Registration Statement, such preliminary prospectus or the Prospectus, as the case may be, at or after the execution and delivery of this Agreement.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440" w:firstLine="436"/>
        <w:spacing w:after="0" w:line="315" w:lineRule="auto"/>
        <w:tabs>
          <w:tab w:leader="none" w:pos="68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Representations and Warranties by the Company</w:t>
      </w:r>
      <w:r>
        <w:rPr>
          <w:rFonts w:ascii="Times New Roman" w:cs="Times New Roman" w:eastAsia="Times New Roman" w:hAnsi="Times New Roman"/>
          <w:sz w:val="17"/>
          <w:szCs w:val="17"/>
          <w:color w:val="auto"/>
        </w:rPr>
        <w:t>. The Company represents and warrants to each Underwriter as of the date hereof,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Time, the Closing Time (as defined below) and any Date of Delivery (as defined below), and agrees with each Underwriter, as follows:</w:t>
      </w:r>
    </w:p>
    <w:p>
      <w:pPr>
        <w:spacing w:after="0" w:line="28" w:lineRule="exact"/>
        <w:rPr>
          <w:rFonts w:ascii="Times New Roman" w:cs="Times New Roman" w:eastAsia="Times New Roman" w:hAnsi="Times New Roman"/>
          <w:sz w:val="17"/>
          <w:szCs w:val="17"/>
          <w:color w:val="auto"/>
        </w:rPr>
      </w:pPr>
    </w:p>
    <w:p>
      <w:pPr>
        <w:ind w:left="440" w:firstLine="419"/>
        <w:spacing w:after="0" w:line="255" w:lineRule="auto"/>
        <w:tabs>
          <w:tab w:leader="none" w:pos="107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The Company meets the requirements for use of Form S-3 under the 1933 Act. The Registration Statement is an “automatic shelf registration statement” (as defined in Rule 405) and the Securities have been and remain eligible for registration by the Company on such automatic shelf registration statement. Each of the Registration Statement and any post-effective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8" w:name="page9"/>
    <w:bookmarkEnd w:id="8"/>
    <w:p>
      <w:pPr>
        <w:ind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Registration Statement and any post-effective amendment thereto, at the time of its effectiveness and at each deemed effective date with respect to the Underwriters pursuant to Rule 430B(f)(2) under the 1933 Act Regulations, the Applicable Time, the Closing Time and any Date of Delivery complied and will comply in all material respects with the applicable requirements of the 1933 Act and the 1933 Act Regulations. Each preliminary prospectus, the Prospectus and any amendment or supplement thereto, at the time each was filed with the Commission, and, in each case, at the Applicable Time, the Closing Time and any Date of Delivery complied and will comply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84" w:lineRule="exact"/>
        <w:rPr>
          <w:sz w:val="20"/>
          <w:szCs w:val="20"/>
          <w:color w:val="auto"/>
        </w:rPr>
      </w:pPr>
    </w:p>
    <w:p>
      <w:pPr>
        <w:ind w:right="240" w:firstLine="423"/>
        <w:spacing w:after="0" w:line="266" w:lineRule="auto"/>
        <w:rPr>
          <w:sz w:val="20"/>
          <w:szCs w:val="20"/>
          <w:color w:val="auto"/>
        </w:rPr>
      </w:pPr>
      <w:r>
        <w:rPr>
          <w:rFonts w:ascii="Times New Roman" w:cs="Times New Roman" w:eastAsia="Times New Roman" w:hAnsi="Times New Roman"/>
          <w:sz w:val="18"/>
          <w:szCs w:val="18"/>
          <w:color w:val="auto"/>
        </w:rPr>
        <w:t>The documents incorporated or deemed to be incorporated by reference in the Registration Statement, any preliminary prospectus and the Prospectus, when they became effective or at the time they were or hereafter are filed with the Commission, complied and will comply in all material respects with the requirements of the 1934 Act and the 1934 Act Regulations.</w:t>
      </w:r>
    </w:p>
    <w:p>
      <w:pPr>
        <w:spacing w:after="0" w:line="68" w:lineRule="exact"/>
        <w:rPr>
          <w:sz w:val="20"/>
          <w:szCs w:val="20"/>
          <w:color w:val="auto"/>
        </w:rPr>
      </w:pPr>
    </w:p>
    <w:p>
      <w:pPr>
        <w:ind w:firstLine="419"/>
        <w:spacing w:after="0" w:line="252" w:lineRule="auto"/>
        <w:tabs>
          <w:tab w:leader="none" w:pos="6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Neither the Registration Statement nor any amendment thereto, at its effective time, on the date hereof, at the Closing Time or at any Date of Delivery, contained, contains or will contain an untrue statement of a material fact or omitted, omits or will omit to state a material fact required to be stated therein or necessary to make the statements therein not misleading. At the Applicable Time, the Closing Time and any Date of Delivery, none of (A) the General Disclosure Package, (B) any individual Issuer Limited Use Free Writing Prospectus, when considered together with the General Disclosure Package and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88" w:lineRule="exact"/>
        <w:rPr>
          <w:sz w:val="20"/>
          <w:szCs w:val="20"/>
          <w:color w:val="auto"/>
        </w:rPr>
      </w:pPr>
    </w:p>
    <w:p>
      <w:pPr>
        <w:ind w:right="180" w:firstLine="423"/>
        <w:spacing w:after="0" w:line="258"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discount figure appearing in the fifth paragraph under the caption “Underwriting” and the information contained in the ninth, tenth and eleventh paragraphs under the caption “Underwriting.”</w:t>
      </w:r>
    </w:p>
    <w:p>
      <w:pPr>
        <w:spacing w:after="0" w:line="75" w:lineRule="exact"/>
        <w:rPr>
          <w:sz w:val="20"/>
          <w:szCs w:val="20"/>
          <w:color w:val="auto"/>
        </w:rPr>
      </w:pPr>
    </w:p>
    <w:p>
      <w:pPr>
        <w:ind w:right="220" w:firstLine="419"/>
        <w:spacing w:after="0" w:line="281" w:lineRule="auto"/>
        <w:tabs>
          <w:tab w:leader="none" w:pos="73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Issuer Free Writing Prospectuses</w:t>
      </w:r>
      <w:r>
        <w:rPr>
          <w:rFonts w:ascii="Times New Roman" w:cs="Times New Roman" w:eastAsia="Times New Roman" w:hAnsi="Times New Roman"/>
          <w:sz w:val="17"/>
          <w:szCs w:val="17"/>
          <w:color w:val="auto"/>
        </w:rPr>
        <w:t>.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The representations and warranties in this subsection shall not apply to statements in or omissions from any Issuer Free Writing Prospectus made in reliance upon and in conformity with the Underwriter Information.</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9" w:name="page10"/>
    <w:bookmarkEnd w:id="9"/>
    <w:p>
      <w:pPr>
        <w:ind w:right="120" w:firstLine="419"/>
        <w:spacing w:after="0" w:line="256" w:lineRule="auto"/>
        <w:tabs>
          <w:tab w:leader="none" w:pos="7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Well-Known Seasoned Issuer.</w:t>
      </w:r>
      <w:r>
        <w:rPr>
          <w:rFonts w:ascii="Times New Roman" w:cs="Times New Roman" w:eastAsia="Times New Roman" w:hAnsi="Times New Roman"/>
          <w:sz w:val="18"/>
          <w:szCs w:val="18"/>
          <w:color w:val="auto"/>
        </w:rPr>
        <w:t xml:space="preserve"> (A) At the original effectiveness of the Registration Statement, (B)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any person acting on its behalf (within the meaning, for this clause only, of Rule 163(c) under the 1933 Act) made any offer relating to the Securities in reliance on the exemption of Rule 163 under the 1933 Act, and (D) as of the Applicable Time, the Company was and is a “well-known seasoned issuer” (as defined in Rule 405).</w:t>
      </w:r>
    </w:p>
    <w:p>
      <w:pPr>
        <w:spacing w:after="0" w:line="79"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Testing-the-Waters Materials</w:t>
      </w:r>
      <w:r>
        <w:rPr>
          <w:rFonts w:ascii="Times New Roman" w:cs="Times New Roman" w:eastAsia="Times New Roman" w:hAnsi="Times New Roman"/>
          <w:sz w:val="18"/>
          <w:szCs w:val="18"/>
          <w:color w:val="auto"/>
        </w:rPr>
        <w:t>. The Company (A) has not engaged in any Testing-the-Waters Communication other than</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Testing-the-Waters Communications with the consent of the Representatives with entities that are qualified institutional buyers within the meaning of Rule 144A under the 1933 Act or institutions that are accredited investors within the meaning of Rule 501 under the 1933 Act or, in the case of Testing-the-Waters Communications made in reliance on Rule 163B, with entities that the Company reasonably believes are qualified institutional buyers or institutions that are accredited investors within the meaning of Rule 163B under the 1933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Schedule B-3 hereto.</w:t>
      </w:r>
    </w:p>
    <w:p>
      <w:pPr>
        <w:spacing w:after="0" w:line="80" w:lineRule="exact"/>
        <w:rPr>
          <w:sz w:val="20"/>
          <w:szCs w:val="20"/>
          <w:color w:val="auto"/>
        </w:rPr>
      </w:pPr>
    </w:p>
    <w:p>
      <w:pPr>
        <w:ind w:right="20" w:firstLine="419"/>
        <w:spacing w:after="0" w:line="281" w:lineRule="auto"/>
        <w:tabs>
          <w:tab w:leader="none" w:pos="72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Not Ineligible Issuer</w:t>
      </w:r>
      <w:r>
        <w:rPr>
          <w:rFonts w:ascii="Times New Roman" w:cs="Times New Roman" w:eastAsia="Times New Roman" w:hAnsi="Times New Roman"/>
          <w:sz w:val="17"/>
          <w:szCs w:val="17"/>
          <w:color w:val="auto"/>
        </w:rPr>
        <w:t xml:space="preserve">. At the time of filing the Registration Statement and any post-effective amendment thereto, at the earliest time thereafter that the Company or another offering participant made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56" w:lineRule="exact"/>
        <w:rPr>
          <w:rFonts w:ascii="Times New Roman" w:cs="Times New Roman" w:eastAsia="Times New Roman" w:hAnsi="Times New Roman"/>
          <w:sz w:val="17"/>
          <w:szCs w:val="17"/>
          <w:color w:val="auto"/>
        </w:rPr>
      </w:pPr>
    </w:p>
    <w:p>
      <w:pPr>
        <w:ind w:firstLine="419"/>
        <w:spacing w:after="0" w:line="261" w:lineRule="auto"/>
        <w:tabs>
          <w:tab w:leader="none" w:pos="7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xml:space="preserve"> From the time of the initial filing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1933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240" w:firstLine="419"/>
        <w:spacing w:after="0" w:line="266"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The accountants who certified the financial statements and supporting schedules, if any, included in the Registration Statement, the General Disclosure Package and the Prospectus are an independent registered public accounting firm as required by the 1933 Act, the 1933 Act Regulations, the 1934 Act, the 1934 Act Regulations and the Public Company Accounting Oversight Board.</w:t>
      </w:r>
    </w:p>
    <w:p>
      <w:pPr>
        <w:spacing w:after="0" w:line="67" w:lineRule="exact"/>
        <w:rPr>
          <w:rFonts w:ascii="Times New Roman" w:cs="Times New Roman" w:eastAsia="Times New Roman" w:hAnsi="Times New Roman"/>
          <w:sz w:val="18"/>
          <w:szCs w:val="18"/>
          <w:color w:val="auto"/>
        </w:rPr>
      </w:pPr>
    </w:p>
    <w:p>
      <w:pPr>
        <w:jc w:val="both"/>
        <w:ind w:right="40" w:firstLine="419"/>
        <w:spacing w:after="0" w:line="261" w:lineRule="auto"/>
        <w:tabs>
          <w:tab w:leader="none" w:pos="7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incorporated by reference in the Registration Statement, the General Disclosure Package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10" w:name="page11"/>
    <w:bookmarkEnd w:id="1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involved. The supporting schedules, if any, present fairly, in all material respects, in accordance with GAAP the information required to be stated therein. Except as incorporated by reference therein, no historical or pro forma financial statements or supporting schedules are required to be incorporated by reference in the Registration Statement, the General Disclosure Package or the Prospectus under the 1933 Act or the 1933 Act Regulations, the 1934 Act or the 1934 Act Regulations. The interactive data in eXtensible Business Reporting Language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79" w:lineRule="exact"/>
        <w:rPr>
          <w:sz w:val="20"/>
          <w:szCs w:val="20"/>
          <w:color w:val="auto"/>
        </w:rPr>
      </w:pPr>
    </w:p>
    <w:p>
      <w:pPr>
        <w:ind w:right="80" w:firstLine="419"/>
        <w:spacing w:after="0" w:line="255"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80" w:lineRule="exact"/>
        <w:rPr>
          <w:rFonts w:ascii="Times New Roman" w:cs="Times New Roman" w:eastAsia="Times New Roman" w:hAnsi="Times New Roman"/>
          <w:sz w:val="18"/>
          <w:szCs w:val="18"/>
          <w:color w:val="auto"/>
        </w:rPr>
      </w:pPr>
    </w:p>
    <w:p>
      <w:pPr>
        <w:ind w:firstLine="419"/>
        <w:spacing w:after="0" w:line="256" w:lineRule="auto"/>
        <w:tabs>
          <w:tab w:leader="none" w:pos="7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singly or in the aggregate, reasonably be expected to result in a Material Adverse Effect.</w:t>
      </w:r>
    </w:p>
    <w:p>
      <w:pPr>
        <w:spacing w:after="0" w:line="79"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Subsidiaries</w:t>
      </w:r>
      <w:r>
        <w:rPr>
          <w:rFonts w:ascii="Times New Roman" w:cs="Times New Roman" w:eastAsia="Times New Roman" w:hAnsi="Times New Roman"/>
          <w:sz w:val="18"/>
          <w:szCs w:val="18"/>
          <w:color w:val="auto"/>
        </w:rPr>
        <w:t>. The Company has no subsidiaries.</w:t>
      </w:r>
    </w:p>
    <w:p>
      <w:pPr>
        <w:spacing w:after="0" w:line="117" w:lineRule="exact"/>
        <w:rPr>
          <w:rFonts w:ascii="Times New Roman" w:cs="Times New Roman" w:eastAsia="Times New Roman" w:hAnsi="Times New Roman"/>
          <w:sz w:val="18"/>
          <w:szCs w:val="18"/>
          <w:color w:val="auto"/>
        </w:rPr>
      </w:pPr>
    </w:p>
    <w:p>
      <w:pPr>
        <w:ind w:right="140" w:firstLine="419"/>
        <w:spacing w:after="0" w:line="255" w:lineRule="auto"/>
        <w:tabs>
          <w:tab w:leader="none" w:pos="8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issued and outstanding shares of capital stock of the Company are as set forth in the Registration Statement, the General Disclosure Package and the Prospectus (except for subsequent issuances, if any, pursuant to this Agreement, pursuant to reservations, agreements or employee benefit plans referred to in the Registration Statement, the General Disclosure Package and the Prospectus or pursuant to the exercise of convertible securities or options referred to in the Registration Statement, the General Disclosure Package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that have not been complied with or validly waived.</w:t>
      </w:r>
    </w:p>
    <w:p>
      <w:pPr>
        <w:spacing w:after="0" w:line="80"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66" w:right="459" w:bottom="1440" w:gutter="0" w:footer="0" w:header="0"/>
        </w:sectPr>
      </w:pPr>
    </w:p>
    <w:bookmarkStart w:id="11" w:name="page12"/>
    <w:bookmarkEnd w:id="11"/>
    <w:p>
      <w:pPr>
        <w:ind w:right="20" w:firstLine="419"/>
        <w:spacing w:after="0" w:line="252" w:lineRule="auto"/>
        <w:tabs>
          <w:tab w:leader="none" w:pos="7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 and Description of Securities</w:t>
      </w:r>
      <w:r>
        <w:rPr>
          <w:rFonts w:ascii="Times New Roman" w:cs="Times New Roman" w:eastAsia="Times New Roman" w:hAnsi="Times New Roman"/>
          <w:sz w:val="18"/>
          <w:szCs w:val="18"/>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Common Stock conforms, in all material respects, to all statements relating thereto contained in the Registration Statement, the General Disclosure Package and the Prospectus and such description conforms, in all material respects, to the rights set forth in the instruments defining the same. The Pre-Funded Warrants to be purchased by the Underwriters from the Company have been duly authorized for issuance and sale to the Underwriters pursuant to this Agreement and, when executed and delivered by the Company pursuant to this Agreement against payment of the consideration set forth herein,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validly reserved for issuance upon exercise of the Pre-Funded Warrants in a number sufficient to meet the current exercise requirements. The Warrant Shares, when issued and delivered upon exercise of the Pre-Funded Warrants and in accordance therewith, will be validly issued, fully paid and nonassessable, and the issuance of the Warrant Shares is not subject to any preemptive rights, rights of first refusal or other similar rights to subscribed for or purchase the Warrant Shares. The Securities, when issued, will conform to the description thereof set forth in or incorporated into the Registration Statement, the General Disclosure Package and the Prospectus. No holder of Securities will be subject to personal liability solely by reason of being such a holder.</w:t>
      </w:r>
    </w:p>
    <w:p>
      <w:pPr>
        <w:spacing w:after="0" w:line="85" w:lineRule="exact"/>
        <w:rPr>
          <w:rFonts w:ascii="Times New Roman" w:cs="Times New Roman" w:eastAsia="Times New Roman" w:hAnsi="Times New Roman"/>
          <w:sz w:val="18"/>
          <w:szCs w:val="18"/>
          <w:color w:val="auto"/>
        </w:rPr>
      </w:pPr>
    </w:p>
    <w:p>
      <w:pPr>
        <w:ind w:right="320" w:firstLine="419"/>
        <w:spacing w:after="0" w:line="266" w:lineRule="auto"/>
        <w:tabs>
          <w:tab w:leader="none" w:pos="8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waived.</w:t>
      </w:r>
    </w:p>
    <w:p>
      <w:pPr>
        <w:spacing w:after="0" w:line="67" w:lineRule="exact"/>
        <w:rPr>
          <w:rFonts w:ascii="Times New Roman" w:cs="Times New Roman" w:eastAsia="Times New Roman" w:hAnsi="Times New Roman"/>
          <w:sz w:val="18"/>
          <w:szCs w:val="18"/>
          <w:color w:val="auto"/>
        </w:rPr>
      </w:pPr>
    </w:p>
    <w:p>
      <w:pPr>
        <w:ind w:left="860" w:hanging="441"/>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Defaults and Conflicts</w:t>
      </w:r>
      <w:r>
        <w:rPr>
          <w:rFonts w:ascii="Times New Roman" w:cs="Times New Roman" w:eastAsia="Times New Roman" w:hAnsi="Times New Roman"/>
          <w:sz w:val="18"/>
          <w:szCs w:val="18"/>
          <w:color w:val="auto"/>
        </w:rPr>
        <w:t>. Neither the Company nor any of its subsidiaries is (A) in violation of its charter,</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w:t>
      </w:r>
      <w:r>
        <w:rPr>
          <w:rFonts w:ascii="Times New Roman" w:cs="Times New Roman" w:eastAsia="Times New Roman" w:hAnsi="Times New Roman"/>
          <w:sz w:val="18"/>
          <w:szCs w:val="18"/>
          <w:b w:val="1"/>
          <w:bCs w:val="1"/>
          <w:color w:val="auto"/>
        </w:rPr>
        <w:t>Agreements and Instruments</w:t>
      </w:r>
      <w:r>
        <w:rPr>
          <w:rFonts w:ascii="Times New Roman" w:cs="Times New Roman" w:eastAsia="Times New Roman" w:hAnsi="Times New Roman"/>
          <w:sz w:val="18"/>
          <w:szCs w:val="18"/>
          <w:color w:val="auto"/>
        </w:rPr>
        <w:t>”), except for such defaults that would not, singly or in the aggregate, reasonably be expected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Times New Roman" w:cs="Times New Roman" w:eastAsia="Times New Roman" w:hAnsi="Times New Roman"/>
          <w:sz w:val="18"/>
          <w:szCs w:val="18"/>
          <w:b w:val="1"/>
          <w:bCs w:val="1"/>
          <w:color w:val="auto"/>
        </w:rPr>
        <w:t>Governmental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except for such violations that would not, singly or in the aggregate, reasonably be expected to result in a Material Adverse Effect.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delivery and performance of this Agreement and the Pre-Funded Warrants and the consummation of the transactions contemplated herein and in the Registration Statement, the General Disclosure Package and the Prospectus (including the issuance and sale of the Securities and the Warrant Shares and the use of the proceeds from the sale of the Securities as described therein under the caption “Use of Proceeds”) and compliance by the Company with its obligations hereunder and under the Pre-Funded Warrants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2" w:name="page13"/>
    <w:bookmarkEnd w:id="12"/>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encumbrances that would not, singly or in the aggregate, reasonably be expected to result in a Material Adverse Effect), nor will such action result in any violation of (x) the provisions of the charter, by-laws or similar organizational document of the Company or any of its subsidiaries or</w:t>
      </w:r>
    </w:p>
    <w:p>
      <w:pPr>
        <w:ind w:left="4" w:right="80" w:hanging="4"/>
        <w:spacing w:after="0" w:line="253" w:lineRule="auto"/>
        <w:tabs>
          <w:tab w:leader="none" w:pos="2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statute, rule, regulation, judgment, order, writ or decree of any Governmental Entity, except, in the case of clause (y), for such violations as would not, singly or in the aggregate, reasonably be expected to have a Material Adverse Effect. As used herein, a “</w:t>
      </w:r>
      <w:r>
        <w:rPr>
          <w:rFonts w:ascii="Times New Roman" w:cs="Times New Roman" w:eastAsia="Times New Roman" w:hAnsi="Times New Roman"/>
          <w:sz w:val="18"/>
          <w:szCs w:val="18"/>
          <w:b w:val="1"/>
          <w:bCs w:val="1"/>
          <w:color w:val="auto"/>
        </w:rPr>
        <w:t>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means any event or condition which gives the holder of any note, debenture or other evidence of indebtedness (or any person acting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holder’s behalf) the right to require the repurchase, redemption or repayment of all or a portion of such indebtedness by the Company or any of its subsidiaries.</w:t>
      </w:r>
    </w:p>
    <w:p>
      <w:pPr>
        <w:spacing w:after="0" w:line="78" w:lineRule="exact"/>
        <w:rPr>
          <w:rFonts w:ascii="Times New Roman" w:cs="Times New Roman" w:eastAsia="Times New Roman" w:hAnsi="Times New Roman"/>
          <w:sz w:val="18"/>
          <w:szCs w:val="18"/>
          <w:color w:val="auto"/>
        </w:rPr>
      </w:pPr>
    </w:p>
    <w:p>
      <w:pPr>
        <w:ind w:left="4" w:right="40" w:firstLine="419"/>
        <w:spacing w:after="0" w:line="261" w:lineRule="auto"/>
        <w:tabs>
          <w:tab w:leader="none" w:pos="92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customers or contractors, which, in either case, singly or in the aggregate, would reasonably be expected to result in a Material Adverse Effect.</w:t>
      </w:r>
    </w:p>
    <w:p>
      <w:pPr>
        <w:spacing w:after="0" w:line="71" w:lineRule="exact"/>
        <w:rPr>
          <w:rFonts w:ascii="Times New Roman" w:cs="Times New Roman" w:eastAsia="Times New Roman" w:hAnsi="Times New Roman"/>
          <w:sz w:val="18"/>
          <w:szCs w:val="18"/>
          <w:color w:val="auto"/>
        </w:rPr>
      </w:pPr>
    </w:p>
    <w:p>
      <w:pPr>
        <w:ind w:left="4" w:firstLine="419"/>
        <w:spacing w:after="0" w:line="253" w:lineRule="auto"/>
        <w:tabs>
          <w:tab w:leader="none" w:pos="82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disclosed in the Registration Statement, the General Disclosure Package and the Prospectus, there is no action, suit, proceeding, inquiry or investigation before or brought by any Governmental Entity (including, without limitation,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and the European Medicines Agency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now pending or, to the knowledge of the Company, threatened, against or affecting the Company or any of its subsidiaries, which, singly or in the aggregate, would reasonably be expected to result in a Material Adverse Effect, or which would reasonably be expected to materially and adversely affect their respective properties or assets or the consummation of the transactions contemplated in this Agreement or the performance by the Company of its obligations hereunder; and the aggregate of all pending legal or governmental actions, suits, inquiries, investigations or proceedings to which the Company or any such subsidiary is a party or of which any of their respective properties or assets is the subject which are not described in the Registration Statement, the General Disclosure Package and the Prospectus, including ordinary routine litigation incidental to the business, would not, singly or in the aggregate, reasonably be expected to result in a Material Adverse Effect.</w:t>
      </w:r>
    </w:p>
    <w:p>
      <w:pPr>
        <w:spacing w:after="0" w:line="86" w:lineRule="exact"/>
        <w:rPr>
          <w:rFonts w:ascii="Times New Roman" w:cs="Times New Roman" w:eastAsia="Times New Roman" w:hAnsi="Times New Roman"/>
          <w:sz w:val="18"/>
          <w:szCs w:val="18"/>
          <w:color w:val="auto"/>
        </w:rPr>
      </w:pPr>
    </w:p>
    <w:p>
      <w:pPr>
        <w:ind w:left="4" w:firstLine="419"/>
        <w:spacing w:after="0" w:line="266" w:lineRule="auto"/>
        <w:tabs>
          <w:tab w:leader="none" w:pos="7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67"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82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and the Pre-Funded Warrants, except such as have been already obtained or as may be required under the 1933 Act, the 1933 Act Regulations, the rules of the Nasdaq Global Select Market, state securities laws or the rules of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 w:firstLine="419"/>
        <w:spacing w:after="0" w:line="261" w:lineRule="auto"/>
        <w:tabs>
          <w:tab w:leader="none" w:pos="8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and its subsidiaries possess such permits, licenses, approvals, clearances, certificates, consents and other authorizations issued by the appropriate Governmental Entities necessary to conduct the business as described in the Registration Statement, the General Disclosure Package and the Prospectus (collectively, “</w:t>
      </w:r>
      <w:r>
        <w:rPr>
          <w:rFonts w:ascii="Times New Roman" w:cs="Times New Roman" w:eastAsia="Times New Roman" w:hAnsi="Times New Roman"/>
          <w:sz w:val="18"/>
          <w:szCs w:val="18"/>
          <w:b w:val="1"/>
          <w:bCs w:val="1"/>
          <w:color w:val="auto"/>
        </w:rPr>
        <w:t>Governmental Licenses</w:t>
      </w:r>
      <w:r>
        <w:rPr>
          <w:rFonts w:ascii="Times New Roman" w:cs="Times New Roman" w:eastAsia="Times New Roman" w:hAnsi="Times New Roman"/>
          <w:sz w:val="18"/>
          <w:szCs w:val="18"/>
          <w:color w:val="auto"/>
        </w:rPr>
        <w:t>”), except where the failure so to possess would not, singly or in the</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13" w:name="page14"/>
    <w:bookmarkEnd w:id="1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aggregate, reasonably be expected to result in a Material Adverse Effect. The Company and its subsidiaries are in compliance with the terms and conditions of all such Governmental Licenses, except where the failure so to comply would not, singly or in the aggregate, reasonably be expected to result in a Material Adverse Effect. All such Governmental Licenses are valid and in full force and effect, except where the invalidity of such Governmental Licenses or the failure of such Governmental Licenses to be in full force and effect would not, singly or in the aggregate, reasonably be expected to result in a Material Adverse Effect. Neither the Company nor any of its subsidiaries has received any notice of proceedings relating to the revocation or modification of any such Governmental Licenses which, singly or in the aggregate, if the subject of an unfavorable decision, ruling or finding, would reasonably be expected to result in a Material Adverse Effect. The Company and its subsidiaries</w:t>
      </w:r>
    </w:p>
    <w:p>
      <w:pPr>
        <w:spacing w:after="0" w:line="3" w:lineRule="exact"/>
        <w:rPr>
          <w:sz w:val="20"/>
          <w:szCs w:val="20"/>
          <w:color w:val="auto"/>
        </w:rPr>
      </w:pPr>
    </w:p>
    <w:p>
      <w:pPr>
        <w:ind w:left="4" w:right="240" w:hanging="4"/>
        <w:spacing w:after="0" w:line="265" w:lineRule="auto"/>
        <w:tabs>
          <w:tab w:leader="none" w:pos="21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and at all times have been, in compliance with all statutes, rules and regulations applicable to the ownership, testing, development, manufacture, packaging, processing, use, distribution, storage, import, export or disposal of any product manufactured or distributed by them (“</w:t>
      </w:r>
      <w:r>
        <w:rPr>
          <w:rFonts w:ascii="Times New Roman" w:cs="Times New Roman" w:eastAsia="Times New Roman" w:hAnsi="Times New Roman"/>
          <w:sz w:val="17"/>
          <w:szCs w:val="17"/>
          <w:b w:val="1"/>
          <w:bCs w:val="1"/>
          <w:color w:val="auto"/>
        </w:rPr>
        <w:t>Applicable Laws</w:t>
      </w:r>
      <w:r>
        <w:rPr>
          <w:rFonts w:ascii="Times New Roman" w:cs="Times New Roman" w:eastAsia="Times New Roman" w:hAnsi="Times New Roman"/>
          <w:sz w:val="17"/>
          <w:szCs w:val="17"/>
          <w:color w:val="auto"/>
        </w:rPr>
        <w:t>”), except where such noncompliance would not, singly or in the aggregate, reasonably be expected to result in a Material Adverse Effect; and (ii) have not received any FDA Form 483, written notice of adverse finding, warning letter, untitled letter or other correspondence or written notice from any court or arbitrator or governmental or regulatory authority alleging or asserting noncompliance with</w:t>
      </w:r>
    </w:p>
    <w:p>
      <w:pPr>
        <w:ind w:left="4" w:right="40" w:hanging="4"/>
        <w:spacing w:after="0" w:line="290" w:lineRule="auto"/>
        <w:tabs>
          <w:tab w:leader="none" w:pos="25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Laws or (y) any Governmental Licenses required by any such Applicable Laws, except where being in contravention of any of the foregoing representations or warranties, singly or in the aggregate, would not reasonably be expected to result in a Material Adverse Effect.</w:t>
      </w:r>
    </w:p>
    <w:p>
      <w:pPr>
        <w:spacing w:after="0" w:line="49" w:lineRule="exact"/>
        <w:rPr>
          <w:rFonts w:ascii="Times New Roman" w:cs="Times New Roman" w:eastAsia="Times New Roman" w:hAnsi="Times New Roman"/>
          <w:sz w:val="17"/>
          <w:szCs w:val="17"/>
          <w:color w:val="auto"/>
        </w:rPr>
      </w:pPr>
    </w:p>
    <w:p>
      <w:pPr>
        <w:ind w:left="4" w:right="80" w:firstLine="419"/>
        <w:spacing w:after="0" w:line="257" w:lineRule="auto"/>
        <w:tabs>
          <w:tab w:leader="none" w:pos="92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w:t>
      </w:r>
    </w:p>
    <w:p>
      <w:pPr>
        <w:spacing w:after="0" w:line="1"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do not, singly or in the aggregate, materially affect the value of such property and do not materially interfere with the use made and proposed to 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Registration Statement, the General Disclosure Package or the Prospectus,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80" w:lineRule="exact"/>
        <w:rPr>
          <w:rFonts w:ascii="Times New Roman" w:cs="Times New Roman" w:eastAsia="Times New Roman" w:hAnsi="Times New Roman"/>
          <w:sz w:val="18"/>
          <w:szCs w:val="18"/>
          <w:color w:val="auto"/>
        </w:rPr>
      </w:pPr>
    </w:p>
    <w:p>
      <w:pPr>
        <w:ind w:left="4" w:firstLine="419"/>
        <w:spacing w:after="0" w:line="254" w:lineRule="auto"/>
        <w:tabs>
          <w:tab w:leader="none" w:pos="91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Intellectual Property</w:t>
      </w:r>
      <w:r>
        <w:rPr>
          <w:rFonts w:ascii="Times New Roman" w:cs="Times New Roman" w:eastAsia="Times New Roman" w:hAnsi="Times New Roman"/>
          <w:sz w:val="18"/>
          <w:szCs w:val="18"/>
          <w:color w:val="auto"/>
        </w:rPr>
        <w:t>. Except as would not reasonably be expected to have a Material Adverse Effect, the Company and its subsidiaries own or possess, have a valid license to, or can acquire on reasonable terms, all patents, patent applications, statutory invention rights, community designs, invention disclosures, rights in utility models and industrial designs, inventions, registered and unregistered copyrights (including copyrights in software), trademarks, service marks, business names, trade names, logos, slogans, trade dress, design rights, Internet domain names, social media accounts, any other designations of source or origin, intellectual property rights in technology, software, data and know how (including trade secrets and other unpatented and/or unpatentable proprietary or confidential information, systems or procedures), and any applications (including provisional applications), registrations, or renewals for any of the foregoing, together with the goodwill associated with any of the foregoing, rights to publicity and privacy and/or other intellectual property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necessary to carry on the business now operated by them and as proposed to be operated as described in the</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4"/>
          </w:cols>
          <w:pgMar w:left="876" w:top="270" w:right="479" w:bottom="1440" w:gutter="0" w:footer="0" w:header="0"/>
        </w:sectPr>
      </w:pPr>
    </w:p>
    <w:bookmarkStart w:id="14" w:name="page15"/>
    <w:bookmarkEnd w:id="1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the General Disclosure Package and the Prospectus. Except as would not reasonably be expected to have a Material Adverse Effect, (i) neither the Company nor any of its subsidiaries has received any notice of nor has engaged in any infringement, misappropriation or other violation of or conflict regarding any Intellectual Property of any third party, (ii) there is no pending or threatened action, suit, proceeding or claim regarding the subject matter of the foregoing clause (i), and (iii) the Company and its subsidiaries are unaware of any facts or circumstances which would form a reasonable basis for any such claim. (a) Except as would not reasonably be expected to have a Material Adverse Effect, all Intellectual Property owned by or exclusively licensed to the Company or any of its subsidiaries (such Intellectual Property, the “</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is subsisting, and to the Company’s knowledge, valid and enforceable, (b) there is no pending or threatened action, suit, proceeding or claim by any third party challenging the Company’s or any of its subsidiaries’ rights in, or the validity, ownership, registrability, enforceability or scope of, any such Company Intellectual Property (with the exception of ordinary course office actions in connection with applications for the registration or issuance of such Intellectual Property) and (c) the Company and its subsidiaries are unaware of any facts or circumstances which would form a reasonable basis for any such claim. No third party is infringing, misappropriating or otherwise violating any of the Company Intellectual Property and there is no pending or threatened action, suit, proceeding or claim by the Company or any of its subsidiaries against a third party regarding the foregoing. (1) The Company and its subsidiaries have complied in all material respects with the terms of each agreement pursuant to which Intellectual Property has been licensed to the Company or its subsidiaries, (2) neither the Company nor any of its subsidiaries has received any written notice alleging any such noncompliance and are unaware of any facts or circumstances which would form a reasonable basis for any such claim, and (3) all such agreements are in full force and effect. Except as would not reasonably be expected to have a Material Adverse Effect, no Intellectual Property has been obtained or is being used by the Company or its subsidiaries in violation of any material contractual obligations binding on the Company or such subsidiaries or in violation of any contractual rights of any person. All filing actions and registration, maintenance, annuity and renewal fees needed to be taken, met or paid in order to prosecute or maintain the Company Intellectual Property have been timely taken, met or paid, and there are no material defects with respect to any such filings, payments or actions. Each person who is or was an employee or contractor of the Company or any of its subsidiaries and who is, was or is expected to be involved in the creation or development of any Intellectual Property for or on behalf of the Company or such subsidiaries has executed a valid written agreement effectively assigning to the Company or any of its subsidiaries all of such person’s rights in and to such Intellectual Property and no employee of the Company or any of its subsidiaries is in or has ever been in violation of any term of any agreement with or covenant to a former employer where the basis of such violation relates to such employee’s employment with the Company or any of its subsidiaries or actions undertaken by the employee while employed with the Company or any of its subsidiaries. The Company and its subsidiaries have taken all reasonable steps necessary to maintain and protect the confidentiality of the material trade secrets and other material confidential Company Intellectual Property and non-exclusively-licensed Intellectual Property used in connection with the business of the Company and its subsidiaries and, to the Company’s knowledge, the confidentiality of such material trade secrets and material confidential Intellectual Property has not been compromised or disclosed to or accessed by any third party except pursuant to appropriate nondisclosure and confidentiality agreements. No university, military, educational institution, research center, Governmental Authority or other organization has funded, contributed to or sponsored research and development conducted in connection with the business of the Company or any of its subsidiaries that (i) has any claim of right to, ownership of or other lien on any Company Intellectual Property or (ii) would affect the proprietary nature of any Company Intellectual Property or restrict the ability of the Company or any of its subsidiaries to enforce, license or exclude others from using any Company Intellectual Property.</w:t>
      </w:r>
    </w:p>
    <w:p>
      <w:pPr>
        <w:spacing w:after="0" w:line="1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5" w:name="page16"/>
    <w:bookmarkEnd w:id="15"/>
    <w:p>
      <w:pPr>
        <w:ind w:left="864" w:hanging="441"/>
        <w:spacing w:after="0"/>
        <w:tabs>
          <w:tab w:leader="none" w:pos="8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Environmental Laws</w:t>
      </w:r>
      <w:r>
        <w:rPr>
          <w:rFonts w:ascii="Times New Roman" w:cs="Times New Roman" w:eastAsia="Times New Roman" w:hAnsi="Times New Roman"/>
          <w:sz w:val="18"/>
          <w:szCs w:val="18"/>
          <w:color w:val="auto"/>
        </w:rPr>
        <w:t>. Except as would not, singly or in the aggregate, reasonably be expected to result in a Material Adverse Effect,</w:t>
      </w:r>
    </w:p>
    <w:p>
      <w:pPr>
        <w:spacing w:after="0" w:line="27" w:lineRule="exact"/>
        <w:rPr>
          <w:rFonts w:ascii="Times New Roman" w:cs="Times New Roman" w:eastAsia="Times New Roman" w:hAnsi="Times New Roman"/>
          <w:sz w:val="18"/>
          <w:szCs w:val="18"/>
          <w:color w:val="auto"/>
        </w:rPr>
      </w:pPr>
    </w:p>
    <w:p>
      <w:pPr>
        <w:ind w:left="4" w:right="40" w:hanging="4"/>
        <w:spacing w:after="0" w:line="251" w:lineRule="auto"/>
        <w:tabs>
          <w:tab w:leader="none" w:pos="2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and safety (including occupational health and safety), sustainability, the environment (including, without limitation, ambient air, surface water, groundwater, land surface or subsurface strata), natural resources or wildlife, including, without limitation, laws and regulations relating to the release or threatened release of, or exposure to, chemicals, pollutants, contaminants, wastes, toxic substances, hazardous substances, radioactive substances, petroleum, petroleum products, asbestos-containing materials, polychlorinated biphenyls, per- and polyfluoroalkyl substances, greenhouse gases or mold (collectively, “</w:t>
      </w:r>
      <w:r>
        <w:rPr>
          <w:rFonts w:ascii="Times New Roman" w:cs="Times New Roman" w:eastAsia="Times New Roman" w:hAnsi="Times New Roman"/>
          <w:sz w:val="18"/>
          <w:szCs w:val="18"/>
          <w:b w:val="1"/>
          <w:bCs w:val="1"/>
          <w:color w:val="auto"/>
        </w:rPr>
        <w:t>Hazardous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or to the manufacture, processing, distribution, use, treatment, storage, disposal, transport, discharge, emission or handling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Hazardous Materials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(B) the Company and its subsidiaries have all permits, authorizations, registrations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investigations or proceedings relating to any Environmental Law or Hazardous Materials against the Company or any of its subsidiaries and (D) to the knowledge of the Company,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spacing w:after="0" w:line="82" w:lineRule="exact"/>
        <w:rPr>
          <w:rFonts w:ascii="Times New Roman" w:cs="Times New Roman" w:eastAsia="Times New Roman" w:hAnsi="Times New Roman"/>
          <w:sz w:val="18"/>
          <w:szCs w:val="18"/>
          <w:color w:val="auto"/>
        </w:rPr>
      </w:pPr>
    </w:p>
    <w:p>
      <w:pPr>
        <w:jc w:val="both"/>
        <w:ind w:left="4" w:right="140" w:firstLine="419"/>
        <w:spacing w:after="0" w:line="272" w:lineRule="auto"/>
        <w:tabs>
          <w:tab w:leader="none" w:pos="91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Accounting Controls and Disclosure Controls</w:t>
      </w:r>
      <w:r>
        <w:rPr>
          <w:rFonts w:ascii="Times New Roman" w:cs="Times New Roman" w:eastAsia="Times New Roman" w:hAnsi="Times New Roman"/>
          <w:sz w:val="17"/>
          <w:szCs w:val="17"/>
          <w:color w:val="auto"/>
        </w:rPr>
        <w:t>. The Company and each of its subsidiaries maintain effective internal control over financial reporting (as defined under Rules 13-a15 and 15d-15 under the 1934 Act Regulations) and a system of internal accounting controls sufficient to provide reasonable assurances that (A) transactions are executed in accordance with management’s general or specific authorization;</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the General Disclosure Package and the Prospectus fairly presents the information called for in all material respects and is prepared in accordance with the Commission’s rules and guidelines applicable thereto. Except as disclosed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and adversely affected, or is reasonably likely to materially and adversely affect, the Company’s internal control over financial reporting. The Company maintains an effective system of disclosure controls and procedures (as defined in Rule 13a-15 and Rule 15d-15 under the 1934 Act Regulations)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24"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4"/>
          </w:cols>
          <w:pgMar w:left="876" w:top="270" w:right="439" w:bottom="1440" w:gutter="0" w:footer="0" w:header="0"/>
        </w:sectPr>
      </w:pPr>
    </w:p>
    <w:bookmarkStart w:id="16" w:name="page17"/>
    <w:bookmarkEnd w:id="16"/>
    <w:p>
      <w:pPr>
        <w:ind w:right="160" w:firstLine="419"/>
        <w:spacing w:after="0" w:line="261" w:lineRule="auto"/>
        <w:tabs>
          <w:tab w:leader="none" w:pos="9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the Sarbanes-Oxley Act.</w:t>
      </w:r>
      <w:r>
        <w:rPr>
          <w:rFonts w:ascii="Times New Roman" w:cs="Times New Roman" w:eastAsia="Times New Roman" w:hAnsi="Times New Roman"/>
          <w:sz w:val="18"/>
          <w:szCs w:val="18"/>
          <w:color w:val="auto"/>
        </w:rPr>
        <w:t xml:space="preserve">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including Section 402 related to loans and Sections 302 and 906 related to certifications.</w:t>
      </w:r>
    </w:p>
    <w:p>
      <w:pPr>
        <w:spacing w:after="0" w:line="71" w:lineRule="exact"/>
        <w:rPr>
          <w:rFonts w:ascii="Times New Roman" w:cs="Times New Roman" w:eastAsia="Times New Roman" w:hAnsi="Times New Roman"/>
          <w:sz w:val="18"/>
          <w:szCs w:val="18"/>
          <w:color w:val="auto"/>
        </w:rPr>
      </w:pPr>
    </w:p>
    <w:p>
      <w:pPr>
        <w:ind w:right="20" w:firstLine="419"/>
        <w:spacing w:after="0" w:line="252" w:lineRule="auto"/>
        <w:tabs>
          <w:tab w:leader="none" w:pos="10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All United States federal, state, local and non-U.S. tax returns of the Company and its subsidiaries required by law to be filed have been filed as of the date hereof (after giving effect to any extensions provided by law that have been requested) and all taxes due or otherwise assessed (whether or not reported on such returns), have been paid, except assessments which are being contested in good faith by the Company and as to which adequate reserves have been provided in accordance with GAAP by the Company except insofar as the failure to pay such taxes would not reasonably be expected, singly or in the aggregate, to result in a Material Adverse Effect. The United States federal, state, local and non-U.S. income tax returns of the Company and its subsidiaries through the fiscal year ended December 31, 2022 have been settled and no assessment in connection therewith has been made against the Company or its subsidiaries, as applicable. The Company and its subsidiaries have filed all other tax returns that are required to have been filed by them pursuant to applicable foreign, federal, state, local or other law except insofar as the failure to file such returns would not, singly or in the aggregate, result in a Material Adverse Effect, and has paid all taxes due pursuant to such returns or pursuant to any assessment received by the Company and its subsidiaries, except for such taxes, if any, as are being contested in good faith and as to which adequate reserves have been established by the Company and except insofar as the failure to pay such taxes would not, singly or in the aggregate, reasonably be expected to result in a Material Adverse Effect.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singly or in the aggregate, reasonably be expected to result in a Material Adverse Effect.</w:t>
      </w:r>
    </w:p>
    <w:p>
      <w:pPr>
        <w:spacing w:after="0" w:line="87" w:lineRule="exact"/>
        <w:rPr>
          <w:rFonts w:ascii="Times New Roman" w:cs="Times New Roman" w:eastAsia="Times New Roman" w:hAnsi="Times New Roman"/>
          <w:sz w:val="18"/>
          <w:szCs w:val="18"/>
          <w:color w:val="auto"/>
        </w:rPr>
      </w:pPr>
    </w:p>
    <w:p>
      <w:pPr>
        <w:ind w:right="80" w:firstLine="419"/>
        <w:spacing w:after="0" w:line="255" w:lineRule="auto"/>
        <w:tabs>
          <w:tab w:leader="none" w:pos="9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carry or are entitled to the benefits of insurance, with financially sound and reputable insurers, in such amounts and covering such risks as is generally maintained by companies of established repute engaged in the same or similar business and at the same or similar stage of development,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singly or in the aggregate, result in a Material Adverse Effect. Neither the Company nor any of its subsidiaries has been denied any insurance coverage which it has sought or for which it has applied.</w:t>
      </w:r>
    </w:p>
    <w:p>
      <w:pPr>
        <w:spacing w:after="0" w:line="80" w:lineRule="exact"/>
        <w:rPr>
          <w:rFonts w:ascii="Times New Roman" w:cs="Times New Roman" w:eastAsia="Times New Roman" w:hAnsi="Times New Roman"/>
          <w:sz w:val="18"/>
          <w:szCs w:val="18"/>
          <w:color w:val="auto"/>
        </w:rPr>
      </w:pPr>
    </w:p>
    <w:p>
      <w:pPr>
        <w:jc w:val="both"/>
        <w:ind w:firstLine="419"/>
        <w:spacing w:after="0" w:line="261" w:lineRule="auto"/>
        <w:tabs>
          <w:tab w:leader="none" w:pos="8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Securities and Warrant Shares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1940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100" w:firstLine="419"/>
        <w:spacing w:after="0" w:line="261" w:lineRule="auto"/>
        <w:tabs>
          <w:tab w:leader="none" w:pos="9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Neither the Company nor, to the knowledge of the Company, any affiliate of the Company has taken, nor will the Company or any affiliate take, directly or indirectly, any action which is designed, or would reasonably be expected, to cause or result in, or which constitutes, the stabilization or manipulation of the price of any security of the Company to facilitate the sale or resale of the Securities and Warrant Shares or to result in a violation of Regulation M under the 1934 Act.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7" w:name="page18"/>
    <w:bookmarkEnd w:id="17"/>
    <w:p>
      <w:pPr>
        <w:ind w:right="80" w:firstLine="419"/>
        <w:spacing w:after="0" w:line="253" w:lineRule="auto"/>
        <w:tabs>
          <w:tab w:leader="none" w:pos="9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Foreign Corrupt Practices Act</w:t>
      </w:r>
      <w:r>
        <w:rPr>
          <w:rFonts w:ascii="Times New Roman" w:cs="Times New Roman" w:eastAsia="Times New Roman" w:hAnsi="Times New Roman"/>
          <w:sz w:val="18"/>
          <w:szCs w:val="18"/>
          <w:color w:val="auto"/>
        </w:rPr>
        <w:t>. None of the Company, any of its subsidiaries or, to the knowledge of the Company, any director or officer of the Company or its subsidiaries, as applicable,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86" w:lineRule="exact"/>
        <w:rPr>
          <w:rFonts w:ascii="Times New Roman" w:cs="Times New Roman" w:eastAsia="Times New Roman" w:hAnsi="Times New Roman"/>
          <w:sz w:val="18"/>
          <w:szCs w:val="18"/>
          <w:color w:val="auto"/>
        </w:rPr>
      </w:pPr>
    </w:p>
    <w:p>
      <w:pPr>
        <w:ind w:right="80" w:firstLine="419"/>
        <w:spacing w:after="0" w:line="256" w:lineRule="auto"/>
        <w:tabs>
          <w:tab w:leader="none" w:pos="10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Governmental Entity involving the Company or any of its subsidiaries with respect to the Money Laundering Laws is pending or, to the best knowledge of the Company, threatened.</w:t>
      </w:r>
    </w:p>
    <w:p>
      <w:pPr>
        <w:spacing w:after="0" w:line="79" w:lineRule="exact"/>
        <w:rPr>
          <w:rFonts w:ascii="Times New Roman" w:cs="Times New Roman" w:eastAsia="Times New Roman" w:hAnsi="Times New Roman"/>
          <w:sz w:val="18"/>
          <w:szCs w:val="18"/>
          <w:color w:val="auto"/>
        </w:rPr>
      </w:pPr>
    </w:p>
    <w:p>
      <w:pPr>
        <w:ind w:right="20" w:firstLine="419"/>
        <w:spacing w:after="0" w:line="253" w:lineRule="auto"/>
        <w:tabs>
          <w:tab w:leader="none" w:pos="9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Company, any of its subsidiaries, director or officer or, to the knowledge of the Company, any director or officer of the Company or its subsidiaries, as applicable, agent, employee, affiliate or representative of the Company or any of its subsidiaries is a Person currently the subject or target of any sanctions administered or enforced by the United States Government, including, without limitation, the U.S. Department of the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86" w:lineRule="exact"/>
        <w:rPr>
          <w:rFonts w:ascii="Times New Roman" w:cs="Times New Roman" w:eastAsia="Times New Roman" w:hAnsi="Times New Roman"/>
          <w:sz w:val="18"/>
          <w:szCs w:val="18"/>
          <w:color w:val="auto"/>
        </w:rPr>
      </w:pPr>
    </w:p>
    <w:p>
      <w:pPr>
        <w:ind w:left="940" w:hanging="521"/>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5" w:lineRule="exact"/>
        <w:rPr>
          <w:rFonts w:ascii="Times New Roman" w:cs="Times New Roman" w:eastAsia="Times New Roman" w:hAnsi="Times New Roman"/>
          <w:sz w:val="18"/>
          <w:szCs w:val="18"/>
          <w:color w:val="auto"/>
        </w:rPr>
      </w:pPr>
    </w:p>
    <w:p>
      <w:pPr>
        <w:ind w:firstLine="419"/>
        <w:spacing w:after="0" w:line="267" w:lineRule="auto"/>
        <w:tabs>
          <w:tab w:leader="none" w:pos="9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Lending Relationship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18" w:name="page19"/>
    <w:bookmarkEnd w:id="18"/>
    <w:p>
      <w:pPr>
        <w:ind w:right="80" w:firstLine="419"/>
        <w:spacing w:after="0" w:line="261" w:lineRule="auto"/>
        <w:tabs>
          <w:tab w:leader="none" w:pos="10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Statistical and Market-Related Data</w:t>
      </w:r>
      <w:r>
        <w:rPr>
          <w:rFonts w:ascii="Times New Roman" w:cs="Times New Roman" w:eastAsia="Times New Roman" w:hAnsi="Times New Roman"/>
          <w:sz w:val="18"/>
          <w:szCs w:val="18"/>
          <w:color w:val="auto"/>
        </w:rPr>
        <w:t>. Any statistical and market-related data included in the Registration Statement, the General Disclosure Package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71" w:lineRule="exact"/>
        <w:rPr>
          <w:rFonts w:ascii="Times New Roman" w:cs="Times New Roman" w:eastAsia="Times New Roman" w:hAnsi="Times New Roman"/>
          <w:sz w:val="18"/>
          <w:szCs w:val="18"/>
          <w:color w:val="auto"/>
        </w:rPr>
      </w:pPr>
    </w:p>
    <w:p>
      <w:pPr>
        <w:ind w:firstLine="419"/>
        <w:spacing w:after="0" w:line="251" w:lineRule="auto"/>
        <w:tabs>
          <w:tab w:leader="none" w:pos="109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Technology, Cybersecurity and Data Protection</w:t>
      </w:r>
      <w:r>
        <w:rPr>
          <w:rFonts w:ascii="Times New Roman" w:cs="Times New Roman" w:eastAsia="Times New Roman" w:hAnsi="Times New Roman"/>
          <w:sz w:val="18"/>
          <w:szCs w:val="18"/>
          <w:color w:val="auto"/>
        </w:rPr>
        <w:t>. (A) There has been no security breach or incident, unauthorized access or disclosure, or other compromise of or relating to the Company’s or its subsidiaries’ information technology and computer systems, networks, hardware, software, data and databases (including personally identifiable information or protected health information as required by any Health Care Laws and the data and information of their respective patients, customers, employees, suppliers, vendors and any third party data maintained, processed or stored by the Company or its subsidiaries, and any such data processed or stored by third parties on behalf of the Company or its subsidiaries),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(B) neither the Company nor its subsidiaries have been notified of, nor have any knowledge of any event or condition that would reasonably be expected to result in, any security breach or incident, unauthorized access or disclosure of or other compromise to their IT Systems and Data and, to the Company’s knowledge, no Person has claimed or threatened to claim compensation from the Company or any of its subsidiaries for breaches of IT Systems and Data; and (C) the Company and its subsidiaries have implemented appropriate controls, policies, procedures, and technological safeguards designed to maintain and protect the integrity, continuous operation, redundancy, disaster recovery and security of their IT Systems and Data reasonably consistent with industry standards and practices, or as required by applicable Data Protection Laws, Health Care Laws and regulatory standards, except with respect to clauses (A) and (B), for any such security breach or incident, unauthorized access or disclosure or other compromise, as would not, singly or in the aggregate, reasonably be expected to have a Material Adverse Effect. The IT Systems and Data are adequate and operational for, in accordance with their documentation and functional specifications, the business of the Company and its subsidiaries as now operated and as currently proposed to be operated as described in the Registration Statement, the General Disclosure Package and the Prospectus. The Company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including the collection, use, transfer, processing, disposal, disclosure, handling, storage and analysis of personally identifiable information, protected health information, consumer information and other confidential information of the Company, its subsidiaries and any third parties in their possession (“</w:t>
      </w:r>
      <w:r>
        <w:rPr>
          <w:rFonts w:ascii="Times New Roman" w:cs="Times New Roman" w:eastAsia="Times New Roman" w:hAnsi="Times New Roman"/>
          <w:sz w:val="18"/>
          <w:szCs w:val="18"/>
          <w:b w:val="1"/>
          <w:bCs w:val="1"/>
          <w:color w:val="auto"/>
        </w:rPr>
        <w:t>Sensitive Company Data</w:t>
      </w:r>
      <w:r>
        <w:rPr>
          <w:rFonts w:ascii="Times New Roman" w:cs="Times New Roman" w:eastAsia="Times New Roman" w:hAnsi="Times New Roman"/>
          <w:sz w:val="18"/>
          <w:szCs w:val="18"/>
          <w:color w:val="auto"/>
        </w:rPr>
        <w:t>”), and to the protection of such IT Systems and Data and Sensitive Company Data from unauthorized use, access, misappropriation or modification. The Company and its subsidiaries have not received any written notice, claim, complaint, demand or letter from any Person or Governmental Authority in respect of their businesses under applicable Data Protection Laws (as defined below) and regulations and industry standards regarding misuse, loss, unauthorized destruction or unauthorized disclosure of any Sensitive Company Data. To the Company’s knowledge, there has been no unauthorized or illegal use of or access to any Sensitive Company Data by any third party. The Company and its subsidiaries have not been required to notify any individual or data protection authority of any information security breach, compromise or incident involving Sensitive Company Data and, to the Company’s knowledge, are not the subject of any inquiry or investigation by any Governmental Authority or data protection authority regarding any of the foregoing.</w:t>
      </w:r>
    </w:p>
    <w:p>
      <w:pPr>
        <w:spacing w:after="0" w:line="1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19" w:name="page20"/>
    <w:bookmarkEnd w:id="19"/>
    <w:p>
      <w:pPr>
        <w:ind w:left="4" w:right="140" w:firstLine="42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Data Protection Laws</w:t>
      </w:r>
      <w:r>
        <w:rPr>
          <w:rFonts w:ascii="Times New Roman" w:cs="Times New Roman" w:eastAsia="Times New Roman" w:hAnsi="Times New Roman"/>
          <w:sz w:val="18"/>
          <w:szCs w:val="18"/>
          <w:color w:val="auto"/>
        </w:rPr>
        <w:t>” means (a) all applicable laws related to data privacy, data protection or data security (including the Health Insurance Portability and Accountability Act of 1996, Regulation (EU) 2016/79 of the European Parliament and of the Council (General Data Protection Regulation) and any implementation acts related thereto and the California Consumer Privacy Act of 2018), and the requirements and guidance set forth in regulations, guidelines and agreements containing consent orders published by regulatory authorities such as the Federal Trade Commission, Federal Communications Commission, the FDA, the U.S. Department of Health and Human Services and applicable European Union data protection authorities, in each case of the foregoing, as amended, replaced or updated from time to time; (b) all privacy policies of the Company and its subsidiaries; and (c) all third party privacy policies that the Company or any of its subsidiaries has been or is contractually obligated to comply with.</w:t>
      </w:r>
    </w:p>
    <w:p>
      <w:pPr>
        <w:spacing w:after="0" w:line="81" w:lineRule="exact"/>
        <w:rPr>
          <w:sz w:val="20"/>
          <w:szCs w:val="20"/>
          <w:color w:val="auto"/>
        </w:rPr>
      </w:pPr>
    </w:p>
    <w:p>
      <w:pPr>
        <w:ind w:left="4" w:right="460" w:firstLine="419"/>
        <w:spacing w:after="0" w:line="282" w:lineRule="auto"/>
        <w:tabs>
          <w:tab w:leader="none" w:pos="10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Rated Securities.</w:t>
      </w:r>
      <w:r>
        <w:rPr>
          <w:rFonts w:ascii="Times New Roman" w:cs="Times New Roman" w:eastAsia="Times New Roman" w:hAnsi="Times New Roman"/>
          <w:sz w:val="18"/>
          <w:szCs w:val="18"/>
          <w:color w:val="auto"/>
        </w:rPr>
        <w:t xml:space="preserve"> Neither the Company nor its subsidiaries have any debt securities or preferred stock that are rated by any “nationally recognized statistical rating organization” (as defined in Section 3(a)(62) of the 1934 Act).</w:t>
      </w:r>
    </w:p>
    <w:p>
      <w:pPr>
        <w:spacing w:after="0" w:line="5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Except as would not, singly or in the aggregate, reasonably be expected to result in a Material Adverse Effect,</w:t>
      </w:r>
    </w:p>
    <w:p>
      <w:pPr>
        <w:spacing w:after="0" w:line="27" w:lineRule="exact"/>
        <w:rPr>
          <w:sz w:val="20"/>
          <w:szCs w:val="20"/>
          <w:color w:val="auto"/>
        </w:rPr>
      </w:pPr>
    </w:p>
    <w:p>
      <w:pPr>
        <w:ind w:left="4" w:hanging="4"/>
        <w:spacing w:after="0" w:line="266" w:lineRule="auto"/>
        <w:tabs>
          <w:tab w:leader="none" w:pos="29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and any “Employee Benefit Plan” (as defined under the Employee Retirement Income Security Act of 1974, as amended, and the regulations and published interpretations promulgated thereunder (collectively, “</w:t>
      </w:r>
      <w:r>
        <w:rPr>
          <w:rFonts w:ascii="Times New Roman" w:cs="Times New Roman" w:eastAsia="Times New Roman" w:hAnsi="Times New Roman"/>
          <w:sz w:val="17"/>
          <w:szCs w:val="17"/>
          <w:b w:val="1"/>
          <w:bCs w:val="1"/>
          <w:color w:val="auto"/>
        </w:rPr>
        <w:t>ERISA</w:t>
      </w:r>
      <w:r>
        <w:rPr>
          <w:rFonts w:ascii="Times New Roman" w:cs="Times New Roman" w:eastAsia="Times New Roman" w:hAnsi="Times New Roman"/>
          <w:sz w:val="17"/>
          <w:szCs w:val="17"/>
          <w:color w:val="auto"/>
        </w:rPr>
        <w:t>”)) for which the Company, its subsidiaries or its or their “ERISA Affiliates” (as defined below) would have any liability (each, a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are in compliance in all respects with ERISA and each Plan has been established and maintained in compliance with its terms and the requirements of any applicable statutes, orders, rules and regulations, including but not limited to, ERISA and the Internal Revenue Code of 1986, as amended, and the regulations and published interpretations thereunder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(B) no “reportable event” (as defined under ERISA) has occurred or is reasonably expected to occur with respect to any Plan, (C) no Plan, if such Plan were terminated, would have any “amount of unfunded benefit liabilities” (as defined under ERISA), as the fair market value of the assets under each Plan (excluding for these purposes accrued but unpaid contributions) exceeds the present value of all benefits accrued under such Plan (determined based on those assumptions used to fund such Plan), (D) neither the Company, its subsidiaries nor any of its or their ERISA Affiliates has incurred or reasonably expects to incur any obligation or liability under (i) Title IV of ERISA with respect to termination of, or withdrawal from, any Plan, (ii) Sections 412 and 430, 4971, 4975 or 4980B of the Code or (iii) Sections 302 and 303, 406, 4063 and 4064 of ERISA, (E) each Plan that is intended to be qualified under Section 401(a) of the Code is so qualified and nothing has occurred, whether by action or failure to act, which would cause the loss of such qualification, (F) there is no pending audit or investigation by the Internal Revenue Service, the U.S. Department of Labor, the Pension Benefit Guaranty Corporation or any other governmental or foreign regulatory entity or agency with respect to any Plan that would reasonably be expected to result in liability to the Company or any of its subsidiaries, and (G) neither the Company nor any of its subsidiaries have any “accumulated post-retirement benefit obligations” (within the meaning of Statement of Financial Accounting Standards 106). “</w:t>
      </w:r>
      <w:r>
        <w:rPr>
          <w:rFonts w:ascii="Times New Roman" w:cs="Times New Roman" w:eastAsia="Times New Roman" w:hAnsi="Times New Roman"/>
          <w:sz w:val="17"/>
          <w:szCs w:val="17"/>
          <w:b w:val="1"/>
          <w:bCs w:val="1"/>
          <w:color w:val="auto"/>
        </w:rPr>
        <w:t>ERISA Affiliate</w:t>
      </w:r>
      <w:r>
        <w:rPr>
          <w:rFonts w:ascii="Times New Roman" w:cs="Times New Roman" w:eastAsia="Times New Roman" w:hAnsi="Times New Roman"/>
          <w:sz w:val="17"/>
          <w:szCs w:val="17"/>
          <w:color w:val="auto"/>
        </w:rPr>
        <w:t>” means, with respect to the Company, any member of any group of organizations described in Sections 414(b), (c), (m) or (o) of the Code of which the Company or such subsidiary is a member.</w:t>
      </w:r>
    </w:p>
    <w:p>
      <w:pPr>
        <w:spacing w:after="0" w:line="294" w:lineRule="exact"/>
        <w:rPr>
          <w:sz w:val="20"/>
          <w:szCs w:val="20"/>
          <w:color w:val="auto"/>
        </w:rPr>
      </w:pPr>
    </w:p>
    <w:p>
      <w:pPr>
        <w:ind w:left="4" w:right="160" w:firstLine="423"/>
        <w:spacing w:after="0" w:line="258"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 (i) Except as disclosed in the Registration Statement, the General Disclosure Package and the Prospectus, neither the Company nor its subsidiaries has received any written notice of adverse finding, warning letter, untitled letter or other correspondence or notice from the FDA, the EMA or other relevant regulatory authorities, or any other court or arbitrator or federal, state, local or foreign governmental or regulatory authority, alleging or asserting material noncompliance with the Federal Food, Drug and Cosmetic Act (21 U.S.C. § 301 et seq.), as amended, and the regulations promulgated thereunder (the “</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4"/>
          </w:cols>
          <w:pgMar w:left="876" w:top="266" w:right="479" w:bottom="1440" w:gutter="0" w:footer="0" w:header="0"/>
        </w:sectPr>
      </w:pPr>
    </w:p>
    <w:bookmarkStart w:id="20" w:name="page21"/>
    <w:bookmarkEnd w:id="20"/>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Anti-Kickback Statute (42 U.S.C. Section 1320a-7b(b)), the Civil Monetary Penalties Law (42 U.S.C. § 1320a-7a), the Physician Payments Sunshine Act (42 U.S.C. § 1320a-7h), the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w:t>
      </w:r>
      <w:r>
        <w:rPr>
          <w:rFonts w:ascii="Times New Roman" w:cs="Times New Roman" w:eastAsia="Times New Roman" w:hAnsi="Times New Roman"/>
          <w:sz w:val="17"/>
          <w:szCs w:val="17"/>
          <w:b w:val="1"/>
          <w:bCs w:val="1"/>
          <w:color w:val="auto"/>
        </w:rPr>
        <w:t>HIPAA</w:t>
      </w:r>
      <w:r>
        <w:rPr>
          <w:rFonts w:ascii="Times New Roman" w:cs="Times New Roman" w:eastAsia="Times New Roman" w:hAnsi="Times New Roman"/>
          <w:sz w:val="17"/>
          <w:szCs w:val="17"/>
          <w:color w:val="auto"/>
        </w:rPr>
        <w:t>”) (42 U.S.C. Section 1320d et seq.), the exclusion laws (42 U.S.C. § 1320a-7), HIPAA, as amended by the Health Information Technology for Economic and Clinical Health Act (42 U.S.C. Section 17921 et seq.), Medicare (Title XVIII of the Social Security Act), Medicaid (Title XIX of the Social Security Act), and any and all other similar state, federal or foreign law or regulations promulgated pursuant to such laws, including all laws and regulations applicable to ownership, testing, development, manufacture, packaging, processing, use, distribution, storage, import, export or disposal of the Company’s product candidates, each as amended from time to time (collectively, “</w:t>
      </w:r>
      <w:r>
        <w:rPr>
          <w:rFonts w:ascii="Times New Roman" w:cs="Times New Roman" w:eastAsia="Times New Roman" w:hAnsi="Times New Roman"/>
          <w:sz w:val="17"/>
          <w:szCs w:val="17"/>
          <w:b w:val="1"/>
          <w:bCs w:val="1"/>
          <w:color w:val="auto"/>
        </w:rPr>
        <w:t>Health Care Laws</w:t>
      </w:r>
      <w:r>
        <w:rPr>
          <w:rFonts w:ascii="Times New Roman" w:cs="Times New Roman" w:eastAsia="Times New Roman" w:hAnsi="Times New Roman"/>
          <w:sz w:val="17"/>
          <w:szCs w:val="17"/>
          <w:color w:val="auto"/>
        </w:rPr>
        <w:t>”); (ii) the Company and its subsidiaries are and have been in material compliance with applicable Health Care Laws; (iii) neither the Company nor its subsidiaries received written notice of any claim, action, suit, proceeding, hearing, enforcement, investigation, arbitration or other action from any U.S. or non-U.S. federal, national, state, local or other governmental or regulatory authority, governmental or regulatory agency or body, court, arbitrator or self-regulatory organization (each, a “</w:t>
      </w:r>
      <w:r>
        <w:rPr>
          <w:rFonts w:ascii="Times New Roman" w:cs="Times New Roman" w:eastAsia="Times New Roman" w:hAnsi="Times New Roman"/>
          <w:sz w:val="17"/>
          <w:szCs w:val="17"/>
          <w:b w:val="1"/>
          <w:bCs w:val="1"/>
          <w:color w:val="auto"/>
        </w:rPr>
        <w:t>Governmental Authority</w:t>
      </w:r>
      <w:r>
        <w:rPr>
          <w:rFonts w:ascii="Times New Roman" w:cs="Times New Roman" w:eastAsia="Times New Roman" w:hAnsi="Times New Roman"/>
          <w:sz w:val="17"/>
          <w:szCs w:val="17"/>
          <w:color w:val="auto"/>
        </w:rPr>
        <w:t>”) or third party alleging that any product operation or activity is in violation of any Health Care Laws and, to the Company’s knowledge, no such claim, action, suit, proceeding, hearing, enforcement, investigation, arbitration or other action is threatened;</w:t>
      </w:r>
    </w:p>
    <w:p>
      <w:pPr>
        <w:spacing w:after="0" w:line="9" w:lineRule="exact"/>
        <w:rPr>
          <w:sz w:val="20"/>
          <w:szCs w:val="20"/>
          <w:color w:val="auto"/>
        </w:rPr>
      </w:pPr>
    </w:p>
    <w:p>
      <w:pPr>
        <w:ind w:left="4" w:right="20" w:hanging="4"/>
        <w:spacing w:after="0" w:line="251" w:lineRule="auto"/>
        <w:tabs>
          <w:tab w:leader="none" w:pos="3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filed, obtained, maintained or submitted all reports, documents, forms, notices, applications, records, claims, submissions and supplements or amendments as required by applicable Health Care Laws, and all such reports, documents, forms, notices, applications, records, claims, submissions and supplements or amendments were complete, correct and not misleading on the date filed (or were corrected or supplemented by a subsequent submission); (v) neither the Company nor its subsidiaries or any of their respective directors, officers, employees or agents is or has been debarred, suspended or excluded, or has been convicted of any crime or engaged in any conduct that would result in a debarment, suspension or exclusion from any federal or state government health care program or, to the knowledge of the Company, is subject to a governmental inquiry, investigation, proceeding, or other similar action that would reasonably be expected to result in debarment, suspension, or exclusion; and (vi) the Company is not a party to and the Company does not have any ongoing reporting obligations pursuant to, any corporate integrity agreements, deferred prosecution agreements, monitoring agreements, consent decrees, settlement orders, plans of correction or similar agreements with or imposed by an Governmental Authority.</w:t>
      </w:r>
    </w:p>
    <w:p>
      <w:pPr>
        <w:spacing w:after="0" w:line="85" w:lineRule="exact"/>
        <w:rPr>
          <w:sz w:val="20"/>
          <w:szCs w:val="20"/>
          <w:color w:val="auto"/>
        </w:rPr>
      </w:pPr>
    </w:p>
    <w:p>
      <w:pPr>
        <w:ind w:left="4" w:firstLine="423"/>
        <w:spacing w:after="0" w:line="253"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u w:val="single" w:color="auto"/>
          <w:color w:val="auto"/>
        </w:rPr>
        <w:t>Preclinical Studies and Clinical Trials</w:t>
      </w:r>
      <w:r>
        <w:rPr>
          <w:rFonts w:ascii="Times New Roman" w:cs="Times New Roman" w:eastAsia="Times New Roman" w:hAnsi="Times New Roman"/>
          <w:sz w:val="18"/>
          <w:szCs w:val="18"/>
          <w:color w:val="auto"/>
        </w:rPr>
        <w:t>. The preclinical studies and clinical trials conducted by, on behalf of or sponsored by the Company or its subsidiaries, or in which the Company or its subsidiaries has participated, that are described in, or the results of which are referred to in, the Registration Statement, the General Disclosure Package and the Prospectus, as applicable, were, and if still pending are, being conducted in accordance with the experimental protocols established for each study or trial, as well as any conditions of approval and policies imposed by any institutional review board, ethics review board or committee responsible for the oversight of such preclinical studies and clinical trials, and all applicable local, state and federal laws, rules and regulations of the FDA, the EMA and comparable drug regulatory agencies outside of the United States to which they are subject (such institutional review boards, ethics review boards, committees, the FDA, the EMA or any comparable regulatory agencies, collectively, the “</w:t>
      </w:r>
      <w:r>
        <w:rPr>
          <w:rFonts w:ascii="Times New Roman" w:cs="Times New Roman" w:eastAsia="Times New Roman" w:hAnsi="Times New Roman"/>
          <w:sz w:val="18"/>
          <w:szCs w:val="18"/>
          <w:b w:val="1"/>
          <w:bCs w:val="1"/>
          <w:color w:val="auto"/>
        </w:rPr>
        <w:t>Regulatory Authorities</w:t>
      </w:r>
      <w:r>
        <w:rPr>
          <w:rFonts w:ascii="Times New Roman" w:cs="Times New Roman" w:eastAsia="Times New Roman" w:hAnsi="Times New Roman"/>
          <w:sz w:val="18"/>
          <w:szCs w:val="18"/>
          <w:color w:val="auto"/>
        </w:rPr>
        <w:t>”) and all other applicable Health Care Laws, except as would not, singly or in the aggregate, reasonably be expected to have a Material Adverse Effect; the descriptions in the Registration Statement, the General Disclosure Package or the Prospectus of the results of such</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4"/>
          </w:cols>
          <w:pgMar w:left="876" w:top="270" w:right="459" w:bottom="1440" w:gutter="0" w:footer="0" w:header="0"/>
        </w:sectPr>
      </w:pPr>
    </w:p>
    <w:bookmarkStart w:id="21" w:name="page22"/>
    <w:bookmarkEnd w:id="21"/>
    <w:p>
      <w:pPr>
        <w:ind w:left="440"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studies and trials are accurate and not misleading in all material respects with respect to the portions of such studies and trials being described and fairly present the data derived from such studies or trials in all material respects; the Company has no knowledge of any other preclinical studies or clinical trials not described in the Registration Statement, the General Disclosure Package and the Prospectus, the results of which would reasonably call into question in any material respect the results of the preclinical studies and clinical trials described in the Registration Statement, the General Disclosure Package and the Prospectus when viewed in the context in which such results are described and the current state of development; neither the Company nor its subsidiaries have received any written notice, correspondence or other communications from the Regulatory Authorities requiring or threatening (i) the termination or suspension or clinical hold of any preclinical studies or clinical trials that are described in, or the results of which are referred to in, the Registration Statement, the General Disclosure Package and the Prospectus, or (ii) the material modification of any preclinical studies or clinical trials that would cause them to materially differ from their descriptions in the Registration Statement, the General Disclosure Package and the Prospectus, other than ordinary course communications with respect to modifications in connection with the design and implementation of such preclinical studies or clinical trials, and, to the Company’s knowledge, there are no reasonable grounds for the same.</w:t>
      </w:r>
    </w:p>
    <w:p>
      <w:pPr>
        <w:spacing w:after="0" w:line="82"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Health Care Products Manufacturing</w:t>
      </w:r>
      <w:r>
        <w:rPr>
          <w:rFonts w:ascii="Times New Roman" w:cs="Times New Roman" w:eastAsia="Times New Roman" w:hAnsi="Times New Roman"/>
          <w:sz w:val="18"/>
          <w:szCs w:val="18"/>
          <w:color w:val="auto"/>
        </w:rPr>
        <w:t>. The manufacture of the Company’s and its subsidiaries’ product candidates by or on behalf of the Company and its subsidiaries is being conducted in compliance in all material respects with all applicable Health Care Laws, including, without limitation, the FDA’s current good manufacturing practice regulations at 21 CFR Part 820, and, to the extent applicable, the respective counterparts thereof promulgated by governmental authorities in countries outside the United States. Neither the Company nor any of its subsidiaries has had any manufacturing site (whether Company-owned, subsidiary-owned or that of a third party manufacturer for the Company’s or its subsidiaries’ product candidates) subject to a Governmental Authority (including FDA or EMA) shutdown or import or export prohibition, nor received any FDA, EMA or other Governmental Authority “warning letters,” or “untitled letters” alleging or asserting material noncompliance with any applicable Health Care Laws, requests to make material changes to the Company’s or its subsidiaries’ product candidates, processes or operations, or similar correspondence or notice from the FDA, EMA or other Governmental Authority alleging or asserting material noncompliance with any applicable Health Care Laws, other than those that have been satisfactorily addressed and/or closed with the FDA, EMA or other Governmental Authority. To the knowledge of the Company, neither the FDA, EMA or any other Governmental Authority is considering such action.</w:t>
      </w:r>
    </w:p>
    <w:p>
      <w:pPr>
        <w:spacing w:after="0" w:line="82" w:lineRule="exact"/>
        <w:rPr>
          <w:sz w:val="20"/>
          <w:szCs w:val="20"/>
          <w:color w:val="auto"/>
        </w:rPr>
      </w:pPr>
    </w:p>
    <w:p>
      <w:pPr>
        <w:ind w:left="440" w:firstLine="423"/>
        <w:spacing w:after="0" w:line="256" w:lineRule="auto"/>
        <w:rPr>
          <w:sz w:val="20"/>
          <w:szCs w:val="20"/>
          <w:color w:val="auto"/>
        </w:rPr>
      </w:pPr>
      <w:r>
        <w:rPr>
          <w:rFonts w:ascii="Times New Roman" w:cs="Times New Roman" w:eastAsia="Times New Roman" w:hAnsi="Times New Roman"/>
          <w:sz w:val="18"/>
          <w:szCs w:val="18"/>
          <w:color w:val="auto"/>
        </w:rPr>
        <w:t xml:space="preserve">(xliv) </w:t>
      </w:r>
      <w:r>
        <w:rPr>
          <w:rFonts w:ascii="Times New Roman" w:cs="Times New Roman" w:eastAsia="Times New Roman" w:hAnsi="Times New Roman"/>
          <w:sz w:val="18"/>
          <w:szCs w:val="18"/>
          <w:u w:val="single" w:color="auto"/>
          <w:color w:val="auto"/>
        </w:rPr>
        <w:t>No Safety Notices</w:t>
      </w:r>
      <w:r>
        <w:rPr>
          <w:rFonts w:ascii="Times New Roman" w:cs="Times New Roman" w:eastAsia="Times New Roman" w:hAnsi="Times New Roman"/>
          <w:sz w:val="18"/>
          <w:szCs w:val="18"/>
          <w:color w:val="auto"/>
        </w:rPr>
        <w:t>. (i) There have been no material recalls, field notifications, field corrections, market withdrawals or replacements, warnings, “dear doctor” letters, investigator notices, safety alerts or other notice of action relating to an alleged lack of safety, efficacy, or regulatory compliance of the Company’s or its subsidiaries’ product candidates (“</w:t>
      </w:r>
      <w:r>
        <w:rPr>
          <w:rFonts w:ascii="Times New Roman" w:cs="Times New Roman" w:eastAsia="Times New Roman" w:hAnsi="Times New Roman"/>
          <w:sz w:val="18"/>
          <w:szCs w:val="18"/>
          <w:b w:val="1"/>
          <w:bCs w:val="1"/>
          <w:color w:val="auto"/>
        </w:rPr>
        <w:t>Safety Notices</w:t>
      </w:r>
      <w:r>
        <w:rPr>
          <w:rFonts w:ascii="Times New Roman" w:cs="Times New Roman" w:eastAsia="Times New Roman" w:hAnsi="Times New Roman"/>
          <w:sz w:val="18"/>
          <w:szCs w:val="18"/>
          <w:color w:val="auto"/>
        </w:rPr>
        <w:t>”) and (ii) there are no facts that would be reasonably likely to result in (x) a material Safety Notice with respect to the Company’s or its subsidiaries’ product candidates, or (y) a material change in labeling of any of the Company’s or its subsidiaries’ product candidates or (z) a termination or suspension of marketing or testing of any of the Company’s or its subsidiaries’ product candidates.</w:t>
      </w:r>
    </w:p>
    <w:p>
      <w:pPr>
        <w:spacing w:after="0" w:line="185" w:lineRule="exact"/>
        <w:rPr>
          <w:sz w:val="20"/>
          <w:szCs w:val="20"/>
          <w:color w:val="auto"/>
        </w:rPr>
      </w:pPr>
    </w:p>
    <w:p>
      <w:pPr>
        <w:jc w:val="both"/>
        <w:ind w:right="340" w:firstLine="436"/>
        <w:spacing w:after="0" w:line="315" w:lineRule="auto"/>
        <w:tabs>
          <w:tab w:leader="none" w:pos="69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Officer’s Certificates</w:t>
      </w:r>
      <w:r>
        <w:rPr>
          <w:rFonts w:ascii="Times New Roman" w:cs="Times New Roman" w:eastAsia="Times New Roman" w:hAnsi="Times New Roman"/>
          <w:sz w:val="17"/>
          <w:szCs w:val="17"/>
          <w:color w:val="auto"/>
        </w:rPr>
        <w:t>. Any certificate signed by any officer of the Company or any of its subsidiaries delivered to the Representatives or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counsel for the Underwriters shall be deemed a representation and warranty by the Company to each Underwriter as to the matters covered thereby.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Sale and Delivery to Underwriters; Closing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60" w:firstLine="436"/>
        <w:spacing w:after="0" w:line="256"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Securities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agrees to sell to each Underwriter, severally and not jointly, and each Underwriter, severally and not jointly, agrees to purchase from the Company, (i) at the price per share set forth in Schedule A (the “</w:t>
      </w:r>
      <w:r>
        <w:rPr>
          <w:rFonts w:ascii="Times New Roman" w:cs="Times New Roman" w:eastAsia="Times New Roman" w:hAnsi="Times New Roman"/>
          <w:sz w:val="18"/>
          <w:szCs w:val="18"/>
          <w:b w:val="1"/>
          <w:bCs w:val="1"/>
          <w:color w:val="auto"/>
        </w:rPr>
        <w:t>Share Purchase Price</w:t>
      </w:r>
      <w:r>
        <w:rPr>
          <w:rFonts w:ascii="Times New Roman" w:cs="Times New Roman" w:eastAsia="Times New Roman" w:hAnsi="Times New Roman"/>
          <w:sz w:val="18"/>
          <w:szCs w:val="18"/>
          <w:color w:val="auto"/>
        </w:rPr>
        <w:t xml:space="preserve">”), that number of Initial Shares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and (ii) at the price per Pre-Funded Warrant set forth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A, that number of Pre-Funded Warrants set forth in Schedule A opposite the name of such Underwriter, plus any additional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spacing w:after="0" w:line="182"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Securities</w:t>
      </w:r>
      <w:r>
        <w:rPr>
          <w:rFonts w:ascii="Times New Roman" w:cs="Times New Roman" w:eastAsia="Times New Roman" w:hAnsi="Times New Roman"/>
          <w:sz w:val="18"/>
          <w:szCs w:val="18"/>
          <w:color w:val="auto"/>
        </w:rPr>
        <w:t>. In addition, on the basis of the representations and warranties herein contained and subject to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set forth, the Company hereby grants an option to the Underwriters, severally and not jointly, to purchase up to an additional 468,750 shares of Common Stock, at the price per share set forth in Schedule 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and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w:t>
      </w:r>
      <w:r>
        <w:rPr>
          <w:rFonts w:ascii="Times New Roman" w:cs="Times New Roman" w:eastAsia="Times New Roman" w:hAnsi="Times New Roman"/>
          <w:sz w:val="18"/>
          <w:szCs w:val="18"/>
          <w:b w:val="1"/>
          <w:bCs w:val="1"/>
          <w:color w:val="auto"/>
        </w:rPr>
        <w:t>Date of Delivery</w:t>
      </w:r>
      <w:r>
        <w:rPr>
          <w:rFonts w:ascii="Times New Roman" w:cs="Times New Roman" w:eastAsia="Times New Roman" w:hAnsi="Times New Roman"/>
          <w:sz w:val="18"/>
          <w:szCs w:val="18"/>
          <w:color w:val="auto"/>
        </w:rPr>
        <w:t>”) shall be determined by the Representatives, but shall not be later than seven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sole discretion shall make to eliminate any sales or purchases of fractional shares.</w:t>
      </w:r>
    </w:p>
    <w:p>
      <w:pPr>
        <w:spacing w:after="0" w:line="189" w:lineRule="exact"/>
        <w:rPr>
          <w:rFonts w:ascii="Times New Roman" w:cs="Times New Roman" w:eastAsia="Times New Roman" w:hAnsi="Times New Roman"/>
          <w:sz w:val="18"/>
          <w:szCs w:val="18"/>
          <w:color w:val="auto"/>
        </w:rPr>
      </w:pPr>
    </w:p>
    <w:p>
      <w:pPr>
        <w:ind w:firstLine="436"/>
        <w:spacing w:after="0" w:line="257"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of the purchase price for, and delivery of certificates or security entitlements for, the Initial Securities shall be made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offices of Cooley LLP, 3 Embarcadero Center, 20th Floor, San Francisco, California 94111, or at such other place as shall be agreed upon by the Representatives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the “</w:t>
      </w:r>
      <w:r>
        <w:rPr>
          <w:rFonts w:ascii="Times New Roman" w:cs="Times New Roman" w:eastAsia="Times New Roman" w:hAnsi="Times New Roman"/>
          <w:sz w:val="18"/>
          <w:szCs w:val="18"/>
          <w:b w:val="1"/>
          <w:bCs w:val="1"/>
          <w:color w:val="auto"/>
        </w:rPr>
        <w:t>Closing Time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by the Representatives and the Company, on each Date of Delivery as specified in the notice from the Representatives to the Company.</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Payment shall be made to the Company by wire transfer of immediately available funds to a bank account designated by the Company against delivery to the Representatives for the respective accounts of the Underwriters of certificates or security entitlements for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Each of the Representatives, individually and not as a representative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3" w:name="page24"/>
    <w:bookmarkEnd w:id="2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Company and the Representatives shall instruct purchasers of the Pre-Funded Warrants in the public offering to make payment for the Pre-Funded Warrants at the Closing Time to Goldman Sachs &amp; Co. LLC by wire transfer in immediately available funds to the account specified by Goldman Sachs &amp; Co. LLC at a purchase price of $31.9999 per Pre-Funded Warrant, and the Company shall deliver, or cause to be delivered, the Pre-Funded Warrants to such purchasers at the Closing Time, in definitive form and registered in such names and in such denominations as the Representatives shall request in writing before the Closing Time, against such payment, in lieu of the Company’s obligation to deliver such Pre-Funded Warrants to the Underwriters; provided, that, upon receipt by Goldman Sachs &amp; Co. LLC of payment for the Pre-Funded Warrants, Goldman Sachs &amp; Co. LLC shall promptly (but in no event later than the Closing Time), pay $30.0799 per such Pre-Funded Warrant to the Company by wire transfer in immediately available funds to the account specified by the Company. In the event that the purchasers of the Pre-Funded Warrants fail to make payment to Goldman Sachs &amp; Co. LLC for all or part of the Pre-Funded Warrants at the Closing Time, the Representatives may elect, by written notice to the Company, for the accounts of the several Underwriters, to purchase additional Shares in lieu of all or a portion of such Pre-Funded Warrants, to be delivered to the Underwriters under this Agreement at the price per Share listed in Schedule A at the Closing Time or any Date of Delivery, as applicable, in the manner contemplated herein in connection with the issuance and purchase of Shares. The Pre-Funded Warrants will be made available for inspection by the Representatives on the business day prior to the Closing Time.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5" w:lineRule="exact"/>
        <w:rPr>
          <w:sz w:val="20"/>
          <w:szCs w:val="20"/>
          <w:color w:val="auto"/>
        </w:rPr>
      </w:pPr>
    </w:p>
    <w:p>
      <w:pPr>
        <w:ind w:right="120" w:firstLine="436"/>
        <w:spacing w:after="0" w:line="252"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Regulations and Commission Requests</w:t>
      </w:r>
      <w:r>
        <w:rPr>
          <w:rFonts w:ascii="Times New Roman" w:cs="Times New Roman" w:eastAsia="Times New Roman" w:hAnsi="Times New Roman"/>
          <w:sz w:val="18"/>
          <w:szCs w:val="18"/>
          <w:color w:val="auto"/>
        </w:rPr>
        <w:t>. The Company, subject to Section 3(b), will comply with the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Rule 430B, and will promptly notify the Representatives, and confirm the notice in writing (which may be by email),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as soon as practicable. The Company shall pay the required Commission filing fees relating to the Securities within the time required by Rule 456(b)(1)(i) under the 1933 Act Regulations without regard to the proviso therein and otherwise in accordance with Rules 456(b) and 457(r) under the 1933 Act Regulations (including, if applicable, by updating the “Calculation of Registration Fee” table in accordance with Rule 456(b)(1)(ii) either in a post-effective amendment to the Registration Statement or on the cover page of or as exhibit to a prospectus filed pursuant to Rule 424(b)).</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4" w:name="page25"/>
    <w:bookmarkEnd w:id="24"/>
    <w:p>
      <w:pPr>
        <w:ind w:left="-20" w:right="20" w:firstLine="436"/>
        <w:spacing w:after="0" w:line="252" w:lineRule="auto"/>
        <w:tabs>
          <w:tab w:leader="none" w:pos="6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Continued Compliance with Securities Laws</w:t>
      </w:r>
      <w:r>
        <w:rPr>
          <w:rFonts w:ascii="Times New Roman" w:cs="Times New Roman" w:eastAsia="Times New Roman" w:hAnsi="Times New Roman"/>
          <w:sz w:val="18"/>
          <w:szCs w:val="18"/>
          <w:color w:val="auto"/>
        </w:rPr>
        <w:t>. The Company will comply with the 1933 Act, the 1933 Act Regulations, the 1934 Act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Times New Roman" w:cs="Times New Roman" w:eastAsia="Times New Roman" w:hAnsi="Times New Roman"/>
          <w:sz w:val="18"/>
          <w:szCs w:val="18"/>
          <w:b w:val="1"/>
          <w:bCs w:val="1"/>
          <w:color w:val="auto"/>
        </w:rPr>
        <w:t>Rule 172</w:t>
      </w:r>
      <w:r>
        <w:rPr>
          <w:rFonts w:ascii="Times New Roman" w:cs="Times New Roman" w:eastAsia="Times New Roman" w:hAnsi="Times New Roman"/>
          <w:sz w:val="18"/>
          <w:szCs w:val="18"/>
          <w:color w:val="auto"/>
        </w:rPr>
        <w:t>”),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object. The Company will furnish to the Underwriters such number of copies of such amendment or supplement as the Underwriters may reasonably request. The Company has given the Representatives notice of any filings made pursuant to the 1934 Act or 1934 Act Regulations within 24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w:t>
      </w:r>
    </w:p>
    <w:p>
      <w:pPr>
        <w:spacing w:after="0" w:line="187"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Registration Statements</w:t>
      </w:r>
      <w:r>
        <w:rPr>
          <w:rFonts w:ascii="Times New Roman" w:cs="Times New Roman" w:eastAsia="Times New Roman" w:hAnsi="Times New Roman"/>
          <w:sz w:val="18"/>
          <w:szCs w:val="18"/>
          <w:color w:val="auto"/>
        </w:rPr>
        <w:t>. The Company has furnished or will deliver to the Representatives and counsel for the Underwriters,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requested, without charge, signed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Representatives, if requested,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left="-20" w:firstLine="436"/>
        <w:spacing w:after="0" w:line="257" w:lineRule="auto"/>
        <w:tabs>
          <w:tab w:leader="none" w:pos="6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has delivered to each Underwriter, without charge, as many copies of each preliminary prospectus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60" w:top="268" w:right="459" w:bottom="1440" w:gutter="0" w:footer="0" w:header="0"/>
        </w:sectPr>
      </w:pPr>
    </w:p>
    <w:bookmarkStart w:id="25" w:name="page26"/>
    <w:bookmarkEnd w:id="25"/>
    <w:p>
      <w:pPr>
        <w:ind w:left="4" w:firstLine="436"/>
        <w:spacing w:after="0" w:line="258" w:lineRule="auto"/>
        <w:tabs>
          <w:tab w:leader="none" w:pos="68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Blue Sky Qualifications</w:t>
      </w:r>
      <w:r>
        <w:rPr>
          <w:rFonts w:ascii="Times New Roman" w:cs="Times New Roman" w:eastAsia="Times New Roman" w:hAnsi="Times New Roman"/>
          <w:sz w:val="18"/>
          <w:szCs w:val="18"/>
          <w:color w:val="auto"/>
        </w:rPr>
        <w:t>. The Company will use its reasonable best efforts, in cooperation with the Underwriters, to qualify the Securities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and sale under the applicable securities laws of such states and other jurisdictions (domestic or foreign)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3" w:lineRule="exact"/>
        <w:rPr>
          <w:rFonts w:ascii="Times New Roman" w:cs="Times New Roman" w:eastAsia="Times New Roman" w:hAnsi="Times New Roman"/>
          <w:sz w:val="18"/>
          <w:szCs w:val="18"/>
          <w:color w:val="auto"/>
        </w:rPr>
      </w:pPr>
    </w:p>
    <w:p>
      <w:pPr>
        <w:ind w:left="4" w:firstLine="436"/>
        <w:spacing w:after="0" w:line="267" w:lineRule="auto"/>
        <w:tabs>
          <w:tab w:leader="none" w:pos="66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timely file such reports pursuant to the 1934 Act as are necessary in order to make generally available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securityholders as soon as practicable an earnings statement for the purposes of, and to provide to the Underwriters the benefits contemplated by, the last paragraph of Section 11(a) of the 1933 Act.</w:t>
      </w:r>
    </w:p>
    <w:p>
      <w:pPr>
        <w:spacing w:after="0" w:line="173" w:lineRule="exact"/>
        <w:rPr>
          <w:rFonts w:ascii="Times New Roman" w:cs="Times New Roman" w:eastAsia="Times New Roman" w:hAnsi="Times New Roman"/>
          <w:sz w:val="18"/>
          <w:szCs w:val="18"/>
          <w:color w:val="auto"/>
        </w:rPr>
      </w:pPr>
    </w:p>
    <w:p>
      <w:pPr>
        <w:ind w:left="4" w:right="800" w:firstLine="436"/>
        <w:spacing w:after="0" w:line="284" w:lineRule="auto"/>
        <w:tabs>
          <w:tab w:leader="none" w:pos="6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it from the sale of the Securities in the manner specified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General Disclosure Package and the Prospectus under “Use of Proceeds.”</w:t>
      </w:r>
    </w:p>
    <w:p>
      <w:pPr>
        <w:spacing w:after="0" w:line="158" w:lineRule="exact"/>
        <w:rPr>
          <w:rFonts w:ascii="Times New Roman" w:cs="Times New Roman" w:eastAsia="Times New Roman" w:hAnsi="Times New Roman"/>
          <w:sz w:val="18"/>
          <w:szCs w:val="18"/>
          <w:color w:val="auto"/>
        </w:rPr>
      </w:pPr>
    </w:p>
    <w:p>
      <w:pPr>
        <w:ind w:left="4" w:right="60" w:firstLine="436"/>
        <w:spacing w:after="0" w:line="284" w:lineRule="auto"/>
        <w:tabs>
          <w:tab w:leader="none" w:pos="6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 will use its reasonable best efforts to effect and maintain the listing of the Common Stock (including the Shares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Shares) on the Nasdaq Global Select Market or Nasdaq Global Market.</w:t>
      </w:r>
    </w:p>
    <w:p>
      <w:pPr>
        <w:spacing w:after="0" w:line="156" w:lineRule="exact"/>
        <w:rPr>
          <w:rFonts w:ascii="Times New Roman" w:cs="Times New Roman" w:eastAsia="Times New Roman" w:hAnsi="Times New Roman"/>
          <w:sz w:val="18"/>
          <w:szCs w:val="18"/>
          <w:color w:val="auto"/>
        </w:rPr>
      </w:pPr>
    </w:p>
    <w:p>
      <w:pPr>
        <w:ind w:left="4" w:right="140" w:firstLine="436"/>
        <w:spacing w:after="0" w:line="267" w:lineRule="auto"/>
        <w:tabs>
          <w:tab w:leader="none" w:pos="659"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Restriction on Sale of Securities</w:t>
      </w:r>
      <w:r>
        <w:rPr>
          <w:rFonts w:ascii="Times New Roman" w:cs="Times New Roman" w:eastAsia="Times New Roman" w:hAnsi="Times New Roman"/>
          <w:sz w:val="17"/>
          <w:szCs w:val="17"/>
          <w:color w:val="auto"/>
        </w:rPr>
        <w:t>. During a period of 90 days from the date of the Prospectus (the “</w:t>
      </w:r>
      <w:r>
        <w:rPr>
          <w:rFonts w:ascii="Times New Roman" w:cs="Times New Roman" w:eastAsia="Times New Roman" w:hAnsi="Times New Roman"/>
          <w:sz w:val="17"/>
          <w:szCs w:val="17"/>
          <w:b w:val="1"/>
          <w:bCs w:val="1"/>
          <w:color w:val="auto"/>
        </w:rPr>
        <w:t>Lock-Up Period</w:t>
      </w:r>
      <w:r>
        <w:rPr>
          <w:rFonts w:ascii="Times New Roman" w:cs="Times New Roman" w:eastAsia="Times New Roman" w:hAnsi="Times New Roman"/>
          <w:sz w:val="17"/>
          <w:szCs w:val="17"/>
          <w:color w:val="auto"/>
        </w:rPr>
        <w:t>”), the Company will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the prior written 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(ii) enter into any swap, hedging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or (iii) publicly disclose the intention to do any of the foregoing described in clauses (i) and (ii). The foregoing sentence shall not apply to (A) the Securities to be sold hereunder (including the issuance of the Pre-Funded Warrants and Warrant Shares), (B) any shares of Common Stock issued by the Company upon the exercise (including any net exercise or exercise by delivery of already-owned shares of Common Stock) of an option or warrant or the conversion of a security, in each case, outstanding on the date hereof and referred to in the Registration Statement, the General Disclosure Package and the Prospectus,</w:t>
      </w:r>
    </w:p>
    <w:p>
      <w:pPr>
        <w:spacing w:after="0" w:line="6" w:lineRule="exact"/>
        <w:rPr>
          <w:rFonts w:ascii="Times New Roman" w:cs="Times New Roman" w:eastAsia="Times New Roman" w:hAnsi="Times New Roman"/>
          <w:sz w:val="17"/>
          <w:szCs w:val="17"/>
          <w:color w:val="auto"/>
        </w:rPr>
      </w:pPr>
    </w:p>
    <w:p>
      <w:pPr>
        <w:ind w:left="4" w:right="20" w:hanging="4"/>
        <w:spacing w:after="0" w:line="252" w:lineRule="auto"/>
        <w:tabs>
          <w:tab w:leader="none" w:pos="2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reacquisition or withholding of all or a portion of shares of Common Stock subject to a stock award to satisfy a tax withholding obligation of the Company in connection with the vesting or exercise of such stock award or to satisfy the purchase price or exercise price of such stock award, (D) the grant of compensatory equity-based awards, and/or the issuance of shares of Common Stock with respect thereto, made pursuant to compensatory equity-based plans referred to in the Registration Statement, the General Disclosure Package and the Prospectus, (E) any shares of Common Stock issued pursuant to any non-employee director compensation plan or program or dividend reinvestment plan referred to in the Registration Statement, the General Disclosure Package and the Prospectus, (F) the filing of a registration statement on Form S-8 or any successor form thereto with respect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68" w:right="459" w:bottom="1440" w:gutter="0" w:footer="0" w:header="0"/>
        </w:sectPr>
      </w:pPr>
    </w:p>
    <w:bookmarkStart w:id="26" w:name="page27"/>
    <w:bookmarkEnd w:id="26"/>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registration of securities to be offered under any employee benefit or equity incentive plans of the Company referred to in the Registration Statement, the General Disclosure Package and the Prospectus, (G) the issuance of shares of Common Stock, restricted stock awards or securities convertible into or exercisable or exchangeable for shares of Common Stock in connection with (i) the acquisition of the securities, business, property or other assets of another Person or pursuant to any employee benefit plan assumed in connection with any such acquisition, (ii) joint ventures,</w:t>
      </w:r>
    </w:p>
    <w:p>
      <w:pPr>
        <w:spacing w:after="0" w:line="3" w:lineRule="exact"/>
        <w:rPr>
          <w:sz w:val="20"/>
          <w:szCs w:val="20"/>
          <w:color w:val="auto"/>
        </w:rPr>
      </w:pPr>
    </w:p>
    <w:p>
      <w:pPr>
        <w:ind w:left="324" w:hanging="324"/>
        <w:spacing w:after="0"/>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commercial relationships or (iv) other strategic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of Common Stock, restricted stock</w:t>
      </w:r>
    </w:p>
    <w:p>
      <w:pPr>
        <w:spacing w:after="0" w:line="9" w:lineRule="exact"/>
        <w:rPr>
          <w:rFonts w:ascii="Times New Roman" w:cs="Times New Roman" w:eastAsia="Times New Roman" w:hAnsi="Times New Roman"/>
          <w:sz w:val="18"/>
          <w:szCs w:val="18"/>
          <w:color w:val="auto"/>
        </w:rPr>
      </w:pPr>
    </w:p>
    <w:p>
      <w:pPr>
        <w:ind w:left="4" w:right="4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awards and shares of Common Stock issuable upon the conversion, exercise or exchange of securities (on an as converted or as exercised basis, as the case may be) issued pursuant to this clause (G) shall not exceed 5% of the total number of shares of Common Stock issued and outstanding immediately following the issuance and sale of the Securities at the Closing Time pursuant hereto,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each recipient of shares of Common Stock, restricted stock awards or securities convertible into or exercisable or exchangeable for shares of Common Stock pursuant to this clause agrees to be bound by the terms of the lock-up or shall execute a lock-up agreement substantially in the form of Exhibit A hereto, or (H) beginning on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from the date of the Prospectus, shares of Common Stock sold pursuant to that certain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by and between the Registrant and Jefferies LLC (provided that no public filings regarding such sales or announcement regarding such sales shall be required or be voluntarily made during the Lock-Up Period).</w:t>
      </w:r>
    </w:p>
    <w:p>
      <w:pPr>
        <w:spacing w:after="0" w:line="199"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jc w:val="both"/>
        <w:ind w:left="4" w:right="80" w:firstLine="436"/>
        <w:spacing w:after="0" w:line="267" w:lineRule="auto"/>
        <w:tabs>
          <w:tab w:leader="none" w:pos="6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relating to the Securities is (or, but for the exception afforded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172, would be) required to be delivered under the 1933 Act, will file all documents required to be filed with the Commission pursuant to the 1934 Act within the time periods required by the 1934 Act and 1934 Act Regulations.</w:t>
      </w:r>
    </w:p>
    <w:p>
      <w:pPr>
        <w:spacing w:after="0" w:line="173" w:lineRule="exact"/>
        <w:rPr>
          <w:rFonts w:ascii="Times New Roman" w:cs="Times New Roman" w:eastAsia="Times New Roman" w:hAnsi="Times New Roman"/>
          <w:sz w:val="18"/>
          <w:szCs w:val="18"/>
          <w:color w:val="auto"/>
        </w:rPr>
      </w:pPr>
    </w:p>
    <w:p>
      <w:pPr>
        <w:ind w:left="4" w:firstLine="436"/>
        <w:spacing w:after="0" w:line="252" w:lineRule="auto"/>
        <w:tabs>
          <w:tab w:leader="none" w:pos="65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The Company agrees that, unless it obtains the prior written consent of the Representatives, it will not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B-2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which has not been superseded or modified,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 provided, however, that the Company shall not be required to notify the Representatives of any statements or omissions in the Issuer Free Writing Prospectus prepared or authorized by the Company made in reliance upon and in conformity with the Underwriter Information .</w:t>
      </w:r>
    </w:p>
    <w:p>
      <w:pPr>
        <w:spacing w:after="0" w:line="197"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27" w:name="page28"/>
    <w:bookmarkEnd w:id="27"/>
    <w:p>
      <w:pPr>
        <w:ind w:left="4" w:firstLine="436"/>
        <w:spacing w:after="0" w:line="255" w:lineRule="auto"/>
        <w:tabs>
          <w:tab w:leader="none" w:pos="6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Testing-the-Waters Materials</w:t>
      </w:r>
      <w:r>
        <w:rPr>
          <w:rFonts w:ascii="Times New Roman" w:cs="Times New Roman" w:eastAsia="Times New Roman" w:hAnsi="Times New Roman"/>
          <w:sz w:val="18"/>
          <w:szCs w:val="18"/>
          <w:color w:val="auto"/>
        </w:rPr>
        <w:t>. If at any time following the distribution of any Written Testing-the-Waters Communication there occurred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if so determined by the Company and the Representatives in their reasonable judgment, will promptly amend or supplement, at its own expense, such Written Testing-the-Waters Communication to eliminate or correct such untrue statement or omission; provided, however, that this covenant shall not apply to any statements or omissions in a Written Testing-the-Waters Communication prepared or authorized by the Company made in reliance upon and in conformity with the Underwriter Information.</w:t>
      </w:r>
    </w:p>
    <w:p>
      <w:pPr>
        <w:spacing w:after="0" w:line="184" w:lineRule="exact"/>
        <w:rPr>
          <w:rFonts w:ascii="Times New Roman" w:cs="Times New Roman" w:eastAsia="Times New Roman" w:hAnsi="Times New Roman"/>
          <w:sz w:val="18"/>
          <w:szCs w:val="18"/>
          <w:color w:val="auto"/>
        </w:rPr>
      </w:pPr>
    </w:p>
    <w:p>
      <w:pPr>
        <w:ind w:left="4" w:right="100" w:firstLine="436"/>
        <w:spacing w:after="0" w:line="267" w:lineRule="auto"/>
        <w:tabs>
          <w:tab w:leader="none" w:pos="6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Emerging Growth Company Status</w:t>
      </w:r>
      <w:r>
        <w:rPr>
          <w:rFonts w:ascii="Times New Roman" w:cs="Times New Roman" w:eastAsia="Times New Roman" w:hAnsi="Times New Roman"/>
          <w:sz w:val="18"/>
          <w:szCs w:val="18"/>
          <w:color w:val="auto"/>
        </w:rPr>
        <w:t>. The Company will promptly notify the Representatives if the Company ceases to be an Emerging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at any time prior to the later of (i) completion of the distribution of the Securities within the meaning of the 1933 Act and (ii) completion of the 90-day restricted period referred to in Section 3(i).</w:t>
      </w:r>
    </w:p>
    <w:p>
      <w:pPr>
        <w:spacing w:after="0" w:line="1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right="60" w:firstLine="436"/>
        <w:spacing w:after="0" w:line="252" w:lineRule="auto"/>
        <w:tabs>
          <w:tab w:leader="none" w:pos="6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will pay or cause to be paid all expenses incident to the performance of its obligations under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reasonable costs associated with electronic delivery of any of the foregoing by the Underwriters to investors, (iii) the preparation, issuance and delivery of the certificates or security entitlements for the Securities to the Underwriters and the Pre-Funded Warrants to the purchasers, including any stock or other transfer taxes and any stamp or other duties payable upon the sale, issuance or delivery of the Securities, (iv) the fees and disbursements of the Company’s counsel, accountants and other advisors, (v) subject to the limitation set forth in clause (viii) below, 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(vi) the fees and expenses of any transfer agent or registrar for the Securities,</w:t>
      </w:r>
    </w:p>
    <w:p>
      <w:pPr>
        <w:spacing w:after="0" w:line="7" w:lineRule="exact"/>
        <w:rPr>
          <w:rFonts w:ascii="Times New Roman" w:cs="Times New Roman" w:eastAsia="Times New Roman" w:hAnsi="Times New Roman"/>
          <w:sz w:val="18"/>
          <w:szCs w:val="18"/>
          <w:color w:val="auto"/>
        </w:rPr>
      </w:pPr>
    </w:p>
    <w:p>
      <w:pPr>
        <w:ind w:left="4" w:right="80" w:hanging="4"/>
        <w:spacing w:after="0" w:line="251" w:lineRule="auto"/>
        <w:tabs>
          <w:tab w:leader="none" w:pos="3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and 50% of the cost of aircraft and other transportation chartered in connection with the road show, if any (it being understood that the Underwriters will pay or cause to be paid the travel and lodging expenses of their representatives), (viii) the filing fees incident to, and the reasonable fees and disbursements of counsel to the Underwriters in connection with, the review by FINRA of the terms of the sale of the Securities; provided that the amount payable by the Company pursuant to this clause (viii) and clause (v) above shall not exceed $30,000 in the aggregate, (ix) the fees and expenses incurred in connection with the listing of the Securities and the Warrant Shares on the Nasdaq Global Select Market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8" w:right="459" w:bottom="1440" w:gutter="0" w:footer="0" w:header="0"/>
        </w:sectPr>
      </w:pPr>
    </w:p>
    <w:bookmarkStart w:id="28" w:name="page29"/>
    <w:bookmarkEnd w:id="28"/>
    <w:p>
      <w:pPr>
        <w:ind w:left="704" w:hanging="264"/>
        <w:spacing w:after="0"/>
        <w:tabs>
          <w:tab w:leader="none" w:pos="7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Agreement</w:t>
      </w:r>
      <w:r>
        <w:rPr>
          <w:rFonts w:ascii="Times New Roman" w:cs="Times New Roman" w:eastAsia="Times New Roman" w:hAnsi="Times New Roman"/>
          <w:sz w:val="18"/>
          <w:szCs w:val="18"/>
          <w:color w:val="auto"/>
        </w:rPr>
        <w:t>. If this Agreement is terminated by the Representatives in accordance with the provisions of Section 5, Section 9(a)</w:t>
      </w:r>
    </w:p>
    <w:p>
      <w:pPr>
        <w:spacing w:after="0" w:line="29" w:lineRule="exact"/>
        <w:rPr>
          <w:rFonts w:ascii="Times New Roman" w:cs="Times New Roman" w:eastAsia="Times New Roman" w:hAnsi="Times New Roman"/>
          <w:sz w:val="18"/>
          <w:szCs w:val="18"/>
          <w:color w:val="auto"/>
        </w:rPr>
      </w:pPr>
    </w:p>
    <w:p>
      <w:pPr>
        <w:ind w:left="4" w:right="200" w:hanging="4"/>
        <w:spacing w:after="0" w:line="255" w:lineRule="auto"/>
        <w:tabs>
          <w:tab w:leader="none" w:pos="21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(iii) or Section 10 hereof, the Company shall reimburse the Underwriters for their reasonable and documented out-of-pocket expenses, including the reasonable and documented fees and disbursements of counsel for the Underwriters; provided that, if this Agreement is terminated by the Representatives pursuant to Section 10 hereof, the Company will have no obligation to reimburse any defaulting Underwriter.</w:t>
      </w:r>
    </w:p>
    <w:p>
      <w:pPr>
        <w:spacing w:after="0" w:line="186"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70" w:lineRule="exact"/>
        <w:rPr>
          <w:sz w:val="20"/>
          <w:szCs w:val="20"/>
          <w:color w:val="auto"/>
        </w:rPr>
      </w:pPr>
    </w:p>
    <w:p>
      <w:pPr>
        <w:ind w:left="4" w:right="20" w:firstLine="436"/>
        <w:spacing w:after="0" w:line="254" w:lineRule="auto"/>
        <w:tabs>
          <w:tab w:leader="none" w:pos="6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The Registration Statement has become effective and, at the Closing Time, no stop order suspending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by the Commission; and the Company has complied with each request (if any) from the Commission for additional information. The Company shall have paid the required Commission filing fees relating to the Securities within the time period required by Rule 456(b)(1)(i) under the 1933 Act Regulations without regard to the proviso therein and otherwise in accordance with Rules 456(b) and 457(r) under the 1933 Act Regulations and, if applicable, shall have updated the “Calculation of Registration Fee” table in accordance with Rule 456(b)(1)(ii) either in a post-effective amendment to the Registration Statement or on the cover page of or as exhibit to a prospectus filed pursuant to Rule 424(b).</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Opinions of Counsel for Company</w:t>
      </w:r>
      <w:r>
        <w:rPr>
          <w:rFonts w:ascii="Times New Roman" w:cs="Times New Roman" w:eastAsia="Times New Roman" w:hAnsi="Times New Roman"/>
          <w:sz w:val="18"/>
          <w:szCs w:val="18"/>
          <w:color w:val="auto"/>
        </w:rPr>
        <w:t>. At the Closing Time, the Representatives shall have received:</w:t>
      </w:r>
    </w:p>
    <w:p>
      <w:pPr>
        <w:spacing w:after="0" w:line="119" w:lineRule="exact"/>
        <w:rPr>
          <w:rFonts w:ascii="Times New Roman" w:cs="Times New Roman" w:eastAsia="Times New Roman" w:hAnsi="Times New Roman"/>
          <w:sz w:val="18"/>
          <w:szCs w:val="18"/>
          <w:color w:val="auto"/>
        </w:rPr>
      </w:pPr>
    </w:p>
    <w:p>
      <w:pPr>
        <w:jc w:val="both"/>
        <w:ind w:left="444" w:right="100" w:firstLine="419"/>
        <w:spacing w:after="0" w:line="266" w:lineRule="auto"/>
        <w:tabs>
          <w:tab w:leader="none" w:pos="10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and negative assurance letter, each dated the Closing Time, of Gunderson Dettmer Stough Villeneuve Franklin &amp; Hachigian, LLP, counsel for the Company, in form and substance reasonably satisfactory to counsel for the Underwriters, together with signed or reproduced copies of such letter for each of the other Underwriters;</w:t>
      </w:r>
    </w:p>
    <w:p>
      <w:pPr>
        <w:spacing w:after="0" w:line="67" w:lineRule="exact"/>
        <w:rPr>
          <w:rFonts w:ascii="Times New Roman" w:cs="Times New Roman" w:eastAsia="Times New Roman" w:hAnsi="Times New Roman"/>
          <w:sz w:val="18"/>
          <w:szCs w:val="18"/>
          <w:color w:val="auto"/>
        </w:rPr>
      </w:pPr>
    </w:p>
    <w:p>
      <w:pPr>
        <w:ind w:left="444" w:firstLine="419"/>
        <w:spacing w:after="0" w:line="266" w:lineRule="auto"/>
        <w:tabs>
          <w:tab w:leader="none" w:pos="113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dated the Closing Time, of (i) Hogan Lovells US LLP and (ii) Hogan Lovells International LLP, each, regulatory counsel for the Company, in form and substance reasonably satisfactory to counsel for the Underwriters, together with signed or reproduced copies of such letters for each of the other Underwriters; and</w:t>
      </w:r>
    </w:p>
    <w:p>
      <w:pPr>
        <w:spacing w:after="0" w:line="67" w:lineRule="exact"/>
        <w:rPr>
          <w:rFonts w:ascii="Times New Roman" w:cs="Times New Roman" w:eastAsia="Times New Roman" w:hAnsi="Times New Roman"/>
          <w:sz w:val="18"/>
          <w:szCs w:val="18"/>
          <w:color w:val="auto"/>
        </w:rPr>
      </w:pPr>
    </w:p>
    <w:p>
      <w:pPr>
        <w:ind w:left="444" w:right="40" w:firstLine="419"/>
        <w:spacing w:after="0" w:line="266" w:lineRule="auto"/>
        <w:tabs>
          <w:tab w:leader="none" w:pos="11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dated the Closing Time, of Knobbe Martens Olson &amp; Bear LLP, intellectual property counsel for the Company, in form and substance reasonably satisfactory to counsel for the Underwriters, together with signed or reproduced copies of such letter for each of the other Underwriters.</w:t>
      </w:r>
    </w:p>
    <w:p>
      <w:pPr>
        <w:spacing w:after="0" w:line="173" w:lineRule="exact"/>
        <w:rPr>
          <w:rFonts w:ascii="Times New Roman" w:cs="Times New Roman" w:eastAsia="Times New Roman" w:hAnsi="Times New Roman"/>
          <w:sz w:val="18"/>
          <w:szCs w:val="18"/>
          <w:color w:val="auto"/>
        </w:rPr>
      </w:pPr>
    </w:p>
    <w:p>
      <w:pPr>
        <w:ind w:left="4" w:right="140" w:firstLine="436"/>
        <w:spacing w:after="0" w:line="267" w:lineRule="auto"/>
        <w:tabs>
          <w:tab w:leader="none" w:pos="6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Underwriters</w:t>
      </w:r>
      <w:r>
        <w:rPr>
          <w:rFonts w:ascii="Times New Roman" w:cs="Times New Roman" w:eastAsia="Times New Roman" w:hAnsi="Times New Roman"/>
          <w:sz w:val="18"/>
          <w:szCs w:val="18"/>
          <w:color w:val="auto"/>
        </w:rPr>
        <w:t>. At the Closing Time, the Representatives shall have received the opinion and negative assurance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dated the Closing Time, of Cooley LLP, counsel for the Underwriters, together with signed or reproduced copies of such letter for each of the other Underwriters, in form and substance reasonably satisfactory to the Underwriters.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8" w:right="459" w:bottom="1440" w:gutter="0" w:footer="0" w:header="0"/>
        </w:sectPr>
      </w:pPr>
    </w:p>
    <w:bookmarkStart w:id="29" w:name="page30"/>
    <w:bookmarkEnd w:id="29"/>
    <w:p>
      <w:pPr>
        <w:ind w:right="20" w:firstLine="436"/>
        <w:spacing w:after="0" w:line="254"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Officers’ Certificate</w:t>
      </w:r>
      <w:r>
        <w:rPr>
          <w:rFonts w:ascii="Times New Roman" w:cs="Times New Roman" w:eastAsia="Times New Roman" w:hAnsi="Times New Roman"/>
          <w:sz w:val="18"/>
          <w:szCs w:val="18"/>
          <w:color w:val="auto"/>
        </w:rPr>
        <w:t>. At the Closing Time, there shall not have been, since the date hereof or since the respective dates as of which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Chief Executive Officer of the Company and of the chief financial or chief accounting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 by the Commission.</w:t>
      </w:r>
    </w:p>
    <w:p>
      <w:pPr>
        <w:spacing w:after="0" w:line="185" w:lineRule="exact"/>
        <w:rPr>
          <w:rFonts w:ascii="Times New Roman" w:cs="Times New Roman" w:eastAsia="Times New Roman" w:hAnsi="Times New Roman"/>
          <w:sz w:val="18"/>
          <w:szCs w:val="18"/>
          <w:color w:val="auto"/>
        </w:rPr>
      </w:pPr>
    </w:p>
    <w:p>
      <w:pPr>
        <w:ind w:right="60" w:firstLine="436"/>
        <w:spacing w:after="0" w:line="258"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At the time of the execution of this Agreement, the Representatives shall have received from Ernst &amp; Young,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83" w:lineRule="exact"/>
        <w:rPr>
          <w:rFonts w:ascii="Times New Roman" w:cs="Times New Roman" w:eastAsia="Times New Roman" w:hAnsi="Times New Roman"/>
          <w:sz w:val="18"/>
          <w:szCs w:val="18"/>
          <w:color w:val="auto"/>
        </w:rPr>
      </w:pPr>
    </w:p>
    <w:p>
      <w:pPr>
        <w:ind w:right="320" w:firstLine="436"/>
        <w:spacing w:after="0" w:line="267" w:lineRule="auto"/>
        <w:tabs>
          <w:tab w:leader="none" w:pos="6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At the Closing Time, the Representatives shall have received from Ernst &amp; Young, LLP a letter, dated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Time, to the effect that they reaffirm the statements made in the letter furnished pursuant to subsection (e) of this Section, except that the specified date referred to shall be a date not more than three business days prior to the Closing Time.</w:t>
      </w:r>
    </w:p>
    <w:p>
      <w:pPr>
        <w:spacing w:after="0" w:line="173" w:lineRule="exact"/>
        <w:rPr>
          <w:rFonts w:ascii="Times New Roman" w:cs="Times New Roman" w:eastAsia="Times New Roman" w:hAnsi="Times New Roman"/>
          <w:sz w:val="18"/>
          <w:szCs w:val="18"/>
          <w:color w:val="auto"/>
        </w:rPr>
      </w:pPr>
    </w:p>
    <w:p>
      <w:pPr>
        <w:ind w:right="380" w:firstLine="436"/>
        <w:spacing w:after="0" w:line="284"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At the Closing Time, the Securities and the Warrant Shares shall have been approved for listing on the Nasdaq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 Market, subject only to official notice of issuance.</w:t>
      </w:r>
    </w:p>
    <w:p>
      <w:pPr>
        <w:spacing w:after="0" w:line="16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At the date of this Agreement, the Representatives shall have received an agreement substantially in the form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hereto signed by the persons listed on Schedule C hereto.</w:t>
      </w:r>
    </w:p>
    <w:p>
      <w:pPr>
        <w:spacing w:after="0" w:line="205" w:lineRule="exact"/>
        <w:rPr>
          <w:sz w:val="20"/>
          <w:szCs w:val="20"/>
          <w:color w:val="auto"/>
        </w:rPr>
      </w:pPr>
    </w:p>
    <w:p>
      <w:pPr>
        <w:ind w:right="240" w:firstLine="436"/>
        <w:spacing w:after="0" w:line="284"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Rating</w:t>
      </w:r>
      <w:r>
        <w:rPr>
          <w:rFonts w:ascii="Times New Roman" w:cs="Times New Roman" w:eastAsia="Times New Roman" w:hAnsi="Times New Roman"/>
          <w:sz w:val="18"/>
          <w:szCs w:val="18"/>
          <w:color w:val="auto"/>
        </w:rPr>
        <w:t>. Neither the Company nor its subsidiaries have any debt securities or preferred stock that are rated by any “nationally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statistical rating agency” (as defined in Section 3(a)(62) of the 1934 Act).</w:t>
      </w:r>
    </w:p>
    <w:p>
      <w:pPr>
        <w:spacing w:after="0" w:line="15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6"/>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Purchase of Option Securities</w:t>
      </w:r>
      <w:r>
        <w:rPr>
          <w:rFonts w:ascii="Times New Roman" w:cs="Times New Roman" w:eastAsia="Times New Roman" w:hAnsi="Times New Roman"/>
          <w:sz w:val="18"/>
          <w:szCs w:val="18"/>
          <w:color w:val="auto"/>
        </w:rPr>
        <w:t>. In the event that the Underwriters exercise their option provided in Section 2(b) hereof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all or any portion of the Option Securities, the representations and warranties of the Company contained herein and the statements in any certificates furnished by the Company and any of its subsidiaries hereunder shall be true and correct as of each Date of Delivery and, at the relevant Date of Delivery, the Representatives shall have received:</w:t>
      </w:r>
    </w:p>
    <w:p>
      <w:pPr>
        <w:spacing w:after="0" w:line="7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07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 certificate, dated such Date of Delivery, of the Chief Executive Officer or a Vice President of the Company and of the chief financial or chief accounting officer of the Company confirming that the certificate delivered at the Closing Time pursuant to</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5(d) hereof remains true and correct as of such Date of Delivery.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68" w:right="439" w:bottom="1440" w:gutter="0" w:footer="0" w:header="0"/>
        </w:sectPr>
      </w:pPr>
    </w:p>
    <w:bookmarkStart w:id="30" w:name="page31"/>
    <w:bookmarkEnd w:id="30"/>
    <w:p>
      <w:pPr>
        <w:ind w:left="440" w:firstLine="419"/>
        <w:spacing w:after="0" w:line="258" w:lineRule="auto"/>
        <w:tabs>
          <w:tab w:leader="none" w:pos="11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Opinions of Counsel for Company</w:t>
      </w:r>
      <w:r>
        <w:rPr>
          <w:rFonts w:ascii="Times New Roman" w:cs="Times New Roman" w:eastAsia="Times New Roman" w:hAnsi="Times New Roman"/>
          <w:sz w:val="18"/>
          <w:szCs w:val="18"/>
          <w:color w:val="auto"/>
        </w:rPr>
        <w:t>. If requested by the Representatives, (A) the opinion and negative assurance letter of Gunderson Dettmer Stough Villeneuve Franklin &amp; Hachigian, LLP, counsel for the Company, (B) the opinion of Hogan Lovells US LLP, regulatory counsel for the Company and (C) the opinion of Knobbe Martens Olson &amp; Bear LLP, intellectual property counsel for the Company, each in form and substance reasonably satisfactory to counsel for the Underwriters, dated such Date of Delivery, relating to the Option Securities to be purchased on such Date of Delivery and otherwise to the same effect as the opinion of such firm required by Section 5(b) hereof.</w:t>
      </w:r>
    </w:p>
    <w:p>
      <w:pPr>
        <w:spacing w:after="0" w:line="75" w:lineRule="exact"/>
        <w:rPr>
          <w:rFonts w:ascii="Times New Roman" w:cs="Times New Roman" w:eastAsia="Times New Roman" w:hAnsi="Times New Roman"/>
          <w:sz w:val="18"/>
          <w:szCs w:val="18"/>
          <w:color w:val="auto"/>
        </w:rPr>
      </w:pPr>
    </w:p>
    <w:p>
      <w:pPr>
        <w:jc w:val="both"/>
        <w:ind w:left="440" w:right="340" w:firstLine="419"/>
        <w:spacing w:after="0" w:line="266" w:lineRule="auto"/>
        <w:tabs>
          <w:tab w:leader="none" w:pos="117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Underwriters</w:t>
      </w:r>
      <w:r>
        <w:rPr>
          <w:rFonts w:ascii="Times New Roman" w:cs="Times New Roman" w:eastAsia="Times New Roman" w:hAnsi="Times New Roman"/>
          <w:sz w:val="18"/>
          <w:szCs w:val="18"/>
          <w:color w:val="auto"/>
        </w:rPr>
        <w:t>. If requested by the Representatives, the opinion of Cooley LLP, counsel for the Underwriters, dated such Date of Delivery, relating to the Option Securities to be purchased on such Date of Delivery and otherwise to the same effect as the opinion required by Section 5(c) hereof.</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Bring-down Comfort Letter</w:t>
      </w:r>
      <w:r>
        <w:rPr>
          <w:rFonts w:ascii="Times New Roman" w:cs="Times New Roman" w:eastAsia="Times New Roman" w:hAnsi="Times New Roman"/>
          <w:sz w:val="18"/>
          <w:szCs w:val="18"/>
          <w:color w:val="auto"/>
        </w:rPr>
        <w:t>. If requested by the Representatives, a letter from Ernst &amp; Young, LLP, in form and substance satisfactory to the Representatives and dated such Date of Delivery, substantially in the same form and substance as the letter furnished to the Representatives pursuant to Section 5(e) hereof, except that the “specified date” in the letter furnished pursuant to this paragraph shall be a date not more than three business days prior to such Date of Delivery.</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right="60" w:firstLine="436"/>
        <w:spacing w:after="0" w:line="258" w:lineRule="auto"/>
        <w:tabs>
          <w:tab w:leader="none" w:pos="7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At the Closing Time and at each Date of Delivery (if any) counsel for the Underwriters shall have been furnished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documents and certificates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w:t>
      </w:r>
    </w:p>
    <w:p>
      <w:pPr>
        <w:spacing w:after="0" w:line="183" w:lineRule="exact"/>
        <w:rPr>
          <w:rFonts w:ascii="Times New Roman" w:cs="Times New Roman" w:eastAsia="Times New Roman" w:hAnsi="Times New Roman"/>
          <w:sz w:val="18"/>
          <w:szCs w:val="18"/>
          <w:color w:val="auto"/>
        </w:rPr>
      </w:pPr>
    </w:p>
    <w:p>
      <w:pPr>
        <w:ind w:right="20" w:firstLine="436"/>
        <w:spacing w:after="0" w:line="257"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any condition specified in this Section shall not have been fulfilled when and as required to be fulfilled,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14, 15, 16 and 17 shall survive any such termination and remain in full force and effect.</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right="20" w:firstLine="436"/>
        <w:spacing w:after="0" w:line="267"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Underwriters</w:t>
      </w:r>
      <w:r>
        <w:rPr>
          <w:rFonts w:ascii="Times New Roman" w:cs="Times New Roman" w:eastAsia="Times New Roman" w:hAnsi="Times New Roman"/>
          <w:sz w:val="18"/>
          <w:szCs w:val="18"/>
          <w:color w:val="auto"/>
        </w:rPr>
        <w:t>. The Company agrees to indemnify and hold harmless each Underwriter, its affiliates (as such term is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Rule 501(b) under the 1933 Act (each,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its selling agents and each person, if any, who controls any Underwriter within the meaning of Section 15 of the 1933 Act or Section 20 of the 1934 Act as follows:</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07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31" w:name="page32"/>
    <w:bookmarkEnd w:id="31"/>
    <w:p>
      <w:pPr>
        <w:ind w:left="44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Times New Roman" w:cs="Times New Roman" w:eastAsia="Times New Roman" w:hAnsi="Times New Roman"/>
          <w:sz w:val="18"/>
          <w:szCs w:val="18"/>
          <w:b w:val="1"/>
          <w:bCs w:val="1"/>
          <w:color w:val="auto"/>
        </w:rPr>
        <w:t>Marketing Materials</w:t>
      </w:r>
      <w:r>
        <w:rPr>
          <w:rFonts w:ascii="Times New Roman" w:cs="Times New Roman" w:eastAsia="Times New Roman" w:hAnsi="Times New Roman"/>
          <w:sz w:val="18"/>
          <w:szCs w:val="18"/>
          <w:color w:val="auto"/>
        </w:rPr>
        <w:t>”), including any roadshow or investor presentations made to investors by the Company (whether in person or electronically) or the omission or alleged omission in any preliminary prospectus, Issuer Free Writing Prospectus, any Written Testing-the-Waters Communication, Prospectus or any Marketing Materials of a material fact necessary in order to make the statements therein, in the light of the circumstances under which they were made, not misleading;</w:t>
      </w:r>
    </w:p>
    <w:p>
      <w:pPr>
        <w:spacing w:after="0" w:line="84" w:lineRule="exact"/>
        <w:rPr>
          <w:sz w:val="20"/>
          <w:szCs w:val="20"/>
          <w:color w:val="auto"/>
        </w:rPr>
      </w:pPr>
    </w:p>
    <w:p>
      <w:pPr>
        <w:ind w:left="440" w:right="260" w:firstLine="419"/>
        <w:spacing w:after="0" w:line="261" w:lineRule="auto"/>
        <w:tabs>
          <w:tab w:leader="none" w:pos="11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 and</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any preliminary prospectus, Issuer Free Writing Prospectus, Written Testing-the-Waters Communication or the Prospectus (or any amendment or supplement thereto) in reliance upon and in conformity with the Underwriter Information.</w:t>
      </w:r>
    </w:p>
    <w:p>
      <w:pPr>
        <w:spacing w:after="0" w:line="181" w:lineRule="exact"/>
        <w:rPr>
          <w:sz w:val="20"/>
          <w:szCs w:val="20"/>
          <w:color w:val="auto"/>
        </w:rPr>
      </w:pPr>
    </w:p>
    <w:p>
      <w:pPr>
        <w:ind w:right="180" w:firstLine="436"/>
        <w:spacing w:after="0" w:line="256"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 Directors and Officers</w:t>
      </w:r>
      <w:r>
        <w:rPr>
          <w:rFonts w:ascii="Times New Roman" w:cs="Times New Roman" w:eastAsia="Times New Roman" w:hAnsi="Times New Roman"/>
          <w:sz w:val="18"/>
          <w:szCs w:val="18"/>
          <w:color w:val="auto"/>
        </w:rPr>
        <w:t>. Each Underwriter, severally and not jointly, agrees to indemnify and hold harmless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any preliminary prospectus, Issuer Free Writing Prospectus, Written Testing-the-Waters Communication or the Prospectus (or any amendment or supplement thereto) in reliance upon and in conformity with the Underwriter Information.</w:t>
      </w:r>
    </w:p>
    <w:p>
      <w:pPr>
        <w:spacing w:after="0" w:line="182"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32" w:name="page33"/>
    <w:bookmarkEnd w:id="32"/>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w:t>
      </w:r>
    </w:p>
    <w:p>
      <w:pPr>
        <w:spacing w:after="0" w:line="5" w:lineRule="exact"/>
        <w:rPr>
          <w:sz w:val="20"/>
          <w:szCs w:val="20"/>
          <w:color w:val="auto"/>
        </w:rPr>
      </w:pPr>
    </w:p>
    <w:p>
      <w:pPr>
        <w:ind w:left="224" w:hanging="224"/>
        <w:spacing w:after="0"/>
        <w:tabs>
          <w:tab w:leader="none" w:pos="2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unconditional release of each indemnified party from all liability arising out of such litigation, investigation, proceeding or claim and</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 statement as to or an admission of fault, culpability or a failure to act by or on behalf of any indemnified party.</w:t>
      </w:r>
    </w:p>
    <w:p>
      <w:pPr>
        <w:spacing w:after="0" w:line="204" w:lineRule="exact"/>
        <w:rPr>
          <w:rFonts w:ascii="Times New Roman" w:cs="Times New Roman" w:eastAsia="Times New Roman" w:hAnsi="Times New Roman"/>
          <w:sz w:val="18"/>
          <w:szCs w:val="18"/>
          <w:color w:val="auto"/>
        </w:rPr>
      </w:pPr>
    </w:p>
    <w:p>
      <w:pPr>
        <w:ind w:left="4" w:firstLine="436"/>
        <w:spacing w:after="0" w:line="257" w:lineRule="auto"/>
        <w:tabs>
          <w:tab w:leader="none" w:pos="6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 the indemnified party for fees and expenses of counsel, such indemnifying party agrees that it shall be liable for any settlement of the nature contemplated by Section 6(a)(ii) effected without its written consent if (i) such settlement is entered into more than 60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92" w:lineRule="exact"/>
        <w:rPr>
          <w:sz w:val="20"/>
          <w:szCs w:val="20"/>
          <w:color w:val="auto"/>
        </w:rPr>
      </w:pPr>
    </w:p>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Securities as set forth on the cover of the Prospectus.</w:t>
      </w:r>
    </w:p>
    <w:p>
      <w:pPr>
        <w:spacing w:after="0" w:line="183" w:lineRule="exact"/>
        <w:rPr>
          <w:sz w:val="20"/>
          <w:szCs w:val="20"/>
          <w:color w:val="auto"/>
        </w:rPr>
      </w:pPr>
    </w:p>
    <w:p>
      <w:pPr>
        <w:ind w:left="4" w:right="320" w:firstLine="440"/>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33" w:name="page34"/>
    <w:bookmarkEnd w:id="33"/>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Schedule A hereto and not joint.</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w:t>
      </w:r>
      <w:r>
        <w:rPr>
          <w:rFonts w:ascii="Times New Roman" w:cs="Times New Roman" w:eastAsia="Times New Roman" w:hAnsi="Times New Roman"/>
          <w:sz w:val="18"/>
          <w:szCs w:val="18"/>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36"/>
        <w:spacing w:after="0" w:line="253"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Representatives may terminate this Agreement, by notice to the Company, at any time at or prior to the Closing Time (i)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Select Market, or (iv) if trading generally on the NYSE MKT or the New York Stock Exchange or in the Nasdaq Global Select Market has been suspended or materially limited, or minimum or maximum prices for trading have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4" w:name="page35"/>
    <w:bookmarkEnd w:id="34"/>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78" w:lineRule="exact"/>
        <w:rPr>
          <w:sz w:val="20"/>
          <w:szCs w:val="20"/>
          <w:color w:val="auto"/>
        </w:rPr>
      </w:pPr>
    </w:p>
    <w:p>
      <w:pPr>
        <w:jc w:val="both"/>
        <w:ind w:right="160" w:firstLine="436"/>
        <w:spacing w:after="0" w:line="267"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provided in Section 4 hereof, and provided further that Sections 1, 6, 7, 8, 14, 15, 16 and 17 shall survive such termination and remain in full force and effect.</w:t>
      </w:r>
    </w:p>
    <w:p>
      <w:pPr>
        <w:spacing w:after="0" w:line="17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Default by One or More of the Underwriters</w:t>
      </w:r>
      <w:r>
        <w:rPr>
          <w:rFonts w:ascii="Times New Roman" w:cs="Times New Roman" w:eastAsia="Times New Roman" w:hAnsi="Times New Roman"/>
          <w:sz w:val="18"/>
          <w:szCs w:val="18"/>
          <w:color w:val="auto"/>
        </w:rPr>
        <w:t>. If one or more of the Underwriters shall fail at the Closing Time or a Date of Delivery to purchase the Securities which it or they are obligated to purchase under this Agreement (the “</w:t>
      </w:r>
      <w:r>
        <w:rPr>
          <w:rFonts w:ascii="Times New Roman" w:cs="Times New Roman" w:eastAsia="Times New Roman" w:hAnsi="Times New Roman"/>
          <w:sz w:val="18"/>
          <w:szCs w:val="18"/>
          <w:b w:val="1"/>
          <w:bCs w:val="1"/>
          <w:color w:val="auto"/>
        </w:rPr>
        <w:t>Defaulted Securities</w:t>
      </w:r>
      <w:r>
        <w:rPr>
          <w:rFonts w:ascii="Times New Roman" w:cs="Times New Roman" w:eastAsia="Times New Roman" w:hAnsi="Times New Roman"/>
          <w:sz w:val="18"/>
          <w:szCs w:val="18"/>
          <w:color w:val="auto"/>
        </w:rPr>
        <w:t>”), the Representatives shall have the right, within 24 hours thereafter, to make arrangements for one or more of the non-defaulting Underwriters, or any other underwriters reasonably satisfactory to the Company,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75" w:lineRule="exact"/>
        <w:rPr>
          <w:sz w:val="20"/>
          <w:szCs w:val="20"/>
          <w:color w:val="auto"/>
        </w:rPr>
      </w:pPr>
    </w:p>
    <w:p>
      <w:pPr>
        <w:ind w:left="440" w:right="680" w:firstLine="419"/>
        <w:spacing w:after="0" w:line="266" w:lineRule="auto"/>
        <w:tabs>
          <w:tab w:leader="none" w:pos="10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the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by any standard form of telecommunication. Notices to the Underwriters shall be directed to Goldman Sachs &amp; Co. LLC, 200 West Street, New York, New York 10282-2198, Attention: Registration Department; BofA Securities, Inc., One Bryant Park, New York, New York 10036, Attention: Syndicate Department (email: dg.ecm_execution_services@bofa.com), with a copy to ECM Legal (email: dg.ecm_legal@bofa.com); and Guggenheim Securities, LLC, 330 Madison Avenue, New York, New York 10017, Attention: Head of Equity Capital Markets; and with a copy to Cooley LLP at 3 Embarcadero Center, 20th Floor, San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Francisco, California 94111, Attention: Denny Won. Notices to the Company shall be directed to it at 15440 Laguna Canyon Road, 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92618, Attention: Bobak Azamian; with a copy to Gunderson Dettmer Stough Villeneuve Franklin &amp; Hachigian, LLP at 3570 Carmel Mountain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200, San Diego, California 92130, Attention: Ryan Gunderson.</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and does not constitute a recommendation, investment advice, or solicitation of any action by the Underwriters,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investment or tax advice with respect to the offering of the Securities and the Company has consulted its own respective legal, accounting, financial, regulatory and tax advisors to the extent it deemed appropriate, and (f)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61"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purposes of this Section 13,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6" w:name="page37"/>
    <w:bookmarkEnd w:id="36"/>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9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Trial by Jury</w:t>
      </w:r>
      <w:r>
        <w:rPr>
          <w:rFonts w:ascii="Times New Roman" w:cs="Times New Roman" w:eastAsia="Times New Roman" w:hAnsi="Times New Roman"/>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8"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Signature Pages Follow</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8" w:right="1440"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019"/>
          </w:cols>
          <w:pgMar w:left="1440" w:top="268" w:right="1440" w:bottom="1440" w:gutter="0" w:footer="0" w:header="0"/>
          <w:type w:val="continuous"/>
        </w:sectPr>
      </w:pPr>
    </w:p>
    <w:bookmarkStart w:id="38" w:name="page39"/>
    <w:bookmarkEnd w:id="38"/>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Bobak Azamian, M.D., Ph.D.</w:t>
      </w:r>
    </w:p>
    <w:p>
      <w:pPr>
        <w:spacing w:after="0" w:line="23" w:lineRule="exact"/>
        <w:rPr>
          <w:sz w:val="20"/>
          <w:szCs w:val="20"/>
          <w:color w:val="auto"/>
        </w:rPr>
      </w:pPr>
    </w:p>
    <w:p>
      <w:pPr>
        <w:ind w:left="3880" w:right="820" w:firstLine="3004"/>
        <w:spacing w:after="0" w:line="433" w:lineRule="auto"/>
        <w:rPr>
          <w:sz w:val="20"/>
          <w:szCs w:val="20"/>
          <w:color w:val="auto"/>
        </w:rPr>
      </w:pPr>
      <w:r>
        <w:rPr>
          <w:rFonts w:ascii="Times New Roman" w:cs="Times New Roman" w:eastAsia="Times New Roman" w:hAnsi="Times New Roman"/>
          <w:sz w:val="18"/>
          <w:szCs w:val="18"/>
          <w:color w:val="auto"/>
        </w:rPr>
        <w:t>Title: Chairman and Chief Executive Officer [</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920"/>
          </w:cols>
          <w:pgMar w:left="440" w:top="270" w:right="5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AND ACCEPTED,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Lyla Bibi,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Greg Butz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Jordan Bliss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Representatives of the other Underwriters named in Schedule A hereto.</w:t>
      </w:r>
    </w:p>
    <w:p>
      <w:pPr>
        <w:spacing w:after="0" w:line="156"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offering price per share for the Shares shall be $32.00. The public offering price per Pre-Funded Warrant shall be $31.9999.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per share for the Shares to be paid by the several Underwriters shall be $30.08, being an amount equal to the applicable public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 set forth above less $1.92 per share, and the purchase price per Pre-Funded Warrant to be paid by the several Underwriters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$30.0799, being an amount equal to the applicable public offering price set forth above less $1.92 per share underlying the Pre-Funded Warrant,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subject to adjustment in accordance with Section 2(b) for dividends or distributions declared by the Company and payable on the Initial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not payable on the Option Securities.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Underwriter</w:t>
            </w:r>
          </w:p>
        </w:tc>
        <w:tc>
          <w:tcPr>
            <w:tcW w:w="7240" w:type="dxa"/>
            <w:vAlign w:val="bottom"/>
            <w:vMerge w:val="restart"/>
          </w:tcPr>
          <w:p>
            <w:pPr>
              <w:spacing w:after="0"/>
              <w:rPr>
                <w:sz w:val="13"/>
                <w:szCs w:val="13"/>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Number of</w:t>
            </w: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78"/>
        </w:trPr>
        <w:tc>
          <w:tcPr>
            <w:tcW w:w="1240" w:type="dxa"/>
            <w:vAlign w:val="bottom"/>
            <w:tcBorders>
              <w:bottom w:val="single" w:sz="8" w:color="auto"/>
            </w:tcBorders>
            <w:vMerge w:val="continue"/>
          </w:tcPr>
          <w:p>
            <w:pPr>
              <w:spacing w:after="0"/>
              <w:rPr>
                <w:sz w:val="15"/>
                <w:szCs w:val="15"/>
                <w:color w:val="auto"/>
              </w:rPr>
            </w:pPr>
          </w:p>
        </w:tc>
        <w:tc>
          <w:tcPr>
            <w:tcW w:w="7240" w:type="dxa"/>
            <w:vAlign w:val="bottom"/>
            <w:vMerge w:val="continue"/>
          </w:tcPr>
          <w:p>
            <w:pPr>
              <w:spacing w:after="0"/>
              <w:rPr>
                <w:sz w:val="15"/>
                <w:szCs w:val="15"/>
                <w:color w:val="auto"/>
              </w:rPr>
            </w:pPr>
          </w:p>
        </w:tc>
        <w:tc>
          <w:tcPr>
            <w:tcW w:w="124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4"/>
                <w:szCs w:val="14"/>
                <w:color w:val="auto"/>
              </w:rPr>
              <w:t>Initial Shares</w:t>
            </w:r>
          </w:p>
        </w:tc>
        <w:tc>
          <w:tcPr>
            <w:tcW w:w="1300" w:type="dxa"/>
            <w:vAlign w:val="bottom"/>
            <w:gridSpan w:val="2"/>
          </w:tcPr>
          <w:p>
            <w:pPr>
              <w:jc w:val="center"/>
              <w:ind w:right="40"/>
              <w:spacing w:after="0" w:line="158" w:lineRule="exact"/>
              <w:rPr>
                <w:sz w:val="20"/>
                <w:szCs w:val="20"/>
                <w:color w:val="auto"/>
              </w:rPr>
            </w:pPr>
            <w:r>
              <w:rPr>
                <w:rFonts w:ascii="Times New Roman" w:cs="Times New Roman" w:eastAsia="Times New Roman" w:hAnsi="Times New Roman"/>
                <w:sz w:val="14"/>
                <w:szCs w:val="14"/>
                <w:color w:val="auto"/>
              </w:rPr>
              <w:t>Pre-Funded Warrants</w:t>
            </w:r>
          </w:p>
        </w:tc>
        <w:tc>
          <w:tcPr>
            <w:tcW w:w="0" w:type="dxa"/>
            <w:vAlign w:val="bottom"/>
          </w:tcPr>
          <w:p>
            <w:pPr>
              <w:spacing w:after="0"/>
              <w:rPr>
                <w:sz w:val="1"/>
                <w:szCs w:val="1"/>
                <w:color w:val="auto"/>
              </w:rPr>
            </w:pPr>
          </w:p>
        </w:tc>
      </w:tr>
      <w:tr>
        <w:trPr>
          <w:trHeight w:val="203"/>
        </w:trPr>
        <w:tc>
          <w:tcPr>
            <w:tcW w:w="8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Goldman Sachs &amp; Co. LLC</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1,110,938</w:t>
            </w:r>
          </w:p>
        </w:tc>
        <w:tc>
          <w:tcPr>
            <w:tcW w:w="4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123,438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914,062</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101,562</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534,375</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59,375</w:t>
            </w:r>
          </w:p>
        </w:tc>
        <w:tc>
          <w:tcPr>
            <w:tcW w:w="0" w:type="dxa"/>
            <w:vAlign w:val="bottom"/>
          </w:tcPr>
          <w:p>
            <w:pPr>
              <w:spacing w:after="0"/>
              <w:rPr>
                <w:sz w:val="1"/>
                <w:szCs w:val="1"/>
                <w:color w:val="auto"/>
              </w:rPr>
            </w:pP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253,125</w:t>
            </w:r>
          </w:p>
        </w:tc>
        <w:tc>
          <w:tcPr>
            <w:tcW w:w="4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2,812,500</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312,500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 A-1</w:t>
      </w:r>
    </w:p>
    <w:p>
      <w:pPr>
        <w:sectPr>
          <w:pgSz w:w="11900" w:h="16838" w:orient="portrait"/>
          <w:cols w:equalWidth="0" w:num="1">
            <w:col w:w="11020"/>
          </w:cols>
          <w:pgMar w:left="440" w:top="270" w:right="439" w:bottom="1440" w:gutter="0" w:footer="0" w:header="0"/>
        </w:sectPr>
      </w:pPr>
    </w:p>
    <w:bookmarkStart w:id="41" w:name="page42"/>
    <w:bookmarkEnd w:id="41"/>
    <w:p>
      <w:pPr>
        <w:jc w:val="center"/>
        <w:ind w:right="-36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B-1</w:t>
      </w:r>
    </w:p>
    <w:p>
      <w:pPr>
        <w:spacing w:after="0" w:line="117"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18"/>
          <w:szCs w:val="18"/>
          <w:u w:val="single" w:color="auto"/>
          <w:color w:val="auto"/>
        </w:rPr>
        <w:t>Pricing Terms</w:t>
      </w:r>
    </w:p>
    <w:p>
      <w:pPr>
        <w:spacing w:after="0" w:line="252" w:lineRule="exact"/>
        <w:rPr>
          <w:sz w:val="20"/>
          <w:szCs w:val="20"/>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selling 2,812,500 shares of Common Stock.</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selling Pre-Funded Warrants to purchase 312,500 shares of Common Stock.</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granted an option to the Underwriters, severally and not jointly, to purchase up to an additional 468,750 shares of Common Stock.</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per share for the Common Stock shall be $32.00.</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per Pre-Funded Warrant shall be $31.9999.</w:t>
      </w:r>
    </w:p>
    <w:p>
      <w:pPr>
        <w:spacing w:after="0" w:line="158"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18"/>
          <w:szCs w:val="18"/>
          <w:color w:val="auto"/>
        </w:rPr>
        <w:t>Sch B-1-1</w:t>
      </w:r>
    </w:p>
    <w:p>
      <w:pPr>
        <w:sectPr>
          <w:pgSz w:w="11900" w:h="16838" w:orient="portrait"/>
          <w:cols w:equalWidth="0" w:num="1">
            <w:col w:w="10644"/>
          </w:cols>
          <w:pgMar w:left="436" w:top="270" w:right="819" w:bottom="1440" w:gutter="0" w:footer="0" w:header="0"/>
        </w:sectPr>
      </w:pPr>
    </w:p>
    <w:bookmarkStart w:id="42" w:name="page43"/>
    <w:bookmarkEnd w:id="42"/>
    <w:p>
      <w:pPr>
        <w:jc w:val="center"/>
        <w:ind w:righ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B-2</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u w:val="single" w:color="auto"/>
          <w:color w:val="auto"/>
        </w:rPr>
        <w:t>Free Writing Prospectuses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Sch B-2-1</w:t>
      </w:r>
    </w:p>
    <w:p>
      <w:pPr>
        <w:sectPr>
          <w:pgSz w:w="11900" w:h="16838" w:orient="portrait"/>
          <w:cols w:equalWidth="0" w:num="1">
            <w:col w:w="10019"/>
          </w:cols>
          <w:pgMar w:left="440" w:top="270" w:right="1440" w:bottom="1440" w:gutter="0" w:footer="0" w:header="0"/>
        </w:sectPr>
      </w:pPr>
    </w:p>
    <w:bookmarkStart w:id="43" w:name="page44"/>
    <w:bookmarkEnd w:id="43"/>
    <w:p>
      <w:pPr>
        <w:jc w:val="center"/>
        <w:ind w:righ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B-3</w:t>
      </w:r>
    </w:p>
    <w:p>
      <w:pPr>
        <w:spacing w:after="0" w:line="11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u w:val="single" w:color="auto"/>
          <w:color w:val="auto"/>
        </w:rPr>
        <w:t>Written Testing-the-Waters Communications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Sch B-3-1</w:t>
      </w:r>
    </w:p>
    <w:p>
      <w:pPr>
        <w:sectPr>
          <w:pgSz w:w="11900" w:h="16838" w:orient="portrait"/>
          <w:cols w:equalWidth="0" w:num="1">
            <w:col w:w="10019"/>
          </w:cols>
          <w:pgMar w:left="440" w:top="270" w:right="1440" w:bottom="1440" w:gutter="0" w:footer="0" w:header="0"/>
        </w:sectPr>
      </w:pPr>
    </w:p>
    <w:bookmarkStart w:id="44" w:name="page45"/>
    <w:bookmarkEnd w:id="44"/>
    <w:p>
      <w:pPr>
        <w:jc w:val="center"/>
        <w:ind w:righ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117"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7"/>
          <w:szCs w:val="17"/>
          <w:u w:val="single" w:color="auto"/>
          <w:color w:val="auto"/>
        </w:rPr>
        <w:t>List of Persons and Entities Subject to Lock-Up</w:t>
      </w:r>
    </w:p>
    <w:p>
      <w:pPr>
        <w:spacing w:after="0" w:line="264" w:lineRule="exact"/>
        <w:rPr>
          <w:sz w:val="20"/>
          <w:szCs w:val="20"/>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Goldberg</w:t>
      </w:r>
    </w:p>
    <w:p>
      <w:pPr>
        <w:spacing w:after="0" w:line="2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Aziz Mottiwala</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Bhaskar Chaudhauri</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Bobak Azamian</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Bobak Azamian, as Trustee of the Bobak Azamian Living Trust, established April 16, 2018</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Bryan Wahl, M.D., J.D.</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Dianne Whitfield</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Elizabeth Yeu-Lin</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Flying L Investments XI, LLC</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 Farrow</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Rosemary Crane</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Morrison</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Sesha Neervannan</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Wendy Yarno</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J. Link</w:t>
      </w:r>
    </w:p>
    <w:p>
      <w:pPr>
        <w:spacing w:after="0" w:line="139" w:lineRule="exact"/>
        <w:rPr>
          <w:sz w:val="20"/>
          <w:szCs w:val="20"/>
          <w:color w:val="auto"/>
        </w:rPr>
      </w:pPr>
    </w:p>
    <w:p>
      <w:pPr>
        <w:ind w:left="5224"/>
        <w:spacing w:after="0"/>
        <w:rPr>
          <w:sz w:val="20"/>
          <w:szCs w:val="20"/>
          <w:color w:val="auto"/>
        </w:rPr>
      </w:pPr>
      <w:r>
        <w:rPr>
          <w:rFonts w:ascii="Times New Roman" w:cs="Times New Roman" w:eastAsia="Times New Roman" w:hAnsi="Times New Roman"/>
          <w:sz w:val="18"/>
          <w:szCs w:val="18"/>
          <w:color w:val="auto"/>
        </w:rPr>
        <w:t>Sch C-1</w:t>
      </w:r>
    </w:p>
    <w:p>
      <w:pPr>
        <w:sectPr>
          <w:pgSz w:w="11900" w:h="16838" w:orient="portrait"/>
          <w:cols w:equalWidth="0" w:num="1">
            <w:col w:w="10023"/>
          </w:cols>
          <w:pgMar w:left="436" w:top="270"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LOCK-UP FROM DIRECTORS, OFFICERS OR OTHER STOCKHOLDERS PURSUANT TO SECTION 5(i)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2024</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Representatives of the several</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Underwriters to be named in the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within-mentioned Underwriting Agreement</w:t>
      </w:r>
    </w:p>
    <w:p>
      <w:pPr>
        <w:spacing w:after="0" w:line="2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c/o</w:t>
        <w:tab/>
        <w:t>Goldman Sachs &amp; Co. LLC</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Proposed Public Offering by Tarsus Pharmaceuticals, Inc.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117" w:lineRule="exact"/>
        <w:rPr>
          <w:sz w:val="20"/>
          <w:szCs w:val="20"/>
          <w:color w:val="auto"/>
        </w:rPr>
      </w:pPr>
    </w:p>
    <w:p>
      <w:pPr>
        <w:ind w:left="4" w:right="60" w:firstLine="440"/>
        <w:spacing w:after="0" w:line="267" w:lineRule="auto"/>
        <w:rPr>
          <w:sz w:val="20"/>
          <w:szCs w:val="20"/>
          <w:color w:val="auto"/>
        </w:rPr>
      </w:pPr>
      <w:r>
        <w:rPr>
          <w:rFonts w:ascii="Times New Roman" w:cs="Times New Roman" w:eastAsia="Times New Roman" w:hAnsi="Times New Roman"/>
          <w:sz w:val="17"/>
          <w:szCs w:val="17"/>
          <w:color w:val="auto"/>
        </w:rPr>
        <w:t>The undersigned, a stockholder and/or a stock option holder and/or an officer and/or a director, as applicable, of Tarsus Pharmaceuticals, Inc., a Delaware corporation (the “Company”), understands that Goldman Sachs &amp; Co. LLC (“Goldman”), BofA Securities, Inc. (“BofA”) and Guggenheim Securities, LLC (“Guggenheim”) propose to enter into an Underwriting Agreement (the “Underwriting Agreement”) with the Company and the other Underwriters party thereto providing for the public offering (the “Public Offering”) of shares of the Company’s common stock, par value $0.0001 per share (the “Common Stock”). In recognition of the benefit that the Public Offering will confer upon the undersigned as a stockholder and/or a stock option holder and/or an officer and/or a director, as applicable,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90 days from the date of the Underwriting Agreement (the “Lock-Up Period”), the undersigned will not, without the prior written consent of the Representatives (it being understood that to the extent that prior to the consummation of the Public Offering, any such Underwriter ceases to participate in the Public Offering, such Underwriter shall cease to be a Representative hereunder),</w:t>
      </w:r>
    </w:p>
    <w:p>
      <w:pPr>
        <w:spacing w:after="0" w:line="4" w:lineRule="exact"/>
        <w:rPr>
          <w:sz w:val="20"/>
          <w:szCs w:val="20"/>
          <w:color w:val="auto"/>
        </w:rPr>
      </w:pPr>
    </w:p>
    <w:p>
      <w:pPr>
        <w:ind w:left="5364" w:right="2280" w:hanging="5364"/>
        <w:spacing w:after="0" w:line="433" w:lineRule="auto"/>
        <w:tabs>
          <w:tab w:leader="none" w:pos="2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offer, pledge, sell, contract to sell, sell any option or contract to purchase, purchase any option or A-1</w:t>
      </w:r>
    </w:p>
    <w:p>
      <w:pPr>
        <w:sectPr>
          <w:pgSz w:w="11900" w:h="16838" w:orient="portrait"/>
          <w:cols w:equalWidth="0" w:num="1">
            <w:col w:w="11024"/>
          </w:cols>
          <w:pgMar w:left="436" w:top="270" w:right="439" w:bottom="1440" w:gutter="0" w:footer="0" w:header="0"/>
        </w:sectPr>
      </w:pPr>
    </w:p>
    <w:bookmarkStart w:id="46" w:name="page47"/>
    <w:bookmarkEnd w:id="46"/>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 to sell, grant any option, right or warrant to purchase or otherwise transfer or dispose of any shares of the Company’s Common Stock or any securities convertible into or exercisable or exchangeable for shares of Common Stock,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cause to be filed or cause to be confidentially submitted any registration statement in connection therewith, under the Securities Act of 1933, as amended, (ii) enter into any swap, hedging or any other agreement or any transaction that transfers, in whole or in part, directly or indirectly, the economic consequence of ownership of the Lock-Up Securities, whether any such swap or transaction is to be settled by delivery of shares of Common Stock or other securities, in cash or otherwise or (iii) publicly disclose the intention to do any of the foregoing described in clauses (i) and (ii) above.</w:t>
      </w:r>
    </w:p>
    <w:p>
      <w:pPr>
        <w:spacing w:after="0" w:line="192"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the Lock-Up Securities without the prior written consent of the Representatives, provided that (1) in the case of clause (i) through (vi) and (ix) below, the Representatives receive a signed lock-up agreement for the balance of the Lock-Up Period from each donee, trustee, distributee, or transferee, as the case may be, (2) (A) in the clauses</w:t>
      </w:r>
    </w:p>
    <w:p>
      <w:pPr>
        <w:spacing w:after="0" w:line="1" w:lineRule="exact"/>
        <w:rPr>
          <w:sz w:val="20"/>
          <w:szCs w:val="20"/>
          <w:color w:val="auto"/>
        </w:rPr>
      </w:pPr>
    </w:p>
    <w:p>
      <w:pPr>
        <w:ind w:left="4" w:right="40" w:hanging="4"/>
        <w:spacing w:after="0" w:line="253" w:lineRule="auto"/>
        <w:tabs>
          <w:tab w:leader="none" w:pos="2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 below, any such transfer shall not involve a disposition for value, (B) in the cases of clause (i) through (iv) below, such transfers are not required to be reported during the Lock-Up Period with the Securities and Exchange Commission (the “SEC”) on Form 4 in accordance with Section 16 of the Securities Exchange Act of 1934, as amended (the “Exchange Act”), and (C) in the cases of clauses (v) through (ix) below, any filing under Section 16 of the Exchange Act made during the Lock-Up Period shall clearly indicate in the footnotes the circumstances of the transfer, and (3) the undersigned does not otherwise voluntarily effect any public filing or report regarding such transfers during the Lock-Up Period:</w:t>
      </w:r>
    </w:p>
    <w:p>
      <w:pPr>
        <w:spacing w:after="0" w:line="9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132"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distribution to general or limited partners, members, stockholders or other equity holders of the undersigned;</w:t>
      </w:r>
    </w:p>
    <w:p>
      <w:pPr>
        <w:spacing w:after="0" w:line="130" w:lineRule="exact"/>
        <w:rPr>
          <w:rFonts w:ascii="Times New Roman" w:cs="Times New Roman" w:eastAsia="Times New Roman" w:hAnsi="Times New Roman"/>
          <w:sz w:val="18"/>
          <w:szCs w:val="18"/>
          <w:color w:val="auto"/>
        </w:rPr>
      </w:pPr>
    </w:p>
    <w:p>
      <w:pPr>
        <w:ind w:left="964" w:right="360" w:hanging="532"/>
        <w:spacing w:after="0" w:line="282" w:lineRule="auto"/>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undersigned’s affiliates or to any investment fund or other entity that, directly or indirectly, controls or manages, is controlled or managed by, or is under common control or management with, the undersigned;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intestate succession upon the death of the undersigned;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court of regulatory agency order, a qualified domestic order or in connection with a divorce settlement;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4"/>
          </w:cols>
          <w:pgMar w:left="436" w:top="270" w:right="459" w:bottom="1440" w:gutter="0" w:footer="0" w:header="0"/>
        </w:sectPr>
      </w:pPr>
    </w:p>
    <w:bookmarkStart w:id="47" w:name="page48"/>
    <w:bookmarkEnd w:id="47"/>
    <w:p>
      <w:pPr>
        <w:ind w:left="540" w:hanging="532"/>
        <w:spacing w:after="0" w:line="256"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Company in connection with the settlement of restricted stock units or exercise of options, warrants or other rights to acquire shares of Common Stock or any security convertible, exercisable for or settled into shares of Common Stock of the Company by way of net exercise, net settlement and/or to cover withholding tax obligations in connection with such exercise or settlement pursuant to an employee benefit plan, option, restricted stock unit or warrant or other right disclosed in the prospectus for the Public Offering or any document incorporated by reference therein, provided that any such shares of the Common Stock issued upon settlement of such restricted stock unit or exercise of such option, warrant or other right shall be subject to the restrictions set forth herein;</w:t>
      </w:r>
    </w:p>
    <w:p>
      <w:pPr>
        <w:spacing w:after="0" w:line="92" w:lineRule="exact"/>
        <w:rPr>
          <w:rFonts w:ascii="Times New Roman" w:cs="Times New Roman" w:eastAsia="Times New Roman" w:hAnsi="Times New Roman"/>
          <w:sz w:val="18"/>
          <w:szCs w:val="18"/>
          <w:color w:val="auto"/>
        </w:rPr>
      </w:pPr>
    </w:p>
    <w:p>
      <w:pPr>
        <w:ind w:left="540" w:right="200" w:hanging="532"/>
        <w:spacing w:after="0" w:line="266"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pursuant to agreements under which the Company has exercised its option to repurchase such shares or has exercised a right of first refusal with respect to transfers of such shares upon termination of service of the undersigned, so long as such agreement or right of first refusal is disclosed in the prospectus or any document incorporated by reference therein, for the Public Offering;</w:t>
      </w:r>
    </w:p>
    <w:p>
      <w:pPr>
        <w:spacing w:after="0" w:line="81" w:lineRule="exact"/>
        <w:rPr>
          <w:rFonts w:ascii="Times New Roman" w:cs="Times New Roman" w:eastAsia="Times New Roman" w:hAnsi="Times New Roman"/>
          <w:sz w:val="18"/>
          <w:szCs w:val="18"/>
          <w:color w:val="auto"/>
        </w:rPr>
      </w:pPr>
    </w:p>
    <w:p>
      <w:pPr>
        <w:ind w:left="540" w:hanging="532"/>
        <w:spacing w:after="0" w:line="254"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bona fide third party pursuant to a merger, consolidation, tender offer or other similar transaction made to all holders of shares of the Common Stock and involving a Change of Control (as defined below) of the Company and approved by the Company’s board of directors; provided that, in the event that such Change of Control is not completed, the undersigned’s Lock-Up Securities shall remain subject to the restrictions contained herein, provided further that any shares of the Common Stock not transferred in such merger, consolidation, tender offer or other transaction shall remain subject to the restrictions contained herein. “Change of Control”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50% of the outstanding voting securities of the Company (or the surviving entity); or</w:t>
      </w:r>
    </w:p>
    <w:p>
      <w:pPr>
        <w:spacing w:after="0" w:line="93" w:lineRule="exact"/>
        <w:rPr>
          <w:rFonts w:ascii="Times New Roman" w:cs="Times New Roman" w:eastAsia="Times New Roman" w:hAnsi="Times New Roman"/>
          <w:sz w:val="18"/>
          <w:szCs w:val="18"/>
          <w:color w:val="auto"/>
        </w:rPr>
      </w:pPr>
    </w:p>
    <w:p>
      <w:pPr>
        <w:ind w:left="540" w:right="20" w:hanging="532"/>
        <w:spacing w:after="0" w:line="254"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sale on the open market of up to 60,000 shares (in the aggregate for all directors and executive officers of the Company) of Common Stock underlying restricted stock units held by the undersigned that will vest during the Lock-Up Period and settle during the Lock-Up Period, but solely to the extent necessary to satisfy income tax withholding and remittance obligations in connection with the vesting and settlement of such restricted stock units that are outstanding as of the date of the Prospectus and described therein and pursuant to an equity incentive plan or other equity award plan described in the Prospectus or in a document incorporated therein by reference;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(1) any remaining shares of Common Stock issued upon vesting of such restricted stock units shall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set forth in this lock-up agreement, (2) any filing under Section 16 of the Exchange Act required in connection therewith shall indicate that such transfer is to satisfy income tax withholding and remittance obligations in connection with the vesting and settlement of restricted stock units and (3) no filing or public announcement shall be voluntarily made during the Lock-Up Period.</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580"/>
          </w:cols>
          <w:pgMar w:left="860" w:top="270" w:right="459" w:bottom="1440" w:gutter="0" w:footer="0" w:header="0"/>
        </w:sectPr>
      </w:pPr>
    </w:p>
    <w:bookmarkStart w:id="48" w:name="page49"/>
    <w:bookmarkEnd w:id="48"/>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Furthermore, the undersigned may sell shares of Common Stock of the Company purchased by the undersigned from the underwriters in the Public Offering or on the open market following the Public Offering if and only if (i) such sales are not required to be reported in any public report or filing with the SEC, or otherwise and (ii) the undersigned does not otherwise voluntarily effect any public filing or report regarding such sales during the Lock-Up Period.</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foregoing, (i) the undersigned may establish a trading plan pursuant to Rule 10b5-1 under the Exchange Act (a “10b5-1 Trading Plan”), provided that (A) any required filing under the Exchange Act made by the Company or any person regarding the establishment of such plan during the Lock-Up Period shall state that the undersigned is not permitted to sell, transfer or otherwise dispose of securities under such plan during the Lock-Up Period in contravention of this lock-up agreement and (B) no sales are made during the Lock-Up Period pursuant to such plan and (ii) the undersigned may sell shares of Common Stock or transfer as a distribution to general or limited partners, members, stockholders or other equity holders of the undersigned pursuant to a 10b5-1 Trading Plan, provided that such plan was established prior to the execution of this lock-up agreement by the undersigned and provided to the Representatives, and provided further that (x) any filing under Section 16(a) of the Exchange Act that is made in connection with any such sales during the Lock-Up Period shall state that such sales have been executed under a 10b5-1 Trading Plan and shall also state the date such 10b5-1 Trading Plan was adopted and (y) the undersigned does not otherwise voluntarily effect any public filing or report regarding such sales or transfers during the Lock-Up Period.</w:t>
      </w:r>
    </w:p>
    <w:p>
      <w:pPr>
        <w:spacing w:after="0" w:line="194"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w:t>
      </w:r>
    </w:p>
    <w:p>
      <w:pPr>
        <w:spacing w:after="0" w:line="19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62"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This lock-up agreement, the Lock-Up Period described herein and related restrictions shall automatically terminate upon the earliest to occur, if any, of (i) either the Company, on the one hand, or the Representatives, on the other hand, advising the other in writing prior to the execution of the Underwriting Agreement that it has determined not to proceed with the Public Offering, (ii)</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70" w:right="459" w:bottom="1440" w:gutter="0" w:footer="0" w:header="0"/>
        </w:sectPr>
      </w:pPr>
    </w:p>
    <w:bookmarkStart w:id="49" w:name="page50"/>
    <w:bookmarkEnd w:id="4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termination of the Underwriting Agreement before payment for and delivery of the Common Stock to be sold thereunder, (iii) the registration statement filed under the Securities Act with respect to the Public Offering contemplated by the Underwriting Agreement is withdrawn or (iv) March 31, 2024, in the event the closing of the Public Offering shall not have occurred on or before such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lock-up agreement shall be governed by and construed in accordance with the laws of the State of New York.</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70" w:right="459" w:bottom="1440" w:gutter="0" w:footer="0" w:header="0"/>
        </w:sectPr>
      </w:pPr>
    </w:p>
    <w:bookmarkStart w:id="50" w:name="page51"/>
    <w:bookmarkEnd w:id="5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If signatory is an individual</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17145</wp:posOffset>
            </wp:positionV>
            <wp:extent cx="22631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signatory is an entity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17145</wp:posOffset>
            </wp:positionV>
            <wp:extent cx="24345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17145</wp:posOffset>
            </wp:positionV>
            <wp:extent cx="22631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A-0</w:t>
      </w:r>
    </w:p>
    <w:p>
      <w:pPr>
        <w:sectPr>
          <w:pgSz w:w="11900" w:h="16838" w:orient="portrait"/>
          <w:cols w:equalWidth="0" w:num="1">
            <w:col w:w="9019"/>
          </w:cols>
          <w:pgMar w:left="1440" w:top="513" w:right="1440" w:bottom="1440" w:gutter="0" w:footer="0" w:header="0"/>
        </w:sectPr>
      </w:pPr>
    </w:p>
    <w:bookmarkStart w:id="51" w:name="page52"/>
    <w:bookmarkEnd w:id="51"/>
    <w:p>
      <w:pPr>
        <w:ind w:left="101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WARRANT TO PURCHASE SHARES OF COMMON STOCK</w:t>
      </w:r>
    </w:p>
    <w:p>
      <w:pPr>
        <w:spacing w:after="0" w:line="229" w:lineRule="exact"/>
        <w:rPr>
          <w:sz w:val="20"/>
          <w:szCs w:val="20"/>
          <w:color w:val="auto"/>
        </w:rPr>
      </w:pPr>
    </w:p>
    <w:p>
      <w:pPr>
        <w:ind w:left="9424"/>
        <w:spacing w:after="0"/>
        <w:rPr>
          <w:sz w:val="20"/>
          <w:szCs w:val="20"/>
          <w:color w:val="auto"/>
        </w:rPr>
      </w:pPr>
      <w:r>
        <w:rPr>
          <w:rFonts w:ascii="Times New Roman" w:cs="Times New Roman" w:eastAsia="Times New Roman" w:hAnsi="Times New Roman"/>
          <w:sz w:val="18"/>
          <w:szCs w:val="18"/>
          <w:color w:val="auto"/>
        </w:rPr>
        <w:t>Number of Shares: [•]</w:t>
      </w:r>
    </w:p>
    <w:p>
      <w:pPr>
        <w:spacing w:after="0" w:line="27" w:lineRule="exact"/>
        <w:rPr>
          <w:sz w:val="20"/>
          <w:szCs w:val="20"/>
          <w:color w:val="auto"/>
        </w:rPr>
      </w:pPr>
    </w:p>
    <w:p>
      <w:pPr>
        <w:ind w:left="9364"/>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229" w:lineRule="exact"/>
        <w:rPr>
          <w:sz w:val="20"/>
          <w:szCs w:val="20"/>
          <w:color w:val="auto"/>
        </w:rPr>
      </w:pPr>
    </w:p>
    <w:p>
      <w:pPr>
        <w:ind w:left="4"/>
        <w:spacing w:after="0"/>
        <w:tabs>
          <w:tab w:leader="none" w:pos="7964" w:val="left"/>
        </w:tabs>
        <w:rPr>
          <w:sz w:val="20"/>
          <w:szCs w:val="20"/>
          <w:color w:val="auto"/>
        </w:rPr>
      </w:pPr>
      <w:r>
        <w:rPr>
          <w:rFonts w:ascii="Times New Roman" w:cs="Times New Roman" w:eastAsia="Times New Roman" w:hAnsi="Times New Roman"/>
          <w:sz w:val="18"/>
          <w:szCs w:val="18"/>
          <w:color w:val="auto"/>
        </w:rPr>
        <w:t>Warrant No. CS-[•]</w:t>
      </w:r>
      <w:r>
        <w:rPr>
          <w:sz w:val="20"/>
          <w:szCs w:val="20"/>
          <w:color w:val="auto"/>
        </w:rPr>
        <w:tab/>
      </w:r>
      <w:r>
        <w:rPr>
          <w:rFonts w:ascii="Times New Roman" w:cs="Times New Roman" w:eastAsia="Times New Roman" w:hAnsi="Times New Roman"/>
          <w:sz w:val="19"/>
          <w:szCs w:val="19"/>
          <w:color w:val="auto"/>
        </w:rPr>
        <w:t>Original Issue Date: March [   ], 2024</w:t>
      </w:r>
    </w:p>
    <w:p>
      <w:pPr>
        <w:spacing w:after="0" w:line="22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Tarsus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sufficiency of which are hereby acknowledged, [•] or its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the Company up to a total of [•] shares of common stock, $0.0001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(each such share,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Warrant Share</w:t>
      </w:r>
      <w:r>
        <w:rPr>
          <w:rFonts w:ascii="Times New Roman" w:cs="Times New Roman" w:eastAsia="Times New Roman" w:hAnsi="Times New Roman"/>
          <w:sz w:val="17"/>
          <w:szCs w:val="17"/>
          <w:color w:val="auto"/>
        </w:rPr>
        <w:t>” and all such shares, the “</w:t>
      </w:r>
      <w:r>
        <w:rPr>
          <w:rFonts w:ascii="Times New Roman" w:cs="Times New Roman" w:eastAsia="Times New Roman" w:hAnsi="Times New Roman"/>
          <w:sz w:val="17"/>
          <w:szCs w:val="17"/>
          <w:b w:val="1"/>
          <w:bCs w:val="1"/>
          <w:color w:val="auto"/>
        </w:rPr>
        <w:t>Warrant Shares</w:t>
      </w:r>
      <w:r>
        <w:rPr>
          <w:rFonts w:ascii="Times New Roman" w:cs="Times New Roman" w:eastAsia="Times New Roman" w:hAnsi="Times New Roman"/>
          <w:sz w:val="17"/>
          <w:szCs w:val="17"/>
          <w:color w:val="auto"/>
        </w:rPr>
        <w:t>”) at an exercise price per share equal to $0.0001 per share (as adjusted from time to time as</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upon surrender of this Warrant to Purchase Shares of Common Stock (including any Warrants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Purchase Shares of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and from time to time on or after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hereof (the “</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and subject to the following terms and conditions:</w:t>
      </w:r>
    </w:p>
    <w:p>
      <w:pPr>
        <w:spacing w:after="0" w:line="203" w:lineRule="exact"/>
        <w:rPr>
          <w:sz w:val="20"/>
          <w:szCs w:val="20"/>
          <w:color w:val="auto"/>
        </w:rPr>
      </w:pPr>
    </w:p>
    <w:p>
      <w:pPr>
        <w:ind w:left="624" w:hanging="184"/>
        <w:spacing w:after="0"/>
        <w:tabs>
          <w:tab w:leader="none" w:pos="624"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117" w:lineRule="exact"/>
        <w:rPr>
          <w:rFonts w:ascii="Times New Roman" w:cs="Times New Roman" w:eastAsia="Times New Roman" w:hAnsi="Times New Roman"/>
          <w:sz w:val="18"/>
          <w:szCs w:val="18"/>
          <w:b w:val="1"/>
          <w:bCs w:val="1"/>
          <w:color w:val="auto"/>
        </w:rPr>
      </w:pPr>
    </w:p>
    <w:p>
      <w:pPr>
        <w:ind w:left="4" w:right="40" w:firstLine="987"/>
        <w:spacing w:after="0" w:line="257" w:lineRule="auto"/>
        <w:tabs>
          <w:tab w:leader="none" w:pos="124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directly or indirectly controlled by, controlling, or under common control with, a Holder, as such terms are used in and construed under Rule 405 under the Securities Act,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w:t>
      </w:r>
    </w:p>
    <w:p>
      <w:pPr>
        <w:spacing w:after="0" w:line="182"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4" w:right="80" w:firstLine="987"/>
        <w:spacing w:after="0" w:line="253" w:lineRule="auto"/>
        <w:tabs>
          <w:tab w:leader="none" w:pos="125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Exchange Act, and is then current in its filing of all required reports and other information under the Securities Act and the Exchange Act; (ii) the class and series of shares or other security of the issuer that would be received by Holder in connection with the Fundamental Transaction (as defined below), were Holder to exercise this Warrant on or prior to the closing thereof, is then traded or quoted on a nationally recognized securities exchange, inter-dealer quotation system or over-the-counter market, and (iii) following the closing of such Fundamental Transaction, the Holder would not be restricted from publicly re-selling all of the issuer’s shares and/or other securities that would be received by the Holder in such Fundamental Transaction were the Holder to exercise or convert this Warrant in full on or prior to the closing of such Fundamental Transaction, except to the extent that any such restriction (x) arises solely under federal or state securities laws, rules or regulations, and</w:t>
      </w:r>
    </w:p>
    <w:p>
      <w:pPr>
        <w:spacing w:after="0" w:line="4"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extend beyond six (6) months from the closing of such Fundamental Transaction.</w:t>
      </w:r>
    </w:p>
    <w:p>
      <w:pPr>
        <w:spacing w:after="0" w:line="202" w:lineRule="exact"/>
        <w:rPr>
          <w:rFonts w:ascii="Times New Roman" w:cs="Times New Roman" w:eastAsia="Times New Roman" w:hAnsi="Times New Roman"/>
          <w:sz w:val="18"/>
          <w:szCs w:val="18"/>
          <w:color w:val="auto"/>
        </w:rPr>
      </w:pPr>
    </w:p>
    <w:p>
      <w:pPr>
        <w:ind w:left="4" w:right="60" w:firstLine="987"/>
        <w:spacing w:after="0" w:line="286" w:lineRule="auto"/>
        <w:tabs>
          <w:tab w:leader="none" w:pos="124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and quoted for trading, which, as of the Original Issue Date, shall be The Nasdaq Global Select Market.</w:t>
      </w:r>
    </w:p>
    <w:p>
      <w:pPr>
        <w:spacing w:after="0" w:line="154" w:lineRule="exact"/>
        <w:rPr>
          <w:rFonts w:ascii="Times New Roman" w:cs="Times New Roman" w:eastAsia="Times New Roman" w:hAnsi="Times New Roman"/>
          <w:sz w:val="18"/>
          <w:szCs w:val="18"/>
          <w:color w:val="auto"/>
        </w:rPr>
      </w:pPr>
    </w:p>
    <w:p>
      <w:pPr>
        <w:ind w:left="4" w:right="540" w:firstLine="987"/>
        <w:spacing w:after="0" w:line="286" w:lineRule="auto"/>
        <w:tabs>
          <w:tab w:leader="none" w:pos="122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Company’s Registration Statement on Form S-3 (File No. 333-277523), that automatically became effective on February 29, 2024.</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4"/>
          </w:cols>
          <w:pgMar w:left="436" w:top="270" w:right="439" w:bottom="1440" w:gutter="0" w:footer="0" w:header="0"/>
        </w:sectPr>
      </w:pPr>
    </w:p>
    <w:bookmarkStart w:id="52" w:name="page53"/>
    <w:bookmarkEnd w:id="52"/>
    <w:p>
      <w:pPr>
        <w:ind w:left="1240" w:hanging="253"/>
        <w:spacing w:after="0"/>
        <w:tabs>
          <w:tab w:leader="none" w:pos="12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right="40" w:firstLine="987"/>
        <w:spacing w:after="0" w:line="268" w:lineRule="auto"/>
        <w:tabs>
          <w:tab w:leader="none" w:pos="124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Principal Trading Market is open for trading. If the shares of Common Stock are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w:t>
      </w:r>
    </w:p>
    <w:p>
      <w:pPr>
        <w:spacing w:after="0" w:line="170" w:lineRule="exact"/>
        <w:rPr>
          <w:rFonts w:ascii="Times New Roman" w:cs="Times New Roman" w:eastAsia="Times New Roman" w:hAnsi="Times New Roman"/>
          <w:sz w:val="18"/>
          <w:szCs w:val="18"/>
          <w:color w:val="auto"/>
        </w:rPr>
      </w:pPr>
    </w:p>
    <w:p>
      <w:pPr>
        <w:ind w:firstLine="987"/>
        <w:spacing w:after="0" w:line="286" w:lineRule="auto"/>
        <w:tabs>
          <w:tab w:leader="none" w:pos="120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54" w:lineRule="exact"/>
        <w:rPr>
          <w:rFonts w:ascii="Times New Roman" w:cs="Times New Roman" w:eastAsia="Times New Roman" w:hAnsi="Times New Roman"/>
          <w:sz w:val="18"/>
          <w:szCs w:val="18"/>
          <w:color w:val="auto"/>
        </w:rPr>
      </w:pPr>
    </w:p>
    <w:p>
      <w:pPr>
        <w:ind w:right="60" w:firstLine="987"/>
        <w:spacing w:after="0" w:line="254" w:lineRule="auto"/>
        <w:tabs>
          <w:tab w:leader="none" w:pos="120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(i) if the Common Stock is then listed or quoted on a national securities exchange or other trading market, the daily volume weighted average price of the Common Stock for such date (or the nearest preceding date) on the Principal Trading Market as reported by Bloomberg L.P. (based on a Trading Day from 9:30 a.m. (New York City time) to 4:02 p.m. (New York City time)), (ii) if the Common Stock is then listed or quoted for trading and neither OTCQB nor OTCQX is the Principal Trading Market, the volume weighted average price of the Common Stock for such date (or the nearest preceding date) on OTCQB or OTCQX, as applicable, (iii) if the Common Stock is not then listed or quoted for trading on OTCQB or OTCQX and if prices for the Common Stock are then reported in the “</w:t>
      </w:r>
      <w:r>
        <w:rPr>
          <w:rFonts w:ascii="Times New Roman" w:cs="Times New Roman" w:eastAsia="Times New Roman" w:hAnsi="Times New Roman"/>
          <w:sz w:val="18"/>
          <w:szCs w:val="18"/>
          <w:b w:val="1"/>
          <w:bCs w:val="1"/>
          <w:color w:val="auto"/>
        </w:rPr>
        <w:t>Pink Sheets</w:t>
      </w:r>
      <w:r>
        <w:rPr>
          <w:rFonts w:ascii="Times New Roman" w:cs="Times New Roman" w:eastAsia="Times New Roman" w:hAnsi="Times New Roman"/>
          <w:sz w:val="18"/>
          <w:szCs w:val="18"/>
          <w:color w:val="auto"/>
        </w:rPr>
        <w:t>” published by OTC Markets Group, Inc. (or a similar organization or agency succeeding to its functions of reporting prices), the most recent bid price per share of the Common Stock so reported, or (iv) in all other cases, the fair market value of a share of Common Stock as determined by an independent appraiser selected in good faith by the Holder and reasonably acceptable to the Company, the fees and expenses of which shall be paid by the Company.</w:t>
      </w:r>
    </w:p>
    <w:p>
      <w:pPr>
        <w:spacing w:after="0" w:line="185" w:lineRule="exact"/>
        <w:rPr>
          <w:rFonts w:ascii="Times New Roman" w:cs="Times New Roman" w:eastAsia="Times New Roman" w:hAnsi="Times New Roman"/>
          <w:sz w:val="18"/>
          <w:szCs w:val="18"/>
          <w:color w:val="auto"/>
        </w:rPr>
      </w:pPr>
    </w:p>
    <w:p>
      <w:pPr>
        <w:ind w:firstLine="436"/>
        <w:spacing w:after="0" w:line="255" w:lineRule="auto"/>
        <w:tabs>
          <w:tab w:leader="none" w:pos="6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SECURITIES; REGISTRATION OF WARRANTS</w:t>
      </w:r>
      <w:r>
        <w:rPr>
          <w:rFonts w:ascii="Times New Roman" w:cs="Times New Roman" w:eastAsia="Times New Roman" w:hAnsi="Times New Roman"/>
          <w:sz w:val="18"/>
          <w:szCs w:val="18"/>
          <w:color w:val="auto"/>
        </w:rPr>
        <w:t>. The Warrant, as initially issued by the Company, is offered and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Exchange Act as in effect on the Original Issue Date, the Warrant Shares, are not “restricted securities” under Rule 144 promulgated under the Securities Act. The Company shall register this Warrant, upon records to be maintained by the 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4"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6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to, register the transfer of all or any portion of this Warrant in the Warrant Register, upon surrender of this Warrant, and payment for all applicable transfer taxes (if any). Upon any such registration or transfer, a new warrant to purchase shares of Common Stock in substantially the form of this Warrant (any such new warrant, a “</w:t>
      </w:r>
      <w:r>
        <w:rPr>
          <w:rFonts w:ascii="Times New Roman" w:cs="Times New Roman" w:eastAsia="Times New Roman" w:hAnsi="Times New Roman"/>
          <w:sz w:val="18"/>
          <w:szCs w:val="18"/>
          <w:b w:val="1"/>
          <w:b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of this Warrant for all purposes, and the Company shall not be affected by any notice to the contrary.</w:t>
      </w:r>
    </w:p>
    <w:p>
      <w:pPr>
        <w:spacing w:after="0" w:line="188"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AND DURATION OF WARRANTS.</w:t>
      </w:r>
    </w:p>
    <w:p>
      <w:pPr>
        <w:spacing w:after="0" w:line="229" w:lineRule="exact"/>
        <w:rPr>
          <w:rFonts w:ascii="Times New Roman" w:cs="Times New Roman" w:eastAsia="Times New Roman" w:hAnsi="Times New Roman"/>
          <w:sz w:val="18"/>
          <w:szCs w:val="18"/>
          <w:b w:val="1"/>
          <w:bCs w:val="1"/>
          <w:color w:val="auto"/>
        </w:rPr>
      </w:pPr>
    </w:p>
    <w:p>
      <w:pPr>
        <w:ind w:right="140" w:firstLine="987"/>
        <w:spacing w:after="0" w:line="282" w:lineRule="auto"/>
        <w:tabs>
          <w:tab w:leader="none" w:pos="123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part of this Warrant shall be exercisable by the registered Holder in the manner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at any time and from time to time on or after the Original Issue Date.</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00"/>
          </w:cols>
          <w:pgMar w:left="440" w:top="266" w:right="459" w:bottom="1440" w:gutter="0" w:footer="0" w:header="0"/>
        </w:sectPr>
      </w:pPr>
    </w:p>
    <w:bookmarkStart w:id="53" w:name="page54"/>
    <w:bookmarkEnd w:id="53"/>
    <w:p>
      <w:pPr>
        <w:ind w:right="8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79" w:lineRule="exact"/>
        <w:rPr>
          <w:sz w:val="20"/>
          <w:szCs w:val="20"/>
          <w:color w:val="auto"/>
        </w:rPr>
      </w:pPr>
    </w:p>
    <w:p>
      <w:pPr>
        <w:ind w:left="620" w:hanging="184"/>
        <w:spacing w:after="0"/>
        <w:tabs>
          <w:tab w:leader="none" w:pos="6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OF WARRANT SHARES.</w:t>
      </w:r>
    </w:p>
    <w:p>
      <w:pPr>
        <w:spacing w:after="0" w:line="229" w:lineRule="exact"/>
        <w:rPr>
          <w:rFonts w:ascii="Times New Roman" w:cs="Times New Roman" w:eastAsia="Times New Roman" w:hAnsi="Times New Roman"/>
          <w:sz w:val="18"/>
          <w:szCs w:val="18"/>
          <w:b w:val="1"/>
          <w:bCs w:val="1"/>
          <w:color w:val="auto"/>
        </w:rPr>
      </w:pPr>
    </w:p>
    <w:p>
      <w:pPr>
        <w:ind w:right="20" w:firstLine="987"/>
        <w:spacing w:after="0" w:line="254" w:lineRule="auto"/>
        <w:tabs>
          <w:tab w:leader="none" w:pos="123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two (2)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Agent Commission system, or if the Transfer Agent is not participating in the Fast Automated Securities Transfer Program (the “</w:t>
      </w:r>
      <w:r>
        <w:rPr>
          <w:rFonts w:ascii="Times New Roman" w:cs="Times New Roman" w:eastAsia="Times New Roman" w:hAnsi="Times New Roman"/>
          <w:sz w:val="18"/>
          <w:szCs w:val="18"/>
          <w:b w:val="1"/>
          <w:bCs w:val="1"/>
          <w:color w:val="auto"/>
        </w:rPr>
        <w:t>FAST Program</w:t>
      </w:r>
      <w:r>
        <w:rPr>
          <w:rFonts w:ascii="Times New Roman" w:cs="Times New Roman" w:eastAsia="Times New Roman" w:hAnsi="Times New Roman"/>
          <w:sz w:val="18"/>
          <w:szCs w:val="18"/>
          <w:color w:val="auto"/>
        </w:rPr>
        <w:t>”), issue and dispatch by overnight courier to the address as specified in the Exercise Notice, a certificate or book entry position, registered in the Company’s share register in the name of the Holder or its designee, for the number of shares of Common Stock to which the Holder is entitled pursuant to such exercise. The Holder, or any natural person or legal entity (each,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or book entry position evidencing such Warrant Shares, as the case may be.</w:t>
      </w:r>
    </w:p>
    <w:p>
      <w:pPr>
        <w:spacing w:after="0" w:line="188"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by the close of the second (2nd) Trading Day after the Exercise Date, the Company fails to deliver to the Holder a certificate representing the required number of Warrant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or fails to credit the Holder’s DTC account for such number of Warrant Shares to which the Holder is entitled, and if after such second (2nd) Trading Day and prior to the receipt of such Warrant Shares, the Holder purchases (in an open market transaction, provided such purchases shall be made in a commercially reasonable manner at prevailing market prices)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then the Company shall, within two Trading Days after the Holder’s request, (A) pay in cash to the Holder the amount, if any, by which (1) the Holder’s total purchase price (including commercially reasonable brokerage commissions, if any) for the shares of Common Stock purchased in the Buy-In exceeds (2) the product of (x) the number of Warrant Shares that the Company was required to deliver to the Holder in connection with the exercise at issue, multiplied by (y) the price at which the sell order giving rise to such purchase obligation was executed (assuming such sale was executed on commercially reasonable terms at prevailing market prices and, if the sale was executed in multiple transactions, the volume weighted average price), and (B) at the option of the Holder, either (1) reinstate the portion of the Warrant and equivalent number of Warrant Shares for which such exercise was not honored (in which case such exercise shall be deemed rescinded) or (2) deliver to the Holder the number of shares of Common Stock that would have been issued had the Company timely complied with its exercise and delivery obligations hereunder. The provisions of this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shall be the only remedy available to the Holder in the event the Company fails to deliver to the Holder the required number of Warrant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a Buy-In occurs. Irrespective of whether there is a Buy-In, no remedy shall be available, notwithstanding the requirements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unless and until the Company fails to deliver to the Holder the required number of Warrant Shares by the close of the second Trading Day after the Exercise Date.</w:t>
      </w:r>
    </w:p>
    <w:p>
      <w:pPr>
        <w:spacing w:after="0" w:line="193" w:lineRule="exact"/>
        <w:rPr>
          <w:rFonts w:ascii="Times New Roman" w:cs="Times New Roman" w:eastAsia="Times New Roman" w:hAnsi="Times New Roman"/>
          <w:sz w:val="18"/>
          <w:szCs w:val="18"/>
          <w:color w:val="auto"/>
        </w:rPr>
      </w:pPr>
    </w:p>
    <w:p>
      <w:pPr>
        <w:ind w:right="40" w:firstLine="987"/>
        <w:spacing w:after="0" w:line="271" w:lineRule="auto"/>
        <w:tabs>
          <w:tab w:leader="none" w:pos="1236"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permitted by law and subject to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certificates or a book entry position representing shares of Common Stock upon exercise of the Warrant as required pursuant to the terms hereof.</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00"/>
          </w:cols>
          <w:pgMar w:left="440" w:top="266" w:right="459" w:bottom="1440" w:gutter="0" w:footer="0" w:header="0"/>
        </w:sectPr>
      </w:pPr>
    </w:p>
    <w:bookmarkStart w:id="54" w:name="page55"/>
    <w:bookmarkEnd w:id="54"/>
    <w:p>
      <w:pPr>
        <w:ind w:right="80" w:firstLine="436"/>
        <w:spacing w:after="0" w:line="275" w:lineRule="auto"/>
        <w:tabs>
          <w:tab w:leader="none" w:pos="62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TAXES AND EXPENSES</w:t>
      </w:r>
      <w:r>
        <w:rPr>
          <w:rFonts w:ascii="Times New Roman" w:cs="Times New Roman" w:eastAsia="Times New Roman" w:hAnsi="Times New Roman"/>
          <w:sz w:val="17"/>
          <w:szCs w:val="17"/>
          <w:color w:val="auto"/>
        </w:rPr>
        <w:t>. Issuance and delivery of a certificate or book entry position for shares of Common Stock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exercise of this Warrant shall be made without charge to the Holder for any issue or transfer tax, transfer agent fee or other incidental tax or expense (excluding any applicable stamp duties) in respect of the issuance of such certificate or book entry shares, all of which taxes and expenses shall be paid by the Company; provided, however,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68" w:lineRule="exact"/>
        <w:rPr>
          <w:rFonts w:ascii="Times New Roman" w:cs="Times New Roman" w:eastAsia="Times New Roman" w:hAnsi="Times New Roman"/>
          <w:sz w:val="17"/>
          <w:szCs w:val="17"/>
          <w:b w:val="1"/>
          <w:bCs w:val="1"/>
          <w:color w:val="auto"/>
        </w:rPr>
      </w:pPr>
    </w:p>
    <w:p>
      <w:pPr>
        <w:ind w:firstLine="436"/>
        <w:spacing w:after="0" w:line="256" w:lineRule="auto"/>
        <w:tabs>
          <w:tab w:leader="none" w:pos="6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71" w:lineRule="auto"/>
        <w:tabs>
          <w:tab w:leader="none" w:pos="62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RESERVATION OF WARRANT SHARES</w:t>
      </w:r>
      <w:r>
        <w:rPr>
          <w:rFonts w:ascii="Times New Roman" w:cs="Times New Roman" w:eastAsia="Times New Roman" w:hAnsi="Times New Roman"/>
          <w:sz w:val="17"/>
          <w:szCs w:val="17"/>
          <w:color w:val="auto"/>
        </w:rPr>
        <w:t>. The Company covenants that it will at all times while this Warrant is issued and outstanding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reserve and keep available out of the aggregate of its authorized but unissued and otherwise unreserved shares of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shares of Common Stock may be listed. The Company further covenants that it will not, without the prior written consent of the Holder, take any actions to increase the par value of the shares of Common Stock at any time while this Warrant is issued and outstanding.</w:t>
      </w:r>
    </w:p>
    <w:p>
      <w:pPr>
        <w:spacing w:after="0" w:line="168" w:lineRule="exact"/>
        <w:rPr>
          <w:rFonts w:ascii="Times New Roman" w:cs="Times New Roman" w:eastAsia="Times New Roman" w:hAnsi="Times New Roman"/>
          <w:sz w:val="17"/>
          <w:szCs w:val="17"/>
          <w:b w:val="1"/>
          <w:bCs w:val="1"/>
          <w:color w:val="auto"/>
        </w:rPr>
      </w:pPr>
    </w:p>
    <w:p>
      <w:pPr>
        <w:ind w:right="720" w:firstLine="436"/>
        <w:spacing w:after="0" w:line="286" w:lineRule="auto"/>
        <w:tabs>
          <w:tab w:leader="none" w:pos="6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adjustment 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ind w:firstLine="987"/>
        <w:spacing w:after="0" w:line="253" w:lineRule="auto"/>
        <w:tabs>
          <w:tab w:leader="none" w:pos="123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issued and outstanding, (i) pays a stock dividend on its shares of Common Stock or otherwise makes a distribution on any class of capital stock issued and outstanding on the Original Issue Date and in accordance with the terms of such stock on the Original Issue Date or as amended, as described in the Registration Statement, that is payable in shares of Common Stock, (ii) subdivides its issued and outstanding shares of Common Stock into a larger number of shares of Common Stock, (iii) combines its issued and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issued and outstanding immediately before such event and the denominator of which shall be the number of shares of Common Stock issued and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000"/>
          </w:cols>
          <w:pgMar w:left="440" w:top="266" w:right="459" w:bottom="1440" w:gutter="0" w:footer="0" w:header="0"/>
        </w:sectPr>
      </w:pPr>
    </w:p>
    <w:bookmarkStart w:id="55" w:name="page56"/>
    <w:bookmarkEnd w:id="55"/>
    <w:p>
      <w:pPr>
        <w:ind w:right="40" w:firstLine="987"/>
        <w:spacing w:after="0" w:line="253"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 Rata Distributions</w:t>
      </w:r>
      <w:r>
        <w:rPr>
          <w:rFonts w:ascii="Times New Roman" w:cs="Times New Roman" w:eastAsia="Times New Roman" w:hAnsi="Times New Roman"/>
          <w:sz w:val="18"/>
          <w:szCs w:val="18"/>
          <w:color w:val="auto"/>
        </w:rPr>
        <w:t>. If the Company, at any time while this Warrant is issued and outstanding, distributes to all holders of shares of Common Stock for no consideration (i) evidences of its indebtedness, (ii) any security (other than a distribution of shares of Common Stock covered by the preceding paragraph), (iii) rights or warrants to subscribe for or purchase any security, or (iv) cash or any other asset (in each case, “</w:t>
      </w:r>
      <w:r>
        <w:rPr>
          <w:rFonts w:ascii="Times New Roman" w:cs="Times New Roman" w:eastAsia="Times New Roman" w:hAnsi="Times New Roman"/>
          <w:sz w:val="18"/>
          <w:szCs w:val="18"/>
          <w:b w:val="1"/>
          <w:bCs w:val="1"/>
          <w:color w:val="auto"/>
        </w:rPr>
        <w:t>Distributed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then the Holder shall be entitled to participate in such distribution and receive the Distributed Property that such Holder would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receive in respect of such number of Warrant Shares had the Holder been the record holder of such Warrant Shares immediately prior to such record date without regard to any limitation on exercise contained therein, provided however, to the extent that the Holder’s right to participate in any such distribution would result in the Holder exceeding the ownership limitation set forth in Section 11(a) hereof,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the earlier of (i) such time, if ever, as the delivery to such Holder of such portion would not result in the Holder exceeding the ownership limitation set forth in Section 11(a) hereof and (ii) such time as the Holder has exercised this Warrant.</w:t>
      </w:r>
    </w:p>
    <w:p>
      <w:pPr>
        <w:spacing w:after="0" w:line="191" w:lineRule="exact"/>
        <w:rPr>
          <w:rFonts w:ascii="Times New Roman" w:cs="Times New Roman" w:eastAsia="Times New Roman" w:hAnsi="Times New Roman"/>
          <w:sz w:val="18"/>
          <w:szCs w:val="18"/>
          <w:color w:val="auto"/>
        </w:rPr>
      </w:pPr>
    </w:p>
    <w:p>
      <w:pPr>
        <w:ind w:firstLine="987"/>
        <w:spacing w:after="0" w:line="251"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If, at any time while this Warrant is issued and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shares of Common Stock or any compulsory share exchange pursuant to which the shares of Common Stock are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(x)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or (y) prior to, simultaneously with or promptly following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 Notwithstanding the foregoing, in the event of a Fundamental Transaction where the consideration payable to holders of shares of Common Stock consists solely of cash, solely of Marketable Securities or a combination of cash and Marketable Securities, then this Warrant shall automatically be deemed to be exercised in full in a “cashless exercise” pursuant to Section 10 below effective immediately prior to and contingent upon the consummation of such Fundamental Transaction.</w:t>
      </w:r>
    </w:p>
    <w:p>
      <w:pPr>
        <w:spacing w:after="0" w:line="203"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(including any adjustment to the Exercise Price that would have been effected but for the final sentence in this paragraph (d)),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shares of Common Stock then in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020"/>
          </w:cols>
          <w:pgMar w:left="440" w:top="270" w:right="439" w:bottom="1440" w:gutter="0" w:footer="0" w:header="0"/>
        </w:sectPr>
      </w:pPr>
    </w:p>
    <w:bookmarkStart w:id="56" w:name="page57"/>
    <w:bookmarkEnd w:id="5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one-millionth of one cent or the nearest share,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07" w:lineRule="exact"/>
        <w:rPr>
          <w:sz w:val="20"/>
          <w:szCs w:val="20"/>
          <w:color w:val="auto"/>
        </w:rPr>
      </w:pPr>
    </w:p>
    <w:p>
      <w:pPr>
        <w:ind w:right="160" w:firstLine="987"/>
        <w:spacing w:after="0" w:line="256" w:lineRule="auto"/>
        <w:tabs>
          <w:tab w:leader="none" w:pos="12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187" w:lineRule="exact"/>
        <w:rPr>
          <w:rFonts w:ascii="Times New Roman" w:cs="Times New Roman" w:eastAsia="Times New Roman" w:hAnsi="Times New Roman"/>
          <w:sz w:val="18"/>
          <w:szCs w:val="18"/>
          <w:color w:val="auto"/>
        </w:rPr>
      </w:pPr>
    </w:p>
    <w:p>
      <w:pPr>
        <w:ind w:right="40" w:firstLine="987"/>
        <w:spacing w:after="0" w:line="253" w:lineRule="auto"/>
        <w:tabs>
          <w:tab w:leader="none" w:pos="121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issued and outstanding, the Company (i) declares a dividend or any other distribution of cash, securities or other property in respect of its shares of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shares of Common Stock in order to participate in or vote with respect to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to deliver such notice or any defect therein shall not affect the validity of the corporate action required to be described in such notice. In addition, if while this Warrant is issued and outstanding, the Company authorizes, approves or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then, except if such notice and the contents thereof shall be deemed to constitute material non-public information, the Company shall deliver to the Holder a notice of such Fundamental Transaction at least ten (10) days prior to the date such Fundamental Transaction is consummated.</w:t>
      </w:r>
    </w:p>
    <w:p>
      <w:pPr>
        <w:spacing w:after="0" w:line="185" w:lineRule="exact"/>
        <w:rPr>
          <w:rFonts w:ascii="Times New Roman" w:cs="Times New Roman" w:eastAsia="Times New Roman" w:hAnsi="Times New Roman"/>
          <w:sz w:val="18"/>
          <w:szCs w:val="18"/>
          <w:color w:val="auto"/>
        </w:rPr>
      </w:pPr>
    </w:p>
    <w:p>
      <w:pPr>
        <w:ind w:right="400" w:firstLine="436"/>
        <w:spacing w:after="0" w:line="268" w:lineRule="auto"/>
        <w:tabs>
          <w:tab w:leader="none" w:pos="71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its 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equals the number of Warrant Shares to be issued to the Holder;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equals the total number of Warrant Shares with respect to which this Warrant is then being exercised;</w:t>
      </w:r>
    </w:p>
    <w:p>
      <w:pPr>
        <w:spacing w:after="0" w:line="22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equals the last VWAP immediately preceding the time of delivery of the Exercise Notice giving rise to the applicable “cashless exercise,” as set forth in the applicable Exercise Notice (to clarify, the “last VWAP” will be the last VWAP as calculated over an entire Trading Day such that, in the event that this Warrant is exercised at a time that the Principal Trading Market is open, the prior Trading Day’s VWAP shall be used in this calculation);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equals the Exercise Price per Warrant Share then in effect on the Exercise Date.</w:t>
      </w:r>
    </w:p>
    <w:p>
      <w:pPr>
        <w:spacing w:after="0" w:line="22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such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w:t>
      </w:r>
    </w:p>
    <w:p>
      <w:pPr>
        <w:spacing w:after="0" w:line="180" w:lineRule="exact"/>
        <w:rPr>
          <w:sz w:val="20"/>
          <w:szCs w:val="20"/>
          <w:color w:val="auto"/>
        </w:rPr>
      </w:pPr>
    </w:p>
    <w:p>
      <w:pPr>
        <w:jc w:val="center"/>
        <w:ind w:left="540" w:right="340"/>
        <w:spacing w:after="0" w:line="454"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(payment of cash in lieu of fractional shares), in no event will the exercise of this Warrant be settled in cash. B-6</w:t>
      </w:r>
    </w:p>
    <w:p>
      <w:pPr>
        <w:sectPr>
          <w:pgSz w:w="11900" w:h="16838" w:orient="portrait"/>
          <w:cols w:equalWidth="0" w:num="1">
            <w:col w:w="10920"/>
          </w:cols>
          <w:pgMar w:left="440" w:top="270" w:right="539" w:bottom="1440" w:gutter="0" w:footer="0" w:header="0"/>
        </w:sectPr>
      </w:pPr>
    </w:p>
    <w:bookmarkStart w:id="57" w:name="page58"/>
    <w:bookmarkEnd w:id="57"/>
    <w:p>
      <w:pPr>
        <w:ind w:left="704" w:hanging="264"/>
        <w:spacing w:after="0"/>
        <w:tabs>
          <w:tab w:leader="none" w:pos="704"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LIMITATIONS ON EXERCISE.</w:t>
      </w:r>
    </w:p>
    <w:p>
      <w:pPr>
        <w:spacing w:after="0" w:line="229" w:lineRule="exact"/>
        <w:rPr>
          <w:rFonts w:ascii="Times New Roman" w:cs="Times New Roman" w:eastAsia="Times New Roman" w:hAnsi="Times New Roman"/>
          <w:sz w:val="18"/>
          <w:szCs w:val="18"/>
          <w:b w:val="1"/>
          <w:bCs w:val="1"/>
          <w:color w:val="auto"/>
        </w:rPr>
      </w:pPr>
    </w:p>
    <w:p>
      <w:pPr>
        <w:ind w:left="4" w:firstLine="987"/>
        <w:spacing w:after="0" w:line="266" w:lineRule="auto"/>
        <w:tabs>
          <w:tab w:leader="none" w:pos="1240" w:val="left"/>
        </w:tabs>
        <w:numPr>
          <w:ilvl w:val="2"/>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other Persons whose beneficial ownership of shares of Common Stock would be aggregated with the Holder’s for purposes of Section 13(d) of the Exchange Act (such as any other members of a Section 13(d) “group”), to exceed [4.99%] [9.99%]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of the total number of issued and outstanding shares of Common Stock of the Company following such exercise, or (ii) the combined voting power of the securities of the Company beneficially owned by the Holder and its Affiliates and any other Persons whose beneficial ownership of shares of Common Stock would be aggregated with the Holder’s for purposes of Section 13(d) of the Exchange Act (such as any other members of a Section 13(d) “group”) to exceed [4.99%] [9.99%] of the combined voting power of all of the securities of the Company then outstanding following such exercise.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filed with the Commission prior to the date hereof, (y) a more recent public announcement by the Company or (z) any other notice by the Company or its Transfer Agent setting forth the number of shares of Common Stock outstanding. Upon the written request of the Holder, the Company shall within two</w:t>
      </w:r>
    </w:p>
    <w:p>
      <w:pPr>
        <w:spacing w:after="0" w:line="9" w:lineRule="exact"/>
        <w:rPr>
          <w:rFonts w:ascii="Times New Roman" w:cs="Times New Roman" w:eastAsia="Times New Roman" w:hAnsi="Times New Roman"/>
          <w:sz w:val="17"/>
          <w:szCs w:val="17"/>
          <w:color w:val="auto"/>
        </w:rPr>
      </w:pPr>
    </w:p>
    <w:p>
      <w:pPr>
        <w:jc w:val="both"/>
        <w:ind w:left="4" w:hanging="4"/>
        <w:spacing w:after="0" w:line="250" w:lineRule="auto"/>
        <w:tabs>
          <w:tab w:leader="none" w:pos="25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not in excess of</w:t>
      </w:r>
    </w:p>
    <w:p>
      <w:pPr>
        <w:spacing w:after="0" w:line="1" w:lineRule="exact"/>
        <w:rPr>
          <w:rFonts w:ascii="Times New Roman" w:cs="Times New Roman" w:eastAsia="Times New Roman" w:hAnsi="Times New Roman"/>
          <w:sz w:val="18"/>
          <w:szCs w:val="18"/>
          <w:color w:val="auto"/>
        </w:rPr>
      </w:pPr>
    </w:p>
    <w:p>
      <w:pPr>
        <w:ind w:left="4"/>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19.99% specified in such notice; provided that any such increase will not be effective until the sixty-first (61st) day after such notice is delivered to the Company. For purposes of this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 the aggregate number of shares of Common Stock or voting securities beneficially owned by the Holder and its Affiliates and any other Persons whose beneficial ownership of shares of Common Stock would be aggregated with the Holder’s for purposes of Section 13(d) of the Exchange Act (such as any other members of a Section 13(d) “group”)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shares of Common Stock, including, without limitation, any debt, preferred stock, right, option, warrant or other instrument that is at any time convertible into or exercisable or exchangeable for, or otherwise entitles the holder thereof to receive, shares of Common Stock), is subject to a limitation on conversion or exercise analogous to the limitation contained herein and is beneficially owned by the Holder or any of its Affiliates and other Persons whose beneficial ownership of shares of Common Stock would be aggregated with the Holder’s for purposes of Section 13(d) of the Exchange Act (such as any other member of a Section 13(d) “group”).</w:t>
      </w:r>
    </w:p>
    <w:p>
      <w:pPr>
        <w:spacing w:after="0" w:line="179" w:lineRule="exact"/>
        <w:rPr>
          <w:rFonts w:ascii="Times New Roman" w:cs="Times New Roman" w:eastAsia="Times New Roman" w:hAnsi="Times New Roman"/>
          <w:sz w:val="18"/>
          <w:szCs w:val="18"/>
          <w:color w:val="auto"/>
        </w:rPr>
      </w:pPr>
    </w:p>
    <w:p>
      <w:pPr>
        <w:ind w:left="4" w:right="240" w:firstLine="987"/>
        <w:spacing w:after="0" w:line="266" w:lineRule="auto"/>
        <w:tabs>
          <w:tab w:leader="none" w:pos="125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that a Holder may receive or beneficially own in order to determine the amount of securities or other consideration that such Holder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w:t>
      </w:r>
    </w:p>
    <w:p>
      <w:pPr>
        <w:spacing w:after="0" w:line="171" w:lineRule="exact"/>
        <w:rPr>
          <w:rFonts w:ascii="Times New Roman" w:cs="Times New Roman" w:eastAsia="Times New Roman" w:hAnsi="Times New Roman"/>
          <w:sz w:val="18"/>
          <w:szCs w:val="18"/>
          <w:color w:val="auto"/>
        </w:rPr>
      </w:pPr>
    </w:p>
    <w:p>
      <w:pPr>
        <w:ind w:left="4" w:right="140" w:firstLine="436"/>
        <w:spacing w:after="0" w:line="262" w:lineRule="auto"/>
        <w:tabs>
          <w:tab w:leader="none" w:pos="714"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fractional shares that would otherwise be issuable, the number of Warrant Shares to be issued shall be rounded down to the next whole number and the Company shall pay the Holder in cash the fair market value (based on the last VWAP immediately preceding the time of delivery of the applicable Exercise Notice) for any such fractional shares.</w:t>
      </w:r>
    </w:p>
    <w:p>
      <w:pPr>
        <w:spacing w:after="0" w:line="176" w:lineRule="exact"/>
        <w:rPr>
          <w:rFonts w:ascii="Times New Roman" w:cs="Times New Roman" w:eastAsia="Times New Roman" w:hAnsi="Times New Roman"/>
          <w:sz w:val="18"/>
          <w:szCs w:val="18"/>
          <w:b w:val="1"/>
          <w:bCs w:val="1"/>
          <w:color w:val="auto"/>
        </w:rPr>
      </w:pPr>
    </w:p>
    <w:p>
      <w:pPr>
        <w:ind w:left="4" w:right="60" w:firstLine="436"/>
        <w:spacing w:after="0" w:line="259" w:lineRule="auto"/>
        <w:tabs>
          <w:tab w:leader="none" w:pos="714"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and shall be deemed given and effective on the earliest of (i) the date of transmission, if such notice or communication is delivered via confirmed e-mail prior to 5:30 P.M., New York City time, on a Trading Day, (ii) the next Trading Day after the date of transmission, if such notice or communication is delivered via confirmed e-mail on a day that is not a Trading Day or later than 5:30 P.M., New York City time, on any Trading Day, (iii) the Trading Day following the date of mailing, if sent by nationally recognized overnight courier</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0984"/>
          </w:cols>
          <w:pgMar w:left="436" w:top="266"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 specifying next business day delivery, or (iv) upon actual receipt by the Person to whom such notice is required to be given, if by hand delivery.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addresses and e-mail addresses such communications shall be: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15440 Laguna Canyon Road, Suite 160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Irvine, California 92618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Gunderson Dettmer Stough Villeneuve Franklin &amp; Hachigian,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3570 Carmel Mountain Road, Suite 200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Diego, California 92130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Ryan Gunderson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Holder, to its address or email address set forth herein or on the books and records of the Company</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Or, in each of the above instances, to such other address or e-mail address as the recipient party has specified by written notice given to each other party at least five (5) days prior to the effectiveness of such change.</w:t>
      </w:r>
    </w:p>
    <w:p>
      <w:pPr>
        <w:spacing w:after="0" w:line="158" w:lineRule="exact"/>
        <w:rPr>
          <w:sz w:val="20"/>
          <w:szCs w:val="20"/>
          <w:color w:val="auto"/>
        </w:rPr>
      </w:pPr>
    </w:p>
    <w:p>
      <w:pPr>
        <w:ind w:firstLine="436"/>
        <w:spacing w:after="0" w:line="257" w:lineRule="auto"/>
        <w:tabs>
          <w:tab w:leader="none" w:pos="71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The Company shall initially serve as warrant agent under this Warrant. Upon ten (10) days’ notice to the Holder,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stockholders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2"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40" w:firstLine="987"/>
        <w:spacing w:after="0" w:line="254" w:lineRule="auto"/>
        <w:tabs>
          <w:tab w:leader="none" w:pos="123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91" w:lineRule="exact"/>
        <w:rPr>
          <w:rFonts w:ascii="Times New Roman" w:cs="Times New Roman" w:eastAsia="Times New Roman" w:hAnsi="Times New Roman"/>
          <w:sz w:val="18"/>
          <w:szCs w:val="18"/>
          <w:color w:val="auto"/>
        </w:rPr>
      </w:pPr>
    </w:p>
    <w:p>
      <w:pPr>
        <w:ind w:right="100" w:firstLine="987"/>
        <w:spacing w:after="0" w:line="253" w:lineRule="auto"/>
        <w:tabs>
          <w:tab w:leader="none" w:pos="12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amending its certificate or articles of incorporation or through any reorganization, transfer of assets, consolidation, merger, amalgamation,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000"/>
          </w:cols>
          <w:pgMar w:left="440" w:top="270" w:right="459" w:bottom="1440" w:gutter="0" w:footer="0" w:header="0"/>
        </w:sectPr>
      </w:pPr>
    </w:p>
    <w:bookmarkStart w:id="59" w:name="page60"/>
    <w:bookmarkEnd w:id="59"/>
    <w:p>
      <w:pPr>
        <w:ind w:left="-20" w:right="100" w:firstLine="987"/>
        <w:spacing w:after="0" w:line="256" w:lineRule="auto"/>
        <w:tabs>
          <w:tab w:leader="none" w:pos="121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87" w:lineRule="exact"/>
        <w:rPr>
          <w:rFonts w:ascii="Times New Roman" w:cs="Times New Roman" w:eastAsia="Times New Roman" w:hAnsi="Times New Roman"/>
          <w:sz w:val="18"/>
          <w:szCs w:val="18"/>
          <w:color w:val="auto"/>
        </w:rPr>
      </w:pPr>
    </w:p>
    <w:p>
      <w:pPr>
        <w:ind w:left="-20" w:right="420" w:firstLine="987"/>
        <w:spacing w:after="0" w:line="282" w:lineRule="auto"/>
        <w:tabs>
          <w:tab w:leader="none" w:pos="122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this Warrant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ind w:left="-20" w:right="460" w:firstLine="987"/>
        <w:spacing w:after="0" w:line="282" w:lineRule="auto"/>
        <w:tabs>
          <w:tab w:leader="none" w:pos="121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161" w:lineRule="exact"/>
        <w:rPr>
          <w:rFonts w:ascii="Times New Roman" w:cs="Times New Roman" w:eastAsia="Times New Roman" w:hAnsi="Times New Roman"/>
          <w:sz w:val="18"/>
          <w:szCs w:val="18"/>
          <w:color w:val="auto"/>
        </w:rPr>
      </w:pPr>
    </w:p>
    <w:p>
      <w:pPr>
        <w:ind w:left="-20" w:right="80" w:firstLine="987"/>
        <w:spacing w:after="0" w:line="252" w:lineRule="auto"/>
        <w:tabs>
          <w:tab w:leader="none" w:pos="11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5" w:lineRule="exact"/>
        <w:rPr>
          <w:rFonts w:ascii="Times New Roman" w:cs="Times New Roman" w:eastAsia="Times New Roman" w:hAnsi="Times New Roman"/>
          <w:sz w:val="18"/>
          <w:szCs w:val="18"/>
          <w:color w:val="auto"/>
        </w:rPr>
      </w:pPr>
    </w:p>
    <w:p>
      <w:pPr>
        <w:ind w:left="-20" w:right="260" w:firstLine="987"/>
        <w:spacing w:after="0" w:line="282" w:lineRule="auto"/>
        <w:tabs>
          <w:tab w:leader="none" w:pos="122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left="-20" w:firstLine="987"/>
        <w:spacing w:after="0" w:line="261" w:lineRule="auto"/>
        <w:tabs>
          <w:tab w:leader="none" w:pos="122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0980"/>
          </w:cols>
          <w:pgMar w:left="460" w:top="270"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0480"/>
          </w:cols>
          <w:pgMar w:left="880" w:top="270" w:right="539" w:bottom="1440" w:gutter="0" w:footer="0" w:header="0"/>
        </w:sectPr>
      </w:pPr>
    </w:p>
    <w:bookmarkStart w:id="61" w:name="page62"/>
    <w:bookmarkEnd w:id="61"/>
    <w:p>
      <w:pPr>
        <w:jc w:val="center"/>
        <w:ind w:right="-6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27" w:lineRule="exact"/>
        <w:rPr>
          <w:sz w:val="20"/>
          <w:szCs w:val="20"/>
          <w:color w:val="auto"/>
        </w:rPr>
      </w:pPr>
    </w:p>
    <w:p>
      <w:pPr>
        <w:ind w:left="424" w:right="460" w:hanging="424"/>
        <w:spacing w:after="0" w:line="286"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______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issued by Tarsus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6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______________Warrant Shares pursuant to the Warrant.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117" w:lineRule="exact"/>
        <w:rPr>
          <w:rFonts w:ascii="Times New Roman" w:cs="Times New Roman" w:eastAsia="Times New Roman" w:hAnsi="Times New Roman"/>
          <w:sz w:val="18"/>
          <w:szCs w:val="18"/>
          <w:color w:val="auto"/>
        </w:rPr>
      </w:pPr>
    </w:p>
    <w:p>
      <w:pPr>
        <w:ind w:left="2184" w:hanging="201"/>
        <w:spacing w:after="0"/>
        <w:tabs>
          <w:tab w:leader="none" w:pos="2184" w:val="left"/>
        </w:tabs>
        <w:numPr>
          <w:ilvl w:val="1"/>
          <w:numId w:val="6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117" w:lineRule="exact"/>
        <w:rPr>
          <w:rFonts w:ascii="MS PGothic" w:cs="MS PGothic" w:eastAsia="MS PGothic" w:hAnsi="MS PGothic"/>
          <w:sz w:val="18"/>
          <w:szCs w:val="18"/>
          <w:color w:val="auto"/>
        </w:rPr>
      </w:pPr>
    </w:p>
    <w:p>
      <w:pPr>
        <w:ind w:left="2184" w:hanging="201"/>
        <w:spacing w:after="0"/>
        <w:tabs>
          <w:tab w:leader="none" w:pos="2184" w:val="left"/>
        </w:tabs>
        <w:numPr>
          <w:ilvl w:val="1"/>
          <w:numId w:val="6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under Section 10 of the Warrant</w:t>
      </w:r>
    </w:p>
    <w:p>
      <w:pPr>
        <w:spacing w:after="0" w:line="130" w:lineRule="exact"/>
        <w:rPr>
          <w:rFonts w:ascii="MS PGothic" w:cs="MS PGothic" w:eastAsia="MS PGothic" w:hAnsi="MS PGothic"/>
          <w:sz w:val="18"/>
          <w:szCs w:val="18"/>
          <w:color w:val="auto"/>
        </w:rPr>
      </w:pPr>
    </w:p>
    <w:p>
      <w:pPr>
        <w:ind w:left="424" w:right="40" w:hanging="424"/>
        <w:spacing w:after="0" w:line="282"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$______ in immediately available funds to the Company in accordance with the terms of the Warrant.</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 The Warrant Shares shall be delivered to the following DWAC Account Number:</w:t>
      </w:r>
    </w:p>
    <w:p>
      <w:pPr>
        <w:spacing w:after="0" w:line="67"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w:t>
      </w:r>
    </w:p>
    <w:p>
      <w:pPr>
        <w:spacing w:after="0" w:line="203" w:lineRule="exact"/>
        <w:rPr>
          <w:sz w:val="20"/>
          <w:szCs w:val="20"/>
          <w:color w:val="auto"/>
        </w:rPr>
      </w:pPr>
    </w:p>
    <w:p>
      <w:pPr>
        <w:ind w:left="634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17145</wp:posOffset>
            </wp:positionV>
            <wp:extent cx="26574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5" w:lineRule="exact"/>
        <w:rPr>
          <w:sz w:val="20"/>
          <w:szCs w:val="20"/>
          <w:color w:val="auto"/>
        </w:rPr>
      </w:pPr>
    </w:p>
    <w:p>
      <w:pPr>
        <w:ind w:left="5604"/>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17145</wp:posOffset>
            </wp:positionV>
            <wp:extent cx="26574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17145</wp:posOffset>
            </wp:positionV>
            <wp:extent cx="26574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5" w:lineRule="exact"/>
        <w:rPr>
          <w:sz w:val="20"/>
          <w:szCs w:val="20"/>
          <w:color w:val="auto"/>
        </w:rPr>
      </w:pPr>
    </w:p>
    <w:p>
      <w:pPr>
        <w:ind w:left="634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17145</wp:posOffset>
            </wp:positionV>
            <wp:extent cx="26574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05" w:lineRule="exact"/>
        <w:rPr>
          <w:sz w:val="20"/>
          <w:szCs w:val="20"/>
          <w:color w:val="auto"/>
        </w:rPr>
      </w:pPr>
    </w:p>
    <w:p>
      <w:pPr>
        <w:ind w:left="644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17145</wp:posOffset>
            </wp:positionV>
            <wp:extent cx="26574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1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0964"/>
          </w:cols>
          <w:pgMar w:left="436" w:top="270" w:right="4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WARRANT TO PURCHASE SHARES OF COMMON STOCK</w:t>
      </w:r>
    </w:p>
    <w:p>
      <w:pPr>
        <w:spacing w:after="0" w:line="229" w:lineRule="exact"/>
        <w:rPr>
          <w:sz w:val="20"/>
          <w:szCs w:val="20"/>
          <w:color w:val="auto"/>
        </w:rPr>
      </w:pPr>
    </w:p>
    <w:p>
      <w:pPr>
        <w:ind w:left="9424"/>
        <w:spacing w:after="0"/>
        <w:rPr>
          <w:sz w:val="20"/>
          <w:szCs w:val="20"/>
          <w:color w:val="auto"/>
        </w:rPr>
      </w:pPr>
      <w:r>
        <w:rPr>
          <w:rFonts w:ascii="Times New Roman" w:cs="Times New Roman" w:eastAsia="Times New Roman" w:hAnsi="Times New Roman"/>
          <w:sz w:val="18"/>
          <w:szCs w:val="18"/>
          <w:color w:val="auto"/>
        </w:rPr>
        <w:t>Number of Shares: [•]</w:t>
      </w:r>
    </w:p>
    <w:p>
      <w:pPr>
        <w:spacing w:after="0" w:line="27" w:lineRule="exact"/>
        <w:rPr>
          <w:sz w:val="20"/>
          <w:szCs w:val="20"/>
          <w:color w:val="auto"/>
        </w:rPr>
      </w:pPr>
    </w:p>
    <w:p>
      <w:pPr>
        <w:ind w:left="9364"/>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229" w:lineRule="exact"/>
        <w:rPr>
          <w:sz w:val="20"/>
          <w:szCs w:val="20"/>
          <w:color w:val="auto"/>
        </w:rPr>
      </w:pPr>
    </w:p>
    <w:p>
      <w:pPr>
        <w:ind w:left="4"/>
        <w:spacing w:after="0"/>
        <w:tabs>
          <w:tab w:leader="none" w:pos="7964" w:val="left"/>
        </w:tabs>
        <w:rPr>
          <w:sz w:val="20"/>
          <w:szCs w:val="20"/>
          <w:color w:val="auto"/>
        </w:rPr>
      </w:pPr>
      <w:r>
        <w:rPr>
          <w:rFonts w:ascii="Times New Roman" w:cs="Times New Roman" w:eastAsia="Times New Roman" w:hAnsi="Times New Roman"/>
          <w:sz w:val="18"/>
          <w:szCs w:val="18"/>
          <w:color w:val="auto"/>
        </w:rPr>
        <w:t>Warrant No. CS-[•]</w:t>
      </w:r>
      <w:r>
        <w:rPr>
          <w:sz w:val="20"/>
          <w:szCs w:val="20"/>
          <w:color w:val="auto"/>
        </w:rPr>
        <w:tab/>
      </w:r>
      <w:r>
        <w:rPr>
          <w:rFonts w:ascii="Times New Roman" w:cs="Times New Roman" w:eastAsia="Times New Roman" w:hAnsi="Times New Roman"/>
          <w:sz w:val="19"/>
          <w:szCs w:val="19"/>
          <w:color w:val="auto"/>
        </w:rPr>
        <w:t>Original Issue Date: March [   ], 2024</w:t>
      </w:r>
    </w:p>
    <w:p>
      <w:pPr>
        <w:spacing w:after="0" w:line="22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Tarsus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sufficiency of which are hereby acknowledged, [•] or its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the Company up to a total of [•] shares of common stock, $0.0001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(each such share,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Warrant Share</w:t>
      </w:r>
      <w:r>
        <w:rPr>
          <w:rFonts w:ascii="Times New Roman" w:cs="Times New Roman" w:eastAsia="Times New Roman" w:hAnsi="Times New Roman"/>
          <w:sz w:val="17"/>
          <w:szCs w:val="17"/>
          <w:color w:val="auto"/>
        </w:rPr>
        <w:t>” and all such shares, the “</w:t>
      </w:r>
      <w:r>
        <w:rPr>
          <w:rFonts w:ascii="Times New Roman" w:cs="Times New Roman" w:eastAsia="Times New Roman" w:hAnsi="Times New Roman"/>
          <w:sz w:val="17"/>
          <w:szCs w:val="17"/>
          <w:b w:val="1"/>
          <w:bCs w:val="1"/>
          <w:color w:val="auto"/>
        </w:rPr>
        <w:t>Warrant Shares</w:t>
      </w:r>
      <w:r>
        <w:rPr>
          <w:rFonts w:ascii="Times New Roman" w:cs="Times New Roman" w:eastAsia="Times New Roman" w:hAnsi="Times New Roman"/>
          <w:sz w:val="17"/>
          <w:szCs w:val="17"/>
          <w:color w:val="auto"/>
        </w:rPr>
        <w:t>”) at an exercise price per share equal to $0.0001 per share (as adjusted from time to time as</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upon surrender of this Warrant to Purchase Shares of Common Stock (including any Warrants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Purchase Shares of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and from time to time on or after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hereof (the “</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and subject to the following terms and conditions:</w:t>
      </w:r>
    </w:p>
    <w:p>
      <w:pPr>
        <w:spacing w:after="0" w:line="95" w:lineRule="exact"/>
        <w:rPr>
          <w:sz w:val="20"/>
          <w:szCs w:val="20"/>
          <w:color w:val="auto"/>
        </w:rPr>
      </w:pPr>
    </w:p>
    <w:p>
      <w:pPr>
        <w:ind w:left="624" w:hanging="184"/>
        <w:spacing w:after="0"/>
        <w:tabs>
          <w:tab w:leader="none" w:pos="624"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117" w:lineRule="exact"/>
        <w:rPr>
          <w:rFonts w:ascii="Times New Roman" w:cs="Times New Roman" w:eastAsia="Times New Roman" w:hAnsi="Times New Roman"/>
          <w:sz w:val="18"/>
          <w:szCs w:val="18"/>
          <w:b w:val="1"/>
          <w:bCs w:val="1"/>
          <w:color w:val="auto"/>
        </w:rPr>
      </w:pPr>
    </w:p>
    <w:p>
      <w:pPr>
        <w:ind w:left="4" w:right="40" w:firstLine="987"/>
        <w:spacing w:after="0" w:line="257" w:lineRule="auto"/>
        <w:tabs>
          <w:tab w:leader="none" w:pos="124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directly or indirectly controlled by, controlling, or under common control with, a Holder, as such terms are used in and construed under Rule 405 under the Securities Act,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w:t>
      </w:r>
    </w:p>
    <w:p>
      <w:pPr>
        <w:spacing w:after="0" w:line="182"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4" w:right="80" w:firstLine="987"/>
        <w:spacing w:after="0" w:line="253" w:lineRule="auto"/>
        <w:tabs>
          <w:tab w:leader="none" w:pos="125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Exchange Act, and is then current in its filing of all required reports and other information under the Securities Act and the Exchange Act; (ii) the class and series of shares or other security of the issuer that would be received by Holder in connection with the Fundamental Transaction (as defined below), were Holder to exercise this Warrant on or prior to the closing thereof, is then traded or quoted on a nationally recognized securities exchange, inter-dealer quotation system or over-the-counter market, and (iii) following the closing of such Fundamental Transaction, the Holder would not be restricted from publicly re-selling all of the issuer’s shares and/or other securities that would be received by the Holder in such Fundamental Transaction were the Holder to exercise or convert this Warrant in full on or prior to the closing of such Fundamental Transaction, except to the extent that any such restriction (x) arises solely under federal or state securities laws, rules or regulations, and</w:t>
      </w:r>
    </w:p>
    <w:p>
      <w:pPr>
        <w:spacing w:after="0" w:line="4"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extend beyond six (6) months from the closing of such Fundamental Transaction.</w:t>
      </w:r>
    </w:p>
    <w:p>
      <w:pPr>
        <w:spacing w:after="0" w:line="202" w:lineRule="exact"/>
        <w:rPr>
          <w:rFonts w:ascii="Times New Roman" w:cs="Times New Roman" w:eastAsia="Times New Roman" w:hAnsi="Times New Roman"/>
          <w:sz w:val="18"/>
          <w:szCs w:val="18"/>
          <w:color w:val="auto"/>
        </w:rPr>
      </w:pPr>
    </w:p>
    <w:p>
      <w:pPr>
        <w:ind w:left="4" w:right="60" w:firstLine="987"/>
        <w:spacing w:after="0" w:line="286" w:lineRule="auto"/>
        <w:tabs>
          <w:tab w:leader="none" w:pos="12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and quoted for trading, which, as of the Original Issue Date, shall be The Nasdaq Global Select Market.</w:t>
      </w:r>
    </w:p>
    <w:p>
      <w:pPr>
        <w:spacing w:after="0" w:line="154" w:lineRule="exact"/>
        <w:rPr>
          <w:rFonts w:ascii="Times New Roman" w:cs="Times New Roman" w:eastAsia="Times New Roman" w:hAnsi="Times New Roman"/>
          <w:sz w:val="18"/>
          <w:szCs w:val="18"/>
          <w:color w:val="auto"/>
        </w:rPr>
      </w:pPr>
    </w:p>
    <w:p>
      <w:pPr>
        <w:ind w:left="4" w:right="540" w:firstLine="987"/>
        <w:spacing w:after="0" w:line="286" w:lineRule="auto"/>
        <w:tabs>
          <w:tab w:leader="none" w:pos="122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Company’s Registration Statement on Form S-3 (File No. 333-277523), that automatically became effective on February 29, 2024.</w:t>
      </w:r>
    </w:p>
    <w:p>
      <w:pPr>
        <w:sectPr>
          <w:pgSz w:w="11900" w:h="16838" w:orient="portrait"/>
          <w:cols w:equalWidth="0" w:num="1">
            <w:col w:w="11024"/>
          </w:cols>
          <w:pgMar w:left="436" w:top="117" w:right="439" w:bottom="1440" w:gutter="0" w:footer="0" w:header="0"/>
        </w:sectPr>
      </w:pPr>
    </w:p>
    <w:bookmarkStart w:id="63" w:name="page64"/>
    <w:bookmarkEnd w:id="63"/>
    <w:p>
      <w:pPr>
        <w:ind w:left="804" w:hanging="253"/>
        <w:spacing w:after="0"/>
        <w:tabs>
          <w:tab w:leader="none" w:pos="8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left="-436" w:right="40" w:firstLine="987"/>
        <w:spacing w:after="0" w:line="268" w:lineRule="auto"/>
        <w:tabs>
          <w:tab w:leader="none" w:pos="81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Principal Trading Market is open for trading. If the shares of Common Stock are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w:t>
      </w:r>
    </w:p>
    <w:p>
      <w:pPr>
        <w:spacing w:after="0" w:line="170" w:lineRule="exact"/>
        <w:rPr>
          <w:rFonts w:ascii="Times New Roman" w:cs="Times New Roman" w:eastAsia="Times New Roman" w:hAnsi="Times New Roman"/>
          <w:sz w:val="18"/>
          <w:szCs w:val="18"/>
          <w:color w:val="auto"/>
        </w:rPr>
      </w:pPr>
    </w:p>
    <w:p>
      <w:pPr>
        <w:ind w:left="-436" w:firstLine="987"/>
        <w:spacing w:after="0" w:line="286" w:lineRule="auto"/>
        <w:tabs>
          <w:tab w:leader="none" w:pos="77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54" w:lineRule="exact"/>
        <w:rPr>
          <w:rFonts w:ascii="Times New Roman" w:cs="Times New Roman" w:eastAsia="Times New Roman" w:hAnsi="Times New Roman"/>
          <w:sz w:val="18"/>
          <w:szCs w:val="18"/>
          <w:color w:val="auto"/>
        </w:rPr>
      </w:pPr>
    </w:p>
    <w:p>
      <w:pPr>
        <w:ind w:left="-436" w:right="60" w:firstLine="987"/>
        <w:spacing w:after="0" w:line="254" w:lineRule="auto"/>
        <w:tabs>
          <w:tab w:leader="none" w:pos="77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(i) if the Common Stock is then listed or quoted on a national securities exchange or other trading market, the daily volume weighted average price of the Common Stock for such date (or the nearest preceding date) on the Principal Trading Market as reported by Bloomberg L.P. (based on a Trading Day from 9:30 a.m. (New York City time) to 4:02 p.m. (New York City time)), (ii) if the Common Stock is then listed or quoted for trading and neither OTCQB nor OTCQX is the Principal Trading Market, the volume weighted average price of the Common Stock for such date (or the nearest preceding date) on OTCQB or OTCQX, as applicable, (iii) if the Common Stock is not then listed or quoted for trading on OTCQB or OTCQX and if prices for the Common Stock are then reported in the “</w:t>
      </w:r>
      <w:r>
        <w:rPr>
          <w:rFonts w:ascii="Times New Roman" w:cs="Times New Roman" w:eastAsia="Times New Roman" w:hAnsi="Times New Roman"/>
          <w:sz w:val="18"/>
          <w:szCs w:val="18"/>
          <w:b w:val="1"/>
          <w:bCs w:val="1"/>
          <w:color w:val="auto"/>
        </w:rPr>
        <w:t>Pink Sheets</w:t>
      </w:r>
      <w:r>
        <w:rPr>
          <w:rFonts w:ascii="Times New Roman" w:cs="Times New Roman" w:eastAsia="Times New Roman" w:hAnsi="Times New Roman"/>
          <w:sz w:val="18"/>
          <w:szCs w:val="18"/>
          <w:color w:val="auto"/>
        </w:rPr>
        <w:t>” published by OTC Markets Group, Inc. (or a similar organization or agency succeeding to its functions of reporting prices), the most recent bid price per share of the Common Stock so reported, or (iv) in all other cases, the fair market value of a share of Common Stock as determined by an independent appraiser selected in good faith by the Holder and reasonably acceptable to the Company, the fees and expenses of which shall be paid by the Company.</w:t>
      </w:r>
    </w:p>
    <w:p>
      <w:pPr>
        <w:spacing w:after="0" w:line="185" w:lineRule="exact"/>
        <w:rPr>
          <w:rFonts w:ascii="Times New Roman" w:cs="Times New Roman" w:eastAsia="Times New Roman" w:hAnsi="Times New Roman"/>
          <w:sz w:val="18"/>
          <w:szCs w:val="18"/>
          <w:color w:val="auto"/>
        </w:rPr>
      </w:pPr>
    </w:p>
    <w:p>
      <w:pPr>
        <w:ind w:left="-436" w:firstLine="436"/>
        <w:spacing w:after="0" w:line="255" w:lineRule="auto"/>
        <w:tabs>
          <w:tab w:leader="none" w:pos="18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SECURITIES; REGISTRATION OF WARRANTS</w:t>
      </w:r>
      <w:r>
        <w:rPr>
          <w:rFonts w:ascii="Times New Roman" w:cs="Times New Roman" w:eastAsia="Times New Roman" w:hAnsi="Times New Roman"/>
          <w:sz w:val="18"/>
          <w:szCs w:val="18"/>
          <w:color w:val="auto"/>
        </w:rPr>
        <w:t>. The Warrant, as initially issued by the Company, is offered and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Exchange Act as in effect on the Original Issue Date, the Warrant Shares, are not “restricted securities” under Rule 144 promulgated under the Securities Act. The Company shall register this Warrant, upon records to be maintained by the 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4" w:lineRule="exact"/>
        <w:rPr>
          <w:rFonts w:ascii="Times New Roman" w:cs="Times New Roman" w:eastAsia="Times New Roman" w:hAnsi="Times New Roman"/>
          <w:sz w:val="18"/>
          <w:szCs w:val="18"/>
          <w:b w:val="1"/>
          <w:bCs w:val="1"/>
          <w:color w:val="auto"/>
        </w:rPr>
      </w:pPr>
    </w:p>
    <w:p>
      <w:pPr>
        <w:ind w:left="-436" w:firstLine="436"/>
        <w:spacing w:after="0" w:line="254" w:lineRule="auto"/>
        <w:tabs>
          <w:tab w:leader="none" w:pos="18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to, register the transfer of all or any portion of this Warrant in the Warrant Register, upon surrender of this Warrant, and payment for all applicable transfer taxes (if any). Upon any such registration or transfer, a new warrant to purchase shares of Common Stock in substantially the form of this Warrant (any such new warrant, a “</w:t>
      </w:r>
      <w:r>
        <w:rPr>
          <w:rFonts w:ascii="Times New Roman" w:cs="Times New Roman" w:eastAsia="Times New Roman" w:hAnsi="Times New Roman"/>
          <w:sz w:val="18"/>
          <w:szCs w:val="18"/>
          <w:b w:val="1"/>
          <w:b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of this Warrant for all purposes, and the Company shall not be affected by any notice to the contrary.</w:t>
      </w:r>
    </w:p>
    <w:p>
      <w:pPr>
        <w:spacing w:after="0" w:line="188"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AND DURATION OF WARRANTS.</w:t>
      </w:r>
    </w:p>
    <w:p>
      <w:pPr>
        <w:spacing w:after="0" w:line="229" w:lineRule="exact"/>
        <w:rPr>
          <w:rFonts w:ascii="Times New Roman" w:cs="Times New Roman" w:eastAsia="Times New Roman" w:hAnsi="Times New Roman"/>
          <w:sz w:val="18"/>
          <w:szCs w:val="18"/>
          <w:b w:val="1"/>
          <w:bCs w:val="1"/>
          <w:color w:val="auto"/>
        </w:rPr>
      </w:pPr>
    </w:p>
    <w:p>
      <w:pPr>
        <w:ind w:left="-436" w:right="140" w:firstLine="987"/>
        <w:spacing w:after="0" w:line="282" w:lineRule="auto"/>
        <w:tabs>
          <w:tab w:leader="none" w:pos="8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part of this Warrant shall be exercisable by the registered Holder in the manner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at any time and from time to time on or after the Original Issue Date.</w:t>
      </w:r>
    </w:p>
    <w:p>
      <w:pPr>
        <w:sectPr>
          <w:pgSz w:w="11900" w:h="16838" w:orient="portrait"/>
          <w:cols w:equalWidth="0" w:num="1">
            <w:col w:w="10564"/>
          </w:cols>
          <w:pgMar w:left="876" w:top="266" w:right="459" w:bottom="1440" w:gutter="0" w:footer="0" w:header="0"/>
        </w:sectPr>
      </w:pPr>
    </w:p>
    <w:bookmarkStart w:id="64" w:name="page65"/>
    <w:bookmarkEnd w:id="64"/>
    <w:p>
      <w:pPr>
        <w:ind w:left="-436" w:right="20" w:firstLine="987"/>
        <w:spacing w:after="0" w:line="254" w:lineRule="auto"/>
        <w:tabs>
          <w:tab w:leader="none" w:pos="81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OF WARRANT SHARES.</w:t>
      </w:r>
    </w:p>
    <w:p>
      <w:pPr>
        <w:spacing w:after="0" w:line="229" w:lineRule="exact"/>
        <w:rPr>
          <w:rFonts w:ascii="Times New Roman" w:cs="Times New Roman" w:eastAsia="Times New Roman" w:hAnsi="Times New Roman"/>
          <w:sz w:val="18"/>
          <w:szCs w:val="18"/>
          <w:b w:val="1"/>
          <w:bCs w:val="1"/>
          <w:color w:val="auto"/>
        </w:rPr>
      </w:pPr>
    </w:p>
    <w:p>
      <w:pPr>
        <w:ind w:left="-436" w:right="20" w:firstLine="987"/>
        <w:spacing w:after="0" w:line="254" w:lineRule="auto"/>
        <w:tabs>
          <w:tab w:leader="none" w:pos="8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two (2)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Agent Commission system, or if the Transfer Agent is not participating in the Fast Automated Securities Transfer Program (the “</w:t>
      </w:r>
      <w:r>
        <w:rPr>
          <w:rFonts w:ascii="Times New Roman" w:cs="Times New Roman" w:eastAsia="Times New Roman" w:hAnsi="Times New Roman"/>
          <w:sz w:val="18"/>
          <w:szCs w:val="18"/>
          <w:b w:val="1"/>
          <w:bCs w:val="1"/>
          <w:color w:val="auto"/>
        </w:rPr>
        <w:t>FAST Program</w:t>
      </w:r>
      <w:r>
        <w:rPr>
          <w:rFonts w:ascii="Times New Roman" w:cs="Times New Roman" w:eastAsia="Times New Roman" w:hAnsi="Times New Roman"/>
          <w:sz w:val="18"/>
          <w:szCs w:val="18"/>
          <w:color w:val="auto"/>
        </w:rPr>
        <w:t>”), issue and dispatch by overnight courier to the address as specified in the Exercise Notice, a certificate or book entry position, registered in the Company’s share register in the name of the Holder or its designee, for the number of shares of Common Stock to which the Holder is entitled pursuant to such exercise. The Holder, or any natural person or legal entity (each,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or book entry position evidencing such Warrant Shares, as the case may be.</w:t>
      </w:r>
    </w:p>
    <w:p>
      <w:pPr>
        <w:spacing w:after="0" w:line="188" w:lineRule="exact"/>
        <w:rPr>
          <w:rFonts w:ascii="Times New Roman" w:cs="Times New Roman" w:eastAsia="Times New Roman" w:hAnsi="Times New Roman"/>
          <w:sz w:val="18"/>
          <w:szCs w:val="18"/>
          <w:color w:val="auto"/>
        </w:rPr>
      </w:pPr>
    </w:p>
    <w:p>
      <w:pPr>
        <w:ind w:left="-436" w:firstLine="987"/>
        <w:spacing w:after="0" w:line="252" w:lineRule="auto"/>
        <w:tabs>
          <w:tab w:leader="none" w:pos="81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by the close of the second (2nd) Trading Day after the Exercise Date, the Company fails to deliver to the Holder a certificate representing the required number of Warrant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or fails to credit the Holder’s DTC account for such number of Warrant Shares to which the Holder is entitled, and if after such second (2nd) Trading Day and prior to the receipt of such Warrant Shares, the Holder purchases (in an open market transaction, provided such purchases shall be made in a commercially reasonable manner at prevailing market prices)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then the Company shall, within two Trading Days after the Holder’s request, (A) pay in cash to the Holder the amount, if any, by which (1) the Holder’s total purchase price (including commercially reasonable brokerage commissions, if any) for the shares of Common Stock purchased in the Buy-In exceeds (2) the product of (x) the number of Warrant Shares that the Company was required to deliver to the Holder in connection with the exercise at issue, multiplied by (y) the price at which the sell order giving rise to such purchase obligation was executed (assuming such sale was executed on commercially reasonable terms at prevailing market prices and, if the sale was executed in multiple transactions, the volume weighted average price), and (B) at the option of the Holder, either (1) reinstate the portion of the Warrant and equivalent number of Warrant Shares for which such exercise was not honored (in which case such exercise shall be deemed rescinded) or (2) deliver to the Holder the number of shares of Common Stock that would have been issued had the Company timely complied with its exercise and delivery obligations hereunder. The provisions of this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shall be the only remedy available to the Holder in the event the Company fails to deliver to the Holder the required number of Warrant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a Buy-In occurs. Irrespective of whether there is a Buy-In, no remedy shall be available, notwithstanding the requirements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unless and until the Company fails to deliver to the Holder the required number of Warrant Shares by the close of the second Trading Day after the Exercise Date.</w:t>
      </w:r>
    </w:p>
    <w:p>
      <w:pPr>
        <w:spacing w:after="0" w:line="193" w:lineRule="exact"/>
        <w:rPr>
          <w:rFonts w:ascii="Times New Roman" w:cs="Times New Roman" w:eastAsia="Times New Roman" w:hAnsi="Times New Roman"/>
          <w:sz w:val="18"/>
          <w:szCs w:val="18"/>
          <w:color w:val="auto"/>
        </w:rPr>
      </w:pPr>
    </w:p>
    <w:p>
      <w:pPr>
        <w:ind w:left="-436" w:right="40" w:firstLine="987"/>
        <w:spacing w:after="0" w:line="258" w:lineRule="auto"/>
        <w:tabs>
          <w:tab w:leader="none" w:pos="8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w:t>
      </w:r>
    </w:p>
    <w:p>
      <w:pPr>
        <w:sectPr>
          <w:pgSz w:w="11900" w:h="16838" w:orient="portrait"/>
          <w:cols w:equalWidth="0" w:num="1">
            <w:col w:w="10564"/>
          </w:cols>
          <w:pgMar w:left="876" w:top="270" w:right="459" w:bottom="1440" w:gutter="0" w:footer="0" w:header="0"/>
        </w:sectPr>
      </w:pPr>
    </w:p>
    <w:bookmarkStart w:id="65" w:name="page66"/>
    <w:bookmarkEnd w:id="6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certificates or a book entry position representing shares of Common Stock upon exercise of the Warrant as required pursuant to the terms hereof.</w:t>
      </w:r>
    </w:p>
    <w:p>
      <w:pPr>
        <w:spacing w:after="0" w:line="179" w:lineRule="exact"/>
        <w:rPr>
          <w:sz w:val="20"/>
          <w:szCs w:val="20"/>
          <w:color w:val="auto"/>
        </w:rPr>
      </w:pPr>
    </w:p>
    <w:p>
      <w:pPr>
        <w:ind w:right="100" w:firstLine="436"/>
        <w:spacing w:after="0" w:line="275" w:lineRule="auto"/>
        <w:tabs>
          <w:tab w:leader="none" w:pos="62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CHARGES, TAXES AND EXPENSES</w:t>
      </w:r>
      <w:r>
        <w:rPr>
          <w:rFonts w:ascii="Times New Roman" w:cs="Times New Roman" w:eastAsia="Times New Roman" w:hAnsi="Times New Roman"/>
          <w:sz w:val="17"/>
          <w:szCs w:val="17"/>
          <w:color w:val="auto"/>
        </w:rPr>
        <w:t>. Issuance and delivery of a certificate or book entry position for shares of Common Stock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exercise of this Warrant shall be made without charge to the Holder for any issue or transfer tax, transfer agent fee or other incidental tax or expense (excluding any applicable stamp duties) in respect of the issuance of such certificate or book entry shares, all of which taxes and expenses shall be paid by the Company; provided, however,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68" w:lineRule="exact"/>
        <w:rPr>
          <w:rFonts w:ascii="Times New Roman" w:cs="Times New Roman" w:eastAsia="Times New Roman" w:hAnsi="Times New Roman"/>
          <w:sz w:val="17"/>
          <w:szCs w:val="17"/>
          <w:b w:val="1"/>
          <w:bCs w:val="1"/>
          <w:color w:val="auto"/>
        </w:rPr>
      </w:pPr>
    </w:p>
    <w:p>
      <w:pPr>
        <w:ind w:right="20" w:firstLine="436"/>
        <w:spacing w:after="0" w:line="256" w:lineRule="auto"/>
        <w:tabs>
          <w:tab w:leader="none" w:pos="6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82" w:lineRule="exact"/>
        <w:rPr>
          <w:rFonts w:ascii="Times New Roman" w:cs="Times New Roman" w:eastAsia="Times New Roman" w:hAnsi="Times New Roman"/>
          <w:sz w:val="18"/>
          <w:szCs w:val="18"/>
          <w:b w:val="1"/>
          <w:bCs w:val="1"/>
          <w:color w:val="auto"/>
        </w:rPr>
      </w:pPr>
    </w:p>
    <w:p>
      <w:pPr>
        <w:ind w:right="20" w:firstLine="436"/>
        <w:spacing w:after="0" w:line="271" w:lineRule="auto"/>
        <w:tabs>
          <w:tab w:leader="none" w:pos="62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RESERVATION OF WARRANT SHARES</w:t>
      </w:r>
      <w:r>
        <w:rPr>
          <w:rFonts w:ascii="Times New Roman" w:cs="Times New Roman" w:eastAsia="Times New Roman" w:hAnsi="Times New Roman"/>
          <w:sz w:val="17"/>
          <w:szCs w:val="17"/>
          <w:color w:val="auto"/>
        </w:rPr>
        <w:t>. The Company covenants that it will at all times while this Warrant is issued and outstanding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reserve and keep available out of the aggregate of its authorized but unissued and otherwise unreserved shares of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shares of Common Stock may be listed. The Company further covenants that it will not, without the prior written consent of the Holder, take any actions to increase the par value of the shares of Common Stock at any time while this Warrant is issued and outstanding.</w:t>
      </w:r>
    </w:p>
    <w:p>
      <w:pPr>
        <w:spacing w:after="0" w:line="168" w:lineRule="exact"/>
        <w:rPr>
          <w:rFonts w:ascii="Times New Roman" w:cs="Times New Roman" w:eastAsia="Times New Roman" w:hAnsi="Times New Roman"/>
          <w:sz w:val="17"/>
          <w:szCs w:val="17"/>
          <w:b w:val="1"/>
          <w:bCs w:val="1"/>
          <w:color w:val="auto"/>
        </w:rPr>
      </w:pPr>
    </w:p>
    <w:p>
      <w:pPr>
        <w:ind w:right="740" w:firstLine="436"/>
        <w:spacing w:after="0" w:line="286" w:lineRule="auto"/>
        <w:tabs>
          <w:tab w:leader="none" w:pos="6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adjustment 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ind w:right="20" w:firstLine="987"/>
        <w:spacing w:after="0" w:line="253" w:lineRule="auto"/>
        <w:tabs>
          <w:tab w:leader="none" w:pos="123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issued and outstanding, (i) pays a stock dividend on its shares of Common Stock or otherwise makes a distribution on any class of capital stock issued and outstanding on the Original Issue Date and in accordance with the terms of such stock on the Original Issue Date or as amended, as described in the Registration Statement, that is payable in shares of Common Stock, (ii) subdivides its issued and outstanding shares of Common Stock into a larger number of shares of Common Stock, (iii) combines its issued and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issued and outstanding immediately before such event and the denominator of which shall be the number of shares of Common Stock issued and outstanding immediately after such event. Any adjustment made pursuant to clause (i) of this paragraph shall become effective immediately after the record date for the determination of stockholders entitled to receive such dividend or distribution, provided,</w:t>
      </w:r>
    </w:p>
    <w:p>
      <w:pPr>
        <w:sectPr>
          <w:pgSz w:w="11900" w:h="16838" w:orient="portrait"/>
          <w:cols w:equalWidth="0" w:num="1">
            <w:col w:w="11020"/>
          </w:cols>
          <w:pgMar w:left="440" w:top="270" w:right="439" w:bottom="1440" w:gutter="0" w:footer="0" w:header="0"/>
        </w:sectPr>
      </w:pPr>
    </w:p>
    <w:bookmarkStart w:id="66" w:name="page67"/>
    <w:bookmarkEnd w:id="66"/>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180" w:lineRule="exact"/>
        <w:rPr>
          <w:sz w:val="20"/>
          <w:szCs w:val="20"/>
          <w:color w:val="auto"/>
        </w:rPr>
      </w:pPr>
    </w:p>
    <w:p>
      <w:pPr>
        <w:ind w:right="40" w:firstLine="987"/>
        <w:spacing w:after="0" w:line="253"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the Company, at any time while this Warrant is issued and outstanding, distributes to all holders of shares of Common Stock for no consideration (i) evidences of its indebtedness, (ii) any security (other than a distribution of shares of Common Stock covered by the preceding paragraph), (iii) rights or warrants to subscribe for or purchase any security, or (iv) cash or any other asset (in each case, “</w:t>
      </w:r>
      <w:r>
        <w:rPr>
          <w:rFonts w:ascii="Times New Roman" w:cs="Times New Roman" w:eastAsia="Times New Roman" w:hAnsi="Times New Roman"/>
          <w:sz w:val="18"/>
          <w:szCs w:val="18"/>
          <w:b w:val="1"/>
          <w:bCs w:val="1"/>
          <w:color w:val="auto"/>
        </w:rPr>
        <w:t>Distributed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then the Holder shall be entitled to participate in such distribution and receive the Distributed Property that such Holder would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receive in respect of such number of Warrant Shares had the Holder been the record holder of such Warrant Shares immediately prior to such record date without regard to any limitation on exercise contained therein, provided however, to the extent that the Holder’s right to participate in any such distribution would result in the Holder exceeding the ownership limitation set forth in Section 11(a) hereof,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the earlier of (i) such time, if ever, as the delivery to such Holder of such portion would not result in the Holder exceeding the ownership limitation set forth in Section 11(a) hereof and (ii) such time as the Holder has exercised this Warrant.</w:t>
      </w:r>
    </w:p>
    <w:p>
      <w:pPr>
        <w:spacing w:after="0" w:line="191" w:lineRule="exact"/>
        <w:rPr>
          <w:rFonts w:ascii="Times New Roman" w:cs="Times New Roman" w:eastAsia="Times New Roman" w:hAnsi="Times New Roman"/>
          <w:sz w:val="18"/>
          <w:szCs w:val="18"/>
          <w:color w:val="auto"/>
        </w:rPr>
      </w:pPr>
    </w:p>
    <w:p>
      <w:pPr>
        <w:ind w:firstLine="987"/>
        <w:spacing w:after="0" w:line="251" w:lineRule="auto"/>
        <w:tabs>
          <w:tab w:leader="none" w:pos="12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If, at any time while this Warrant is issued and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shares of Common Stock or any compulsory share exchange pursuant to which the shares of Common Stock are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(x)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or (y) prior to, simultaneously with or promptly following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 Notwithstanding the foregoing, in the event of a Fundamental Transaction where the consideration payable to holders of shares of Common Stock consists solely of cash, solely of Marketable Securities or a combination of cash and Marketable Securities, then this Warrant shall automatically be deemed to be exercised in full in a “cashless exercise” pursuant to Section 10 below effective immediately prior to and contingent upon the consummation of such Fundamental Transaction.</w:t>
      </w:r>
    </w:p>
    <w:p>
      <w:pPr>
        <w:sectPr>
          <w:pgSz w:w="11900" w:h="16838" w:orient="portrait"/>
          <w:cols w:equalWidth="0" w:num="1">
            <w:col w:w="11020"/>
          </w:cols>
          <w:pgMar w:left="440" w:top="270" w:right="439" w:bottom="1440" w:gutter="0" w:footer="0" w:header="0"/>
        </w:sectPr>
      </w:pPr>
    </w:p>
    <w:bookmarkStart w:id="67" w:name="page68"/>
    <w:bookmarkEnd w:id="67"/>
    <w:p>
      <w:pPr>
        <w:ind w:firstLine="987"/>
        <w:spacing w:after="0" w:line="256"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(including any adjustment to the Exercise Price that would have been effected but for the final sentence in this paragraph (d)),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shares of Common Stock then in effect.</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one-millionth of one cent or the nearest share,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07" w:lineRule="exact"/>
        <w:rPr>
          <w:sz w:val="20"/>
          <w:szCs w:val="20"/>
          <w:color w:val="auto"/>
        </w:rPr>
      </w:pPr>
    </w:p>
    <w:p>
      <w:pPr>
        <w:ind w:right="220" w:firstLine="987"/>
        <w:spacing w:after="0" w:line="256" w:lineRule="auto"/>
        <w:tabs>
          <w:tab w:leader="none" w:pos="123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187" w:lineRule="exact"/>
        <w:rPr>
          <w:rFonts w:ascii="Times New Roman" w:cs="Times New Roman" w:eastAsia="Times New Roman" w:hAnsi="Times New Roman"/>
          <w:sz w:val="18"/>
          <w:szCs w:val="18"/>
          <w:color w:val="auto"/>
        </w:rPr>
      </w:pPr>
    </w:p>
    <w:p>
      <w:pPr>
        <w:ind w:right="100" w:firstLine="987"/>
        <w:spacing w:after="0" w:line="253" w:lineRule="auto"/>
        <w:tabs>
          <w:tab w:leader="none" w:pos="121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issued and outstanding, the Company (i) declares a dividend or any other distribution of cash, securities or other property in respect of its shares of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shares of Common Stock in order to participate in or vote with respect to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to deliver such notice or any defect therein shall not affect the validity of the corporate action required to be described in such notice. In addition, if while this Warrant is issued and outstanding, the Company authorizes, approves or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then, except if such notice and the contents thereof shall be deemed to constitute material non-public information, the Company shall deliver to the Holder a notice of such Fundamental Transaction at least ten (10) days prior to the date such Fundamental Transaction is consummated.</w:t>
      </w:r>
    </w:p>
    <w:p>
      <w:pPr>
        <w:spacing w:after="0" w:line="185" w:lineRule="exact"/>
        <w:rPr>
          <w:rFonts w:ascii="Times New Roman" w:cs="Times New Roman" w:eastAsia="Times New Roman" w:hAnsi="Times New Roman"/>
          <w:sz w:val="18"/>
          <w:szCs w:val="18"/>
          <w:color w:val="auto"/>
        </w:rPr>
      </w:pPr>
    </w:p>
    <w:p>
      <w:pPr>
        <w:ind w:right="460" w:firstLine="436"/>
        <w:spacing w:after="0" w:line="268" w:lineRule="auto"/>
        <w:tabs>
          <w:tab w:leader="none" w:pos="71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its 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equals the number of Warrant Shares to be issued to the Holder;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equals the total number of Warrant Shares with respect to which this Warrant is then being exercised;</w:t>
      </w:r>
    </w:p>
    <w:p>
      <w:pPr>
        <w:spacing w:after="0" w:line="225" w:lineRule="exact"/>
        <w:rPr>
          <w:sz w:val="20"/>
          <w:szCs w:val="20"/>
          <w:color w:val="auto"/>
        </w:rPr>
      </w:pPr>
    </w:p>
    <w:p>
      <w:pPr>
        <w:jc w:val="both"/>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equals the last VWAP immediately preceding the time of delivery of the Exercise Notice giving rise to the applicable “cashless exercise,” as set forth in the applicable Exercise Notice (to clarify, the “last VWAP” will be the last VWAP as calculated over an entire Trading Day such that, in the event that this Warrant is exercised at a time that the Principal Trading Market is open, the prior Trading Day’s VWAP shall be used in this calculation);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equals the Exercise Price per Warrant Share then in effect on the Exercise Date.</w:t>
      </w:r>
    </w:p>
    <w:p>
      <w:pPr>
        <w:sectPr>
          <w:pgSz w:w="11900" w:h="16838" w:orient="portrait"/>
          <w:cols w:equalWidth="0" w:num="1">
            <w:col w:w="10980"/>
          </w:cols>
          <w:pgMar w:left="440" w:top="270" w:right="479" w:bottom="1440" w:gutter="0" w:footer="0" w:header="0"/>
        </w:sectPr>
      </w:pPr>
    </w:p>
    <w:bookmarkStart w:id="68" w:name="page69"/>
    <w:bookmarkEnd w:id="68"/>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Rule 144 promulgated under the Securities Act, it is intended, understood, and acknowledged that the Warrant Shares issued in such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w:t>
      </w:r>
    </w:p>
    <w:p>
      <w:pPr>
        <w:spacing w:after="0" w:line="18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(payment of cash in lieu of fractional shares), in no event will the exercise of this Warrant be settled in cash.</w:t>
      </w:r>
    </w:p>
    <w:p>
      <w:pPr>
        <w:spacing w:after="0" w:line="221" w:lineRule="exact"/>
        <w:rPr>
          <w:sz w:val="20"/>
          <w:szCs w:val="20"/>
          <w:color w:val="auto"/>
        </w:rPr>
      </w:pPr>
    </w:p>
    <w:p>
      <w:pPr>
        <w:ind w:left="704" w:hanging="264"/>
        <w:spacing w:after="0"/>
        <w:tabs>
          <w:tab w:leader="none" w:pos="704"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EXERCISE.</w:t>
      </w:r>
    </w:p>
    <w:p>
      <w:pPr>
        <w:spacing w:after="0" w:line="229" w:lineRule="exact"/>
        <w:rPr>
          <w:rFonts w:ascii="Times New Roman" w:cs="Times New Roman" w:eastAsia="Times New Roman" w:hAnsi="Times New Roman"/>
          <w:sz w:val="18"/>
          <w:szCs w:val="18"/>
          <w:b w:val="1"/>
          <w:bCs w:val="1"/>
          <w:color w:val="auto"/>
        </w:rPr>
      </w:pPr>
    </w:p>
    <w:p>
      <w:pPr>
        <w:ind w:left="4" w:firstLine="987"/>
        <w:spacing w:after="0" w:line="266" w:lineRule="auto"/>
        <w:tabs>
          <w:tab w:leader="none" w:pos="1240"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other Persons whose beneficial ownership of shares of Common Stock would be aggregated with the Holder’s for purposes of Section 13(d) of the Exchange Act (such as any other members of a Section 13(d) “group”), to exceed [4.99%] [9.99%]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of the total number of issued and outstanding shares of Common Stock of the Company following such exercise, or (ii) the combined voting power of the securities of the Company beneficially owned by the Holder and its Affiliates and any other Persons whose beneficial ownership of shares of Common Stock would be aggregated with the Holder’s for purposes of Section 13(d) of the Exchange Act (such as any other members of a Section 13(d) “group”) to exceed [4.99%] [9.99%] of the combined voting power of all of the securities of the Company then outstanding following such exercise.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filed with the Commission prior to the date hereof, (y) a more recent public announcement by the Company or (z) any other notice by the Company or its Transfer Agent setting forth the number of shares of Common Stock outstanding. Upon the written request of the Holder, the Company shall within two</w:t>
      </w:r>
    </w:p>
    <w:p>
      <w:pPr>
        <w:spacing w:after="0" w:line="9" w:lineRule="exact"/>
        <w:rPr>
          <w:rFonts w:ascii="Times New Roman" w:cs="Times New Roman" w:eastAsia="Times New Roman" w:hAnsi="Times New Roman"/>
          <w:sz w:val="17"/>
          <w:szCs w:val="17"/>
          <w:color w:val="auto"/>
        </w:rPr>
      </w:pPr>
    </w:p>
    <w:p>
      <w:pPr>
        <w:jc w:val="both"/>
        <w:ind w:left="4" w:hanging="4"/>
        <w:spacing w:after="0" w:line="250" w:lineRule="auto"/>
        <w:tabs>
          <w:tab w:leader="none" w:pos="25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not in excess of</w:t>
      </w:r>
    </w:p>
    <w:p>
      <w:pPr>
        <w:spacing w:after="0" w:line="1" w:lineRule="exact"/>
        <w:rPr>
          <w:rFonts w:ascii="Times New Roman" w:cs="Times New Roman" w:eastAsia="Times New Roman" w:hAnsi="Times New Roman"/>
          <w:sz w:val="18"/>
          <w:szCs w:val="18"/>
          <w:color w:val="auto"/>
        </w:rPr>
      </w:pPr>
    </w:p>
    <w:p>
      <w:pPr>
        <w:ind w:left="4"/>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19.99% specified in such notice; provided that any such increase will not be effective until the sixty-first (61st) day after such notice is delivered to the Company. For purposes of this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 the aggregate number of shares of Common Stock or voting securities beneficially owned by the Holder and its Affiliates and any other Persons whose beneficial ownership of shares of Common Stock would be aggregated with the Holder’s for purposes of Section 13(d) of the Exchange Act (such as any other members of a Section 13(d) “group”)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shares of Common Stock, including, without limitation, any debt, preferred stock, right, option, warrant or other instrument that is at any time convertible into or exercisable or exchangeable for, or otherwise entitles the holder thereof to receive, shares of Common Stock), is subject to a limitation on conversion or exercise analogous to the limitation contained herein and is beneficially owned by the Holder or any of its Affiliates and other Persons whose beneficial ownership of shares of Common Stock would be aggregated with the Holder’s for purposes of Section 13(d) of the Exchange Act (such as any other member of a Section 13(d) “group”).</w:t>
      </w:r>
    </w:p>
    <w:p>
      <w:pPr>
        <w:spacing w:after="0" w:line="179" w:lineRule="exact"/>
        <w:rPr>
          <w:rFonts w:ascii="Times New Roman" w:cs="Times New Roman" w:eastAsia="Times New Roman" w:hAnsi="Times New Roman"/>
          <w:sz w:val="18"/>
          <w:szCs w:val="18"/>
          <w:color w:val="auto"/>
        </w:rPr>
      </w:pPr>
    </w:p>
    <w:p>
      <w:pPr>
        <w:ind w:left="4" w:right="240" w:firstLine="987"/>
        <w:spacing w:after="0" w:line="266" w:lineRule="auto"/>
        <w:tabs>
          <w:tab w:leader="none" w:pos="125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that a Holder may receive or beneficially own in order to determine the amount of securities or other consideration that such Holder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w:t>
      </w:r>
    </w:p>
    <w:p>
      <w:pPr>
        <w:sectPr>
          <w:pgSz w:w="11900" w:h="16838" w:orient="portrait"/>
          <w:cols w:equalWidth="0" w:num="1">
            <w:col w:w="10984"/>
          </w:cols>
          <w:pgMar w:left="436" w:top="270" w:right="479" w:bottom="1440" w:gutter="0" w:footer="0" w:header="0"/>
        </w:sectPr>
      </w:pPr>
    </w:p>
    <w:bookmarkStart w:id="69" w:name="page70"/>
    <w:bookmarkEnd w:id="69"/>
    <w:p>
      <w:pPr>
        <w:ind w:left="4" w:right="160" w:firstLine="436"/>
        <w:spacing w:after="0" w:line="262" w:lineRule="auto"/>
        <w:tabs>
          <w:tab w:leader="none" w:pos="714"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fractional shares that would otherwise be issuable, the number of Warrant Shares to be issued shall be rounded down to the next whole number and the Company shall pay the Holder in cash the fair market value (based on the last VWAP immediately preceding the time of delivery of the applicable Exercise Notice) for any such fractional shares.</w:t>
      </w:r>
    </w:p>
    <w:p>
      <w:pPr>
        <w:spacing w:after="0" w:line="176" w:lineRule="exact"/>
        <w:rPr>
          <w:rFonts w:ascii="Times New Roman" w:cs="Times New Roman" w:eastAsia="Times New Roman" w:hAnsi="Times New Roman"/>
          <w:sz w:val="18"/>
          <w:szCs w:val="18"/>
          <w:b w:val="1"/>
          <w:bCs w:val="1"/>
          <w:color w:val="auto"/>
        </w:rPr>
      </w:pPr>
    </w:p>
    <w:p>
      <w:pPr>
        <w:ind w:left="4" w:right="80" w:firstLine="436"/>
        <w:spacing w:after="0" w:line="256" w:lineRule="auto"/>
        <w:tabs>
          <w:tab w:leader="none" w:pos="714"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and shall be deemed given and effective on the earliest of (i) the date of transmission, if such notice or communication is delivered via confirmed e-mail prior to 5:30 P.M., New York City time, on a Trading Day, (ii) the next Trading Day after the date of transmission, if such notice or communication is delivered via confirmed e-mail on a day that is not a Trading Day or later than 5:30 P.M., New York City time, on any Trading Day,</w:t>
      </w:r>
    </w:p>
    <w:p>
      <w:pPr>
        <w:spacing w:after="0" w:line="3"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Day following the date of mailing, if sent by nationally recognized overnight courier service specifying next business day delivery, or</w:t>
      </w:r>
    </w:p>
    <w:p>
      <w:pPr>
        <w:spacing w:after="0" w:line="9" w:lineRule="exact"/>
        <w:rPr>
          <w:rFonts w:ascii="Times New Roman" w:cs="Times New Roman" w:eastAsia="Times New Roman" w:hAnsi="Times New Roman"/>
          <w:sz w:val="18"/>
          <w:szCs w:val="18"/>
          <w:color w:val="auto"/>
        </w:rPr>
      </w:pPr>
    </w:p>
    <w:p>
      <w:pPr>
        <w:ind w:left="4" w:right="640" w:hanging="4"/>
        <w:spacing w:after="0" w:line="260" w:lineRule="auto"/>
        <w:tabs>
          <w:tab w:leader="none" w:pos="30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by the Person to whom such notice is required to be given, if by hand delivery. The addresses and e-mail addresses such communications shall be:</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15440 Laguna Canyon Road, Suite 160</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Irvine, California 92618</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Gunderson Dettmer Stough Villeneuve Franklin &amp; Hachigian, LLP</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3570 Carmel Mountain Road, Suite 200</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San Diego, California 92130</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Ryan Gunderson</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to the Holder, to its address or email address set forth herein or on the books and records of the Company</w:t>
      </w:r>
    </w:p>
    <w:p>
      <w:pPr>
        <w:spacing w:after="0" w:line="225"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Or, in each of the above instances, to such other address or e-mail address as the recipient party has specified by written notice given to each other party at least five (5) days prior to the effectiveness of such change.</w:t>
      </w:r>
    </w:p>
    <w:p>
      <w:pPr>
        <w:spacing w:after="0" w:line="158" w:lineRule="exact"/>
        <w:rPr>
          <w:sz w:val="20"/>
          <w:szCs w:val="20"/>
          <w:color w:val="auto"/>
        </w:rPr>
      </w:pPr>
    </w:p>
    <w:p>
      <w:pPr>
        <w:ind w:left="4" w:firstLine="436"/>
        <w:spacing w:after="0" w:line="257" w:lineRule="auto"/>
        <w:tabs>
          <w:tab w:leader="none" w:pos="711"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The Company shall initially serve as warrant agent under this Warrant. Upon ten (10) days’ notice to the Holder,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stockholders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2"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4" w:right="40" w:firstLine="987"/>
        <w:spacing w:after="0" w:line="254" w:lineRule="auto"/>
        <w:tabs>
          <w:tab w:leader="none" w:pos="12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ectPr>
          <w:pgSz w:w="11900" w:h="16838" w:orient="portrait"/>
          <w:cols w:equalWidth="0" w:num="1">
            <w:col w:w="11004"/>
          </w:cols>
          <w:pgMar w:left="436" w:top="266" w:right="459" w:bottom="1440" w:gutter="0" w:footer="0" w:header="0"/>
        </w:sectPr>
      </w:pPr>
    </w:p>
    <w:bookmarkStart w:id="70" w:name="page71"/>
    <w:bookmarkEnd w:id="70"/>
    <w:p>
      <w:pPr>
        <w:ind w:left="-987" w:right="20" w:firstLine="987"/>
        <w:spacing w:after="0" w:line="253"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Authorized Shares</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amending its certificate or articles of incorporation or through any reorganization, transfer of assets, consolidation, merger, amalgamation,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rFonts w:ascii="Times New Roman" w:cs="Times New Roman" w:eastAsia="Times New Roman" w:hAnsi="Times New Roman"/>
          <w:sz w:val="18"/>
          <w:szCs w:val="18"/>
          <w:color w:val="auto"/>
        </w:rPr>
      </w:pPr>
    </w:p>
    <w:p>
      <w:pPr>
        <w:ind w:left="-987" w:right="20" w:firstLine="987"/>
        <w:spacing w:after="0" w:line="256" w:lineRule="auto"/>
        <w:tabs>
          <w:tab w:leader="none" w:pos="2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87" w:lineRule="exact"/>
        <w:rPr>
          <w:rFonts w:ascii="Times New Roman" w:cs="Times New Roman" w:eastAsia="Times New Roman" w:hAnsi="Times New Roman"/>
          <w:sz w:val="18"/>
          <w:szCs w:val="18"/>
          <w:color w:val="auto"/>
        </w:rPr>
      </w:pPr>
    </w:p>
    <w:p>
      <w:pPr>
        <w:ind w:left="-987" w:right="340" w:firstLine="987"/>
        <w:spacing w:after="0" w:line="282"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this Warrant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ind w:left="-987" w:right="380" w:firstLine="987"/>
        <w:spacing w:after="0" w:line="282" w:lineRule="auto"/>
        <w:tabs>
          <w:tab w:leader="none" w:pos="2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161" w:lineRule="exact"/>
        <w:rPr>
          <w:rFonts w:ascii="Times New Roman" w:cs="Times New Roman" w:eastAsia="Times New Roman" w:hAnsi="Times New Roman"/>
          <w:sz w:val="18"/>
          <w:szCs w:val="18"/>
          <w:color w:val="auto"/>
        </w:rPr>
      </w:pPr>
    </w:p>
    <w:p>
      <w:pPr>
        <w:ind w:left="-987" w:firstLine="987"/>
        <w:spacing w:after="0" w:line="252" w:lineRule="auto"/>
        <w:tabs>
          <w:tab w:leader="none" w:pos="22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5" w:lineRule="exact"/>
        <w:rPr>
          <w:rFonts w:ascii="Times New Roman" w:cs="Times New Roman" w:eastAsia="Times New Roman" w:hAnsi="Times New Roman"/>
          <w:sz w:val="18"/>
          <w:szCs w:val="18"/>
          <w:color w:val="auto"/>
        </w:rPr>
      </w:pPr>
    </w:p>
    <w:p>
      <w:pPr>
        <w:ind w:left="-987" w:right="180" w:firstLine="987"/>
        <w:spacing w:after="0" w:line="282"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ectPr>
          <w:pgSz w:w="11900" w:h="16838" w:orient="portrait"/>
          <w:cols w:equalWidth="0" w:num="1">
            <w:col w:w="9933"/>
          </w:cols>
          <w:pgMar w:left="1427" w:top="270" w:right="539" w:bottom="1440" w:gutter="0" w:footer="0" w:header="0"/>
        </w:sectPr>
      </w:pPr>
    </w:p>
    <w:bookmarkStart w:id="71" w:name="page72"/>
    <w:bookmarkEnd w:id="71"/>
    <w:p>
      <w:pPr>
        <w:ind w:left="-20" w:firstLine="987"/>
        <w:spacing w:after="0" w:line="261" w:lineRule="auto"/>
        <w:tabs>
          <w:tab w:leader="none" w:pos="122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0980"/>
          </w:cols>
          <w:pgMar w:left="460" w:top="270"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480"/>
          </w:cols>
          <w:pgMar w:left="880" w:top="270" w:right="539" w:bottom="1440" w:gutter="0" w:footer="0" w:header="0"/>
        </w:sectPr>
      </w:pPr>
    </w:p>
    <w:bookmarkStart w:id="73" w:name="page74"/>
    <w:bookmarkEnd w:id="73"/>
    <w:p>
      <w:pPr>
        <w:jc w:val="center"/>
        <w:ind w:right="-6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27" w:lineRule="exact"/>
        <w:rPr>
          <w:sz w:val="20"/>
          <w:szCs w:val="20"/>
          <w:color w:val="auto"/>
        </w:rPr>
      </w:pPr>
    </w:p>
    <w:p>
      <w:pPr>
        <w:ind w:left="424" w:right="460" w:hanging="424"/>
        <w:spacing w:after="0" w:line="286" w:lineRule="auto"/>
        <w:tabs>
          <w:tab w:leader="none" w:pos="4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______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issued by Tarsus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6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______________Warrant Shares pursuant to the Warrant.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117"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1"/>
          <w:numId w:val="8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117" w:lineRule="exact"/>
        <w:rPr>
          <w:rFonts w:ascii="MS PGothic" w:cs="MS PGothic" w:eastAsia="MS PGothic" w:hAnsi="MS PGothic"/>
          <w:sz w:val="18"/>
          <w:szCs w:val="18"/>
          <w:color w:val="auto"/>
        </w:rPr>
      </w:pPr>
    </w:p>
    <w:p>
      <w:pPr>
        <w:ind w:left="1644" w:hanging="212"/>
        <w:spacing w:after="0"/>
        <w:tabs>
          <w:tab w:leader="none" w:pos="1644" w:val="left"/>
        </w:tabs>
        <w:numPr>
          <w:ilvl w:val="1"/>
          <w:numId w:val="8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under Section 10 of the Warrant</w:t>
      </w:r>
    </w:p>
    <w:p>
      <w:pPr>
        <w:spacing w:after="0" w:line="130" w:lineRule="exact"/>
        <w:rPr>
          <w:rFonts w:ascii="MS PGothic" w:cs="MS PGothic" w:eastAsia="MS PGothic" w:hAnsi="MS PGothic"/>
          <w:sz w:val="18"/>
          <w:szCs w:val="18"/>
          <w:color w:val="auto"/>
        </w:rPr>
      </w:pPr>
    </w:p>
    <w:p>
      <w:pPr>
        <w:ind w:left="424" w:right="40" w:hanging="424"/>
        <w:spacing w:after="0" w:line="282" w:lineRule="auto"/>
        <w:tabs>
          <w:tab w:leader="none" w:pos="4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$______ in immediately available funds to the Company in accordance with the terms of the Warrant.</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 The Warrant Shares shall be delivered to the following DWAC Account Number:</w:t>
      </w:r>
    </w:p>
    <w:p>
      <w:pPr>
        <w:spacing w:after="0" w:line="67"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w:t>
      </w:r>
    </w:p>
    <w:p>
      <w:pPr>
        <w:spacing w:after="0" w:line="203" w:lineRule="exact"/>
        <w:rPr>
          <w:sz w:val="20"/>
          <w:szCs w:val="20"/>
          <w:color w:val="auto"/>
        </w:rPr>
      </w:pPr>
    </w:p>
    <w:p>
      <w:pPr>
        <w:ind w:left="6264"/>
        <w:spacing w:after="0"/>
        <w:rPr>
          <w:sz w:val="20"/>
          <w:szCs w:val="20"/>
          <w:color w:val="auto"/>
        </w:rPr>
      </w:pPr>
      <w:r>
        <w:rPr>
          <w:rFonts w:ascii="Times New Roman" w:cs="Times New Roman" w:eastAsia="Times New Roman" w:hAnsi="Times New Roman"/>
          <w:sz w:val="18"/>
          <w:szCs w:val="18"/>
          <w:color w:val="auto"/>
        </w:rPr>
        <w:t>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17145</wp:posOffset>
            </wp:positionV>
            <wp:extent cx="26574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5" w:lineRule="exact"/>
        <w:rPr>
          <w:sz w:val="20"/>
          <w:szCs w:val="20"/>
          <w:color w:val="auto"/>
        </w:rPr>
      </w:pPr>
    </w:p>
    <w:p>
      <w:pPr>
        <w:ind w:left="5524"/>
        <w:spacing w:after="0"/>
        <w:rPr>
          <w:sz w:val="20"/>
          <w:szCs w:val="20"/>
          <w:color w:val="auto"/>
        </w:rPr>
      </w:pPr>
      <w:r>
        <w:rPr>
          <w:rFonts w:ascii="Times New Roman" w:cs="Times New Roman" w:eastAsia="Times New Roman" w:hAnsi="Times New Roman"/>
          <w:sz w:val="18"/>
          <w:szCs w:val="18"/>
          <w:color w:val="auto"/>
        </w:rPr>
        <w:t>Name of Holder: 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17145</wp:posOffset>
            </wp:positionV>
            <wp:extent cx="26574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5" w:lineRule="exact"/>
        <w:rPr>
          <w:sz w:val="20"/>
          <w:szCs w:val="20"/>
          <w:color w:val="auto"/>
        </w:rPr>
      </w:pPr>
    </w:p>
    <w:p>
      <w:pPr>
        <w:ind w:left="6484"/>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17145</wp:posOffset>
            </wp:positionV>
            <wp:extent cx="26574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5" w:lineRule="exact"/>
        <w:rPr>
          <w:sz w:val="20"/>
          <w:szCs w:val="20"/>
          <w:color w:val="auto"/>
        </w:rPr>
      </w:pPr>
    </w:p>
    <w:p>
      <w:pPr>
        <w:ind w:left="6264"/>
        <w:spacing w:after="0"/>
        <w:rPr>
          <w:sz w:val="20"/>
          <w:szCs w:val="20"/>
          <w:color w:val="auto"/>
        </w:rPr>
      </w:pPr>
      <w:r>
        <w:rPr>
          <w:rFonts w:ascii="Times New Roman" w:cs="Times New Roman" w:eastAsia="Times New Roman" w:hAnsi="Times New Roman"/>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17145</wp:posOffset>
            </wp:positionV>
            <wp:extent cx="26574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05" w:lineRule="exact"/>
        <w:rPr>
          <w:sz w:val="20"/>
          <w:szCs w:val="20"/>
          <w:color w:val="auto"/>
        </w:rPr>
      </w:pPr>
    </w:p>
    <w:p>
      <w:pPr>
        <w:ind w:left="6364"/>
        <w:spacing w:after="0"/>
        <w:rPr>
          <w:sz w:val="20"/>
          <w:szCs w:val="20"/>
          <w:color w:val="auto"/>
        </w:rPr>
      </w:pPr>
      <w:r>
        <w:rPr>
          <w:rFonts w:ascii="Times New Roman" w:cs="Times New Roman" w:eastAsia="Times New Roman" w:hAnsi="Times New Roman"/>
          <w:sz w:val="18"/>
          <w:szCs w:val="18"/>
          <w:color w:val="auto"/>
        </w:rPr>
        <w:t>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17145</wp:posOffset>
            </wp:positionV>
            <wp:extent cx="26574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1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ectPr>
          <w:pgSz w:w="11900" w:h="16838" w:orient="portrait"/>
          <w:cols w:equalWidth="0" w:num="1">
            <w:col w:w="10964"/>
          </w:cols>
          <w:pgMar w:left="436" w:top="270" w:right="499" w:bottom="1440" w:gutter="0" w:footer="0" w:header="0"/>
        </w:sectPr>
      </w:pPr>
    </w:p>
    <w:bookmarkStart w:id="74" w:name="page75"/>
    <w:bookmarkEnd w:id="74"/>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1868805" cy="4800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68805" cy="48006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181610</wp:posOffset>
            </wp:positionV>
            <wp:extent cx="797560" cy="13373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97560" cy="133731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15440 Laguna Canyon Road, Suite 160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 92618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You have requested our opinion with respect to certain matters in connection with the sale and issuance by Tarsus Pharmaceuticals,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of up to an aggregate of 3,281,250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(including up to an aggregate of 468,750 Shares that may be sold pursuant to the exercise of an option granted by the Company to the underwriters) and pre-funded warrants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to purchase 312,500 shares of Common Stock (such shares,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pursuant to (i) a shelf registration statement on Form S-3 (File No. 333-277523)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on February 29, 2024, which became automatically effective upon filing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as supplemented by the prospectus supplement, dated February 29, 2024, filed with the Commission pursuant to Rule 424(b) under the Act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and (ii) an underwriting agreement, dated February 29, 2024, and entered into by and among the Company and Goldman Sachs &amp; Co. LLC, BofA Securities, Inc. and Guggenheim Securities, LLC, as representatives of the several underwriters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and the Prospectus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 We have further assumed that upon the issuance of the Warrant Shares, the total number of shares of Common Stock issued and outstanding will not exceed the total number of shares of Common Stock that the Company is then authorized to issue under its certificate of incorporation.</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82550</wp:posOffset>
            </wp:positionV>
            <wp:extent cx="5332095" cy="3511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32095" cy="3511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type w:val="continuous"/>
        </w:sectPr>
      </w:pPr>
    </w:p>
    <w:bookmarkStart w:id="75" w:name="page76"/>
    <w:bookmarkEnd w:id="75"/>
    <w:p>
      <w:pPr>
        <w:ind w:right="3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United States and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w:t>
      </w:r>
    </w:p>
    <w:p>
      <w:pPr>
        <w:spacing w:after="0" w:line="131" w:lineRule="exact"/>
        <w:rPr>
          <w:sz w:val="20"/>
          <w:szCs w:val="20"/>
          <w:color w:val="auto"/>
        </w:rPr>
      </w:pPr>
    </w:p>
    <w:p>
      <w:pPr>
        <w:ind w:left="960" w:right="800" w:hanging="532"/>
        <w:spacing w:after="0" w:line="282"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Shares to be issued and sold by the Company are issued and paid for in accordance with the terms of the Underwriting Agreement, such Shares will be validly issued, fully paid and nonassessable.</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Pre-Funded Warrants to be issued and sold by the Company are issued and paid for in accordance with the terms of the Underwriting Agreement, the Pre-Funded Warrants will be validly issued and will constitute valid and binding obligations of the Company, enforceable against the Company in accordance with their terms.</w:t>
      </w:r>
    </w:p>
    <w:p>
      <w:pPr>
        <w:spacing w:after="0" w:line="81"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when issued and paid for by the Company upon exercise of the Warrants in accordance with the terms of the Warrants, will be validly issued, fully paid and nonassessable.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opinion that the Pre-Funded Warrants constitute legal, valid and binding is qualified as to:</w:t>
      </w:r>
    </w:p>
    <w:p>
      <w:pPr>
        <w:spacing w:after="0" w:line="131" w:lineRule="exact"/>
        <w:rPr>
          <w:sz w:val="20"/>
          <w:szCs w:val="20"/>
          <w:color w:val="auto"/>
        </w:rPr>
      </w:pPr>
    </w:p>
    <w:p>
      <w:pPr>
        <w:ind w:left="960" w:right="160" w:hanging="532"/>
        <w:spacing w:after="0" w:line="282"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by bankruptcy, insolvency, reorganization, arrangement, fraudulent conveyance, moratorium or other laws relating to or affecting the rights of creditors generally;</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indemnification and contribution, which may be limited by applicable law or equitable principles; and</w:t>
      </w:r>
    </w:p>
    <w:p>
      <w:pPr>
        <w:spacing w:after="0" w:line="130" w:lineRule="exact"/>
        <w:rPr>
          <w:rFonts w:ascii="Times New Roman" w:cs="Times New Roman" w:eastAsia="Times New Roman" w:hAnsi="Times New Roman"/>
          <w:sz w:val="18"/>
          <w:szCs w:val="18"/>
          <w:color w:val="auto"/>
        </w:rPr>
      </w:pPr>
    </w:p>
    <w:p>
      <w:pPr>
        <w:jc w:val="both"/>
        <w:ind w:left="960" w:right="460" w:hanging="532"/>
        <w:spacing w:after="0" w:line="266"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“Legal Matters” included in the Prospectus and to the filing of this opinion as an exhibit to the Company’s Current Report on Form 8-K to be filed with the Commission on March 1, 2024. In giving such consent, we do not thereby admit that we are in the category of persons whose consent is required under Section 7 of the Act or the rules and regulations of the Commission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Gunderson Dettmer Stough Villeneuve Franklin &amp;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Hachigian, LLP</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GUNDERSON DETTMER STOUGH</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VILLENEUVE FRANKLIN &amp; HACHIGIAN, LLP</w:t>
      </w:r>
    </w:p>
    <w:p>
      <w:pPr>
        <w:sectPr>
          <w:pgSz w:w="11900" w:h="16838" w:orient="portrait"/>
          <w:cols w:equalWidth="0" w:num="1">
            <w:col w:w="11020"/>
          </w:cols>
          <w:pgMar w:left="440" w:top="266" w:right="4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173990</wp:posOffset>
            </wp:positionV>
            <wp:extent cx="1440180" cy="1045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Announces Proposed $100.0 Million Public Offering</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IRVINE, Calif., February 29, 2024 (GLOBAL NEWSWIRE) — Tarsus Pharmaceuticals, Inc. (Nasdaq: TARS) (the “Company” or “Tarsus”), whose mission is to focus on unmet needs and apply proven science and new technology to revolutionize treatment for patients, starting with eye care, today announced the commencement of an underwritten public offering of $100.0 million of shares of its common stock or, in lieu of common stock to certain investors that so choose, pre-funded warrants to purchase shares of its common stock. Tarsus also intends to grant the underwriters a 30-day option to purchase up to an additional $15.0 million of shares of its common stock offered in the proposed offering. All securities in the proposed offering are to be sold by Tarsus. The offering is subject to market and other conditions, and there can be no assurance as to whether or when the offering may be completed, or as to the actual size or terms of the offering.</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Goldman Sachs &amp; Co. LLC, BofA Securities, Guggenheim Securities, LLC and Oppenheimer &amp; Co. are acting as joint book-running managers for the offering.</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A registration statement relating to the securities to be sold in the proposed offering was filed with the U.S. Securities and Exchange Commission (SEC) on February 29, 2024 and became automatically effective upon filing. Copies of the registration statement can be accessed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offering will be made only by means of prospectus. A preliminary prospectus supplement related to the offering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accompanying prospectus) will be filed with the SEC and will be available on the SEC’s website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Copies of the preliminary prospectus supplement and the accompanying prospectus may also be obtained, when available, from: Goldman Sachs &amp; Co. LLC, Attention: Prospectus Department, 200 West Street, New York, New York 10282, by telephone at (866) 471-2526, or by email at prospectus-ny@ny.email.gs.com; BofA Securities, NC1-022-02-25, 201 North Tryon Street, Charlotte, North Carolina 28255-0001, Attention: Prospectus Department, or by email at dg.prospectus_requests@bofa.com; Guggenheim Securities, LLC, Attention: Equity Syndicate Department, 330 Madison Avenue, 8th Floor, New York, NY 10017, by telephone at (212) 518-9544, or by email at GSEquityProspectusDelivery@guggenheimpartners.com; or Oppenheimer &amp; Co. Inc., Attention: Syndicate Prospectus Department, 85 Broad Street, 26th Floor, New York, New York 10004, by telephone at (212) 667-8055, or by email at EquityProspectus@opco.com.</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020"/>
          </w:cols>
          <w:pgMar w:left="440" w:top="117" w:right="439" w:bottom="1440" w:gutter="0" w:footer="0" w:header="0"/>
        </w:sectPr>
      </w:pPr>
    </w:p>
    <w:bookmarkStart w:id="77" w:name="page78"/>
    <w:bookmarkEnd w:id="7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Tarsus Pharmaceuticals, Inc.</w:t>
      </w:r>
    </w:p>
    <w:p>
      <w:pPr>
        <w:spacing w:after="0" w:line="121" w:lineRule="exact"/>
        <w:rPr>
          <w:sz w:val="20"/>
          <w:szCs w:val="20"/>
          <w:color w:val="auto"/>
        </w:rPr>
      </w:pPr>
    </w:p>
    <w:p>
      <w:pPr>
        <w:ind w:left="4" w:right="240"/>
        <w:spacing w:after="0" w:line="233" w:lineRule="auto"/>
        <w:rPr>
          <w:sz w:val="20"/>
          <w:szCs w:val="20"/>
          <w:color w:val="auto"/>
        </w:rPr>
      </w:pPr>
      <w:r>
        <w:rPr>
          <w:rFonts w:ascii="Times New Roman" w:cs="Times New Roman" w:eastAsia="Times New Roman" w:hAnsi="Times New Roman"/>
          <w:sz w:val="18"/>
          <w:szCs w:val="18"/>
          <w:color w:val="auto"/>
        </w:rPr>
        <w:t>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(lotilaner ophthalmic solution) 0.25% is FDA approved in the United States for the treatment of Demodex blepharitis. Tarsus is also developing TP-03 as an investigational therapy for the treatment of Meibomian Gland Disease, TP-04 for the treatment of rosacea and TP-05 as an oral tablet for the prevention of Lyme disease, all of which are in Phase 2.</w:t>
      </w:r>
    </w:p>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including, but not limited to, risks and uncertainties related to market conditions, and satisfaction of customary closing conditions related to the proposed public offering and the grant to the underwriters of an option to purchase additional shares.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2023 filed on February 27, 2024 with the SEC,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pacing w:after="0" w:line="3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Media Contact: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Adrienne Kemp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Sr. Director, Corporate Communications</w:t>
      </w:r>
    </w:p>
    <w:p>
      <w:pPr>
        <w:spacing w:after="0" w:line="9" w:lineRule="exact"/>
        <w:rPr>
          <w:sz w:val="20"/>
          <w:szCs w:val="20"/>
          <w:color w:val="auto"/>
        </w:rPr>
      </w:pPr>
    </w:p>
    <w:p>
      <w:pPr>
        <w:ind w:left="444" w:hanging="444"/>
        <w:spacing w:after="0"/>
        <w:tabs>
          <w:tab w:leader="none" w:pos="44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922-0801</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akemp@tarsusrx.com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Investor Contact: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David Nakasone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ind w:left="4" w:right="9060" w:hanging="4"/>
        <w:spacing w:after="0" w:line="290" w:lineRule="auto"/>
        <w:tabs>
          <w:tab w:leader="none" w:pos="43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620-3223 </w:t>
      </w:r>
      <w:r>
        <w:rPr>
          <w:rFonts w:ascii="Times New Roman" w:cs="Times New Roman" w:eastAsia="Times New Roman" w:hAnsi="Times New Roman"/>
          <w:sz w:val="17"/>
          <w:szCs w:val="17"/>
          <w:u w:val="single" w:color="auto"/>
          <w:color w:val="auto"/>
        </w:rPr>
        <w:t>DNakasone@tarsusrx.com</w:t>
      </w:r>
    </w:p>
    <w:p>
      <w:pPr>
        <w:sectPr>
          <w:pgSz w:w="11900" w:h="16838" w:orient="portrait"/>
          <w:cols w:equalWidth="0" w:num="1">
            <w:col w:w="10984"/>
          </w:cols>
          <w:pgMar w:left="436" w:top="266" w:right="47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173990</wp:posOffset>
            </wp:positionV>
            <wp:extent cx="1440180" cy="1045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Announces Pricing of $100.0 Million Public Offering</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IRVINE, Calif., February 29, 2024 — Tarsus Pharmaceuticals, Inc. (Nasdaq: TARS) (the “Company” or “Tarsus”), whose mission is to focus on unmet needs and apply proven science and new technology to revolutionize treatment for patients, starting with eye care, today announced the pricing of an underwritten public offering of 2,812,500 shares of its common stock at a public offering price of $32.00 per share, and, in lieu of common stock to a certain investor, pre-funded warrants to purchase up to 312,500 shares of its common stock at a public offering price of $31.9999, which represents the per share public offering price for the common stock less the $0.0001 per share exercise price for each pre-funded warrant. In addition, Tarsus has granted the underwriters a 30-day option to purchase up to an additional 468,750 shares of its common stock at the public offering price, less underwriting discounts and commissions. The gross proceeds from the offering, before deducting underwriting discounts and commissions and other estimated offering expenses payable by Tarsus, are expected to be approximately $100.0 million, excluding any exercise of the underwriters’ option to purchase additional shares. The offering is expected to close March 5, 2024, subject to the satisfaction of customary closing conditions.</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Goldman Sachs &amp; Co. LLC, BofA Securities, Guggenheim Securities, LLC and Oppenheimer &amp; Co. are acting as joint book-running managers for the offering.</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A registration statement relating to the securities to be sold in the offering was filed with the U.S. Securities and Exchange Commission (the “SEC”) on February 29, 2024 and became automatically effective upon filing. Copies of the registration statement can be accessed through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offering is being made only by means of a prospectus supplement and the accompanying prospectus which forms a part of the effective shelf registration statement.</w:t>
      </w:r>
    </w:p>
    <w:p>
      <w:pPr>
        <w:spacing w:after="0" w:line="180"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7"/>
          <w:szCs w:val="17"/>
          <w:color w:val="auto"/>
        </w:rPr>
        <w:t>A preliminary prospectus supplement related to the offering (including the accompanying prospectus) has been filed with the SEC and is available on the SEC’s website located at www.sec.gov. Copies of the final prospectus supplement and the accompanying prospectus may also be obtained, when available, from: Goldman Sachs &amp; Co. LLC, Attention: Prospectus Department, 200 West Street, New York, New York 10282, by telephone at (866)</w:t>
      </w:r>
    </w:p>
    <w:p>
      <w:pPr>
        <w:spacing w:after="0" w:line="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471-2526, or by email at prospectus-ny@ny.email.gs.com; BofA Securities, NC1-022-02-25, 201 North Tryon Street, Charlotte, North Carolina 28255-0001, Attention: Prospectus Department, or by email at dg.prospectus_requests@bofa.com; Guggenheim Securities, LLC, Attention: Equity Syndicate Department, 330 Madison Avenue, 8th Floor, New York, NY 10017, by telephone at (212) 518-9544, or by email at GSEquityProspectusDelivery@guggenheimpartners.com; or Oppenheimer &amp; Co. Inc., Attention: Syndicate Prospectus Department, 85 Broad Street, 26th Floor, New York, New York 10004, by telephone at (212) 667-8055, or by email at EquityProspectus@opco.com.</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020"/>
          </w:cols>
          <w:pgMar w:left="440" w:top="117" w:right="439" w:bottom="1440" w:gutter="0" w:footer="0" w:header="0"/>
        </w:sectPr>
      </w:pPr>
    </w:p>
    <w:bookmarkStart w:id="79" w:name="page80"/>
    <w:bookmarkEnd w:id="7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Tarsus Pharmaceuticals, Inc.</w:t>
      </w:r>
    </w:p>
    <w:p>
      <w:pPr>
        <w:spacing w:after="0" w:line="121" w:lineRule="exact"/>
        <w:rPr>
          <w:sz w:val="20"/>
          <w:szCs w:val="20"/>
          <w:color w:val="auto"/>
        </w:rPr>
      </w:pPr>
    </w:p>
    <w:p>
      <w:pPr>
        <w:ind w:left="4" w:right="200"/>
        <w:spacing w:after="0" w:line="233" w:lineRule="auto"/>
        <w:rPr>
          <w:sz w:val="20"/>
          <w:szCs w:val="20"/>
          <w:color w:val="auto"/>
        </w:rPr>
      </w:pPr>
      <w:r>
        <w:rPr>
          <w:rFonts w:ascii="Times New Roman" w:cs="Times New Roman" w:eastAsia="Times New Roman" w:hAnsi="Times New Roman"/>
          <w:sz w:val="18"/>
          <w:szCs w:val="18"/>
          <w:color w:val="auto"/>
        </w:rPr>
        <w:t>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(lotilaner ophthalmic solution) 0.25% is FDA approved in the United States for the treatment of Demodex blepharitis. Tarsus is also developing TP-03 as an investigational therapy for the treatment of Meibomian Gland Disease, TP-04 for the treatment of rosacea and TP-05 as an oral tablet for the prevention of Lyme disease, all of which are in Phase 2.</w:t>
      </w:r>
    </w:p>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including, but not limited to, risks and uncertainties related to market conditions and satisfaction of customary closing conditions related to the public offering.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2023, filed on February 27, 2024, with the SEC,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Media Contact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Adrienne Kemp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Sr. Director, Corporate Communications</w:t>
      </w:r>
    </w:p>
    <w:p>
      <w:pPr>
        <w:spacing w:after="0" w:line="9" w:lineRule="exact"/>
        <w:rPr>
          <w:sz w:val="20"/>
          <w:szCs w:val="20"/>
          <w:color w:val="auto"/>
        </w:rPr>
      </w:pPr>
    </w:p>
    <w:p>
      <w:pPr>
        <w:ind w:left="4" w:right="9280" w:hanging="4"/>
        <w:spacing w:after="0" w:line="290" w:lineRule="auto"/>
        <w:tabs>
          <w:tab w:leader="none" w:pos="439"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922-0801 </w:t>
      </w:r>
      <w:r>
        <w:rPr>
          <w:rFonts w:ascii="Times New Roman" w:cs="Times New Roman" w:eastAsia="Times New Roman" w:hAnsi="Times New Roman"/>
          <w:sz w:val="17"/>
          <w:szCs w:val="17"/>
          <w:u w:val="single" w:color="auto"/>
          <w:color w:val="auto"/>
        </w:rPr>
        <w:t>AKemp@tarsusrx.com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Investor Contact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David Nakasone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ind w:left="4" w:right="9020" w:hanging="4"/>
        <w:spacing w:after="0" w:line="290" w:lineRule="auto"/>
        <w:tabs>
          <w:tab w:leader="none" w:pos="43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620-3223 </w:t>
      </w:r>
      <w:r>
        <w:rPr>
          <w:rFonts w:ascii="Times New Roman" w:cs="Times New Roman" w:eastAsia="Times New Roman" w:hAnsi="Times New Roman"/>
          <w:sz w:val="17"/>
          <w:szCs w:val="17"/>
          <w:u w:val="single" w:color="auto"/>
          <w:color w:val="auto"/>
        </w:rPr>
        <w:t>DNakasone@tarsusrx.com</w:t>
      </w:r>
    </w:p>
    <w:sectPr>
      <w:pgSz w:w="11900" w:h="16838" w:orient="portrait"/>
      <w:cols w:equalWidth="0" w:num="1">
        <w:col w:w="10944"/>
      </w:cols>
      <w:pgMar w:left="436"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
      <w:numFmt w:val="bullet"/>
      <w:start w:val="1"/>
    </w:lvl>
  </w:abstractNum>
  <w:abstractNum w:abstractNumId="2">
    <w:nsid w:val="4B588F54"/>
    <w:multiLevelType w:val="hybridMultilevel"/>
    <w:lvl w:ilvl="0">
      <w:lvlJc w:val="left"/>
      <w:lvlText w:val="(%1)"/>
      <w:numFmt w:val="lowerLetter"/>
      <w:start w:val="1"/>
    </w:lvl>
    <w:lvl w:ilvl="1">
      <w:lvlJc w:val="left"/>
      <w:lvlText w:val="(%2)"/>
      <w:numFmt w:val="lowerLetter"/>
      <w:start w:val="9"/>
    </w:lvl>
  </w:abstractNum>
  <w:abstractNum w:abstractNumId="3">
    <w:nsid w:val="542289EC"/>
    <w:multiLevelType w:val="hybridMultilevel"/>
    <w:lvl w:ilvl="0">
      <w:lvlJc w:val="left"/>
      <w:lvlText w:val="(%1)"/>
      <w:numFmt w:val="lowerRoman"/>
      <w:start w:val="2"/>
    </w:lvl>
  </w:abstractNum>
  <w:abstractNum w:abstractNumId="4">
    <w:nsid w:val="6DE91B18"/>
    <w:multiLevelType w:val="hybridMultilevel"/>
    <w:lvl w:ilvl="0">
      <w:lvlJc w:val="left"/>
      <w:lvlText w:val="(%1)"/>
      <w:numFmt w:val="lowerRoman"/>
      <w:start w:val="3"/>
    </w:lvl>
  </w:abstractNum>
  <w:abstractNum w:abstractNumId="5">
    <w:nsid w:val="38437FDB"/>
    <w:multiLevelType w:val="hybridMultilevel"/>
    <w:lvl w:ilvl="0">
      <w:lvlJc w:val="left"/>
      <w:lvlText w:val="(%1)"/>
      <w:numFmt w:val="lowerRoman"/>
      <w:start w:val="4"/>
    </w:lvl>
  </w:abstractNum>
  <w:abstractNum w:abstractNumId="6">
    <w:nsid w:val="7644A45C"/>
    <w:multiLevelType w:val="hybridMultilevel"/>
    <w:lvl w:ilvl="0">
      <w:lvlJc w:val="left"/>
      <w:lvlText w:val="(%1)"/>
      <w:numFmt w:val="lowerRoman"/>
      <w:start w:val="6"/>
    </w:lvl>
  </w:abstractNum>
  <w:abstractNum w:abstractNumId="7">
    <w:nsid w:val="32FFF902"/>
    <w:multiLevelType w:val="hybridMultilevel"/>
    <w:lvl w:ilvl="0">
      <w:lvlJc w:val="left"/>
      <w:lvlText w:val="(%1)"/>
      <w:numFmt w:val="lowerRoman"/>
      <w:start w:val="10"/>
    </w:lvl>
  </w:abstractNum>
  <w:abstractNum w:abstractNumId="8">
    <w:nsid w:val="684A481A"/>
    <w:multiLevelType w:val="hybridMultilevel"/>
    <w:lvl w:ilvl="0">
      <w:lvlJc w:val="left"/>
      <w:lvlText w:val="(%1)"/>
      <w:numFmt w:val="lowerRoman"/>
      <w:start w:val="15"/>
    </w:lvl>
  </w:abstractNum>
  <w:abstractNum w:abstractNumId="9">
    <w:nsid w:val="579478FE"/>
    <w:multiLevelType w:val="hybridMultilevel"/>
    <w:lvl w:ilvl="0">
      <w:lvlJc w:val="left"/>
      <w:lvlText w:val="(%1)"/>
      <w:numFmt w:val="lowerLetter"/>
      <w:start w:val="25"/>
    </w:lvl>
    <w:lvl w:ilvl="1">
      <w:lvlJc w:val="left"/>
      <w:lvlText w:val="(%2)"/>
      <w:numFmt w:val="lowerRoman"/>
      <w:start w:val="18"/>
    </w:lvl>
  </w:abstractNum>
  <w:abstractNum w:abstractNumId="10">
    <w:nsid w:val="749ABB43"/>
    <w:multiLevelType w:val="hybridMultilevel"/>
    <w:lvl w:ilvl="0">
      <w:lvlJc w:val="left"/>
      <w:lvlText w:val="(%1)"/>
      <w:numFmt w:val="lowerRoman"/>
      <w:start w:val="1"/>
    </w:lvl>
    <w:lvl w:ilvl="1">
      <w:lvlJc w:val="left"/>
      <w:lvlText w:val="%2"/>
      <w:numFmt w:val="lowerRoman"/>
      <w:start w:val="1"/>
    </w:lvl>
  </w:abstractNum>
  <w:abstractNum w:abstractNumId="11">
    <w:nsid w:val="3DC240FB"/>
    <w:multiLevelType w:val="hybridMultilevel"/>
    <w:lvl w:ilvl="0">
      <w:lvlJc w:val="left"/>
      <w:lvlText w:val="(%1)"/>
      <w:numFmt w:val="lowerRoman"/>
      <w:start w:val="10"/>
    </w:lvl>
    <w:lvl w:ilvl="1">
      <w:lvlJc w:val="left"/>
      <w:lvlText w:val="(%2)"/>
      <w:numFmt w:val="lowerRoman"/>
      <w:start w:val="23"/>
    </w:lvl>
  </w:abstractNum>
  <w:abstractNum w:abstractNumId="12">
    <w:nsid w:val="1BA026FA"/>
    <w:multiLevelType w:val="hybridMultilevel"/>
    <w:lvl w:ilvl="0">
      <w:lvlJc w:val="left"/>
      <w:lvlText w:val="%1"/>
      <w:numFmt w:val="upperLetter"/>
      <w:start w:val="1"/>
    </w:lvl>
    <w:lvl w:ilvl="1">
      <w:lvlJc w:val="left"/>
      <w:lvlText w:val="(%2)"/>
      <w:numFmt w:val="lowerRoman"/>
      <w:start w:val="25"/>
    </w:lvl>
  </w:abstractNum>
  <w:abstractNum w:abstractNumId="13">
    <w:nsid w:val="79A1DEAA"/>
    <w:multiLevelType w:val="hybridMultilevel"/>
    <w:lvl w:ilvl="0">
      <w:lvlJc w:val="left"/>
      <w:lvlText w:val="(%1)"/>
      <w:numFmt w:val="upperLetter"/>
      <w:start w:val="1"/>
    </w:lvl>
    <w:lvl w:ilvl="1">
      <w:lvlJc w:val="left"/>
      <w:lvlText w:val="(%2)"/>
      <w:numFmt w:val="lowerRoman"/>
      <w:start w:val="26"/>
    </w:lvl>
  </w:abstractNum>
  <w:abstractNum w:abstractNumId="14">
    <w:nsid w:val="75C6C33A"/>
    <w:multiLevelType w:val="hybridMultilevel"/>
    <w:lvl w:ilvl="0">
      <w:lvlJc w:val="left"/>
      <w:lvlText w:val="(%1)"/>
      <w:numFmt w:val="lowerRoman"/>
      <w:start w:val="27"/>
    </w:lvl>
  </w:abstractNum>
  <w:abstractNum w:abstractNumId="15">
    <w:nsid w:val="12E685FB"/>
    <w:multiLevelType w:val="hybridMultilevel"/>
    <w:lvl w:ilvl="0">
      <w:lvlJc w:val="left"/>
      <w:lvlText w:val="(%1)"/>
      <w:numFmt w:val="lowerRoman"/>
      <w:start w:val="32"/>
    </w:lvl>
  </w:abstractNum>
  <w:abstractNum w:abstractNumId="16">
    <w:nsid w:val="70C6A529"/>
    <w:multiLevelType w:val="hybridMultilevel"/>
    <w:lvl w:ilvl="0">
      <w:lvlJc w:val="left"/>
      <w:lvlText w:val="(%1)"/>
      <w:numFmt w:val="lowerRoman"/>
      <w:start w:val="37"/>
    </w:lvl>
  </w:abstractNum>
  <w:abstractNum w:abstractNumId="17">
    <w:nsid w:val="520EEDD1"/>
    <w:multiLevelType w:val="hybridMultilevel"/>
    <w:lvl w:ilvl="0">
      <w:lvlJc w:val="left"/>
      <w:lvlText w:val="(%1)"/>
      <w:numFmt w:val="lowerRoman"/>
      <w:start w:val="39"/>
    </w:lvl>
  </w:abstractNum>
  <w:abstractNum w:abstractNumId="18">
    <w:nsid w:val="374A3FE6"/>
    <w:multiLevelType w:val="hybridMultilevel"/>
    <w:lvl w:ilvl="0">
      <w:lvlJc w:val="left"/>
      <w:lvlText w:val="(%1)"/>
      <w:numFmt w:val="upperLetter"/>
      <w:start w:val="1"/>
    </w:lvl>
  </w:abstractNum>
  <w:abstractNum w:abstractNumId="19">
    <w:nsid w:val="4F4EF005"/>
    <w:multiLevelType w:val="hybridMultilevel"/>
    <w:lvl w:ilvl="0">
      <w:lvlJc w:val="left"/>
      <w:lvlText w:val="(%1)"/>
      <w:numFmt w:val="lowerRoman"/>
      <w:start w:val="4"/>
    </w:lvl>
  </w:abstractNum>
  <w:abstractNum w:abstractNumId="20">
    <w:nsid w:val="23F9C13C"/>
    <w:multiLevelType w:val="hybridMultilevel"/>
    <w:lvl w:ilvl="0">
      <w:lvlJc w:val="left"/>
      <w:lvlText w:val="(%1)"/>
      <w:numFmt w:val="lowerLetter"/>
      <w:start w:val="2"/>
    </w:lvl>
  </w:abstractNum>
  <w:abstractNum w:abstractNumId="21">
    <w:nsid w:val="649BB77C"/>
    <w:multiLevelType w:val="hybridMultilevel"/>
    <w:lvl w:ilvl="0">
      <w:lvlJc w:val="left"/>
      <w:lvlText w:val="(%1)"/>
      <w:numFmt w:val="lowerLetter"/>
      <w:start w:val="1"/>
    </w:lvl>
  </w:abstractNum>
  <w:abstractNum w:abstractNumId="22">
    <w:nsid w:val="275AC794"/>
    <w:multiLevelType w:val="hybridMultilevel"/>
    <w:lvl w:ilvl="0">
      <w:lvlJc w:val="left"/>
      <w:lvlText w:val="(%1)"/>
      <w:numFmt w:val="lowerLetter"/>
      <w:start w:val="1"/>
    </w:lvl>
  </w:abstractNum>
  <w:abstractNum w:abstractNumId="23">
    <w:nsid w:val="39386575"/>
    <w:multiLevelType w:val="hybridMultilevel"/>
    <w:lvl w:ilvl="0">
      <w:lvlJc w:val="left"/>
      <w:lvlText w:val="(%1)"/>
      <w:numFmt w:val="lowerLetter"/>
      <w:start w:val="2"/>
    </w:lvl>
  </w:abstractNum>
  <w:abstractNum w:abstractNumId="24">
    <w:nsid w:val="1CF10FD8"/>
    <w:multiLevelType w:val="hybridMultilevel"/>
    <w:lvl w:ilvl="0">
      <w:lvlJc w:val="left"/>
      <w:lvlText w:val="%1"/>
      <w:numFmt w:val="upperLetter"/>
      <w:start w:val="1"/>
    </w:lvl>
    <w:lvl w:ilvl="1">
      <w:lvlJc w:val="left"/>
      <w:lvlText w:val="(%2)"/>
      <w:numFmt w:val="lowerLetter"/>
      <w:start w:val="5"/>
    </w:lvl>
  </w:abstractNum>
  <w:abstractNum w:abstractNumId="25">
    <w:nsid w:val="180115BE"/>
    <w:multiLevelType w:val="hybridMultilevel"/>
    <w:lvl w:ilvl="0">
      <w:lvlJc w:val="left"/>
      <w:lvlText w:val="(%1)"/>
      <w:numFmt w:val="upperLetter"/>
      <w:start w:val="3"/>
    </w:lvl>
    <w:lvl w:ilvl="1">
      <w:lvlJc w:val="left"/>
      <w:lvlText w:val="%2"/>
      <w:numFmt w:val="lowerLetter"/>
      <w:start w:val="1"/>
    </w:lvl>
  </w:abstractNum>
  <w:abstractNum w:abstractNumId="26">
    <w:nsid w:val="235BA861"/>
    <w:multiLevelType w:val="hybridMultilevel"/>
    <w:lvl w:ilvl="0">
      <w:lvlJc w:val="left"/>
      <w:lvlText w:val="(%1)"/>
      <w:numFmt w:val="lowerLetter"/>
      <w:start w:val="61"/>
    </w:lvl>
    <w:lvl w:ilvl="1">
      <w:lvlJc w:val="left"/>
      <w:lvlText w:val="(%2)"/>
      <w:numFmt w:val="lowerLetter"/>
      <w:start w:val="10"/>
    </w:lvl>
  </w:abstractNum>
  <w:abstractNum w:abstractNumId="27">
    <w:nsid w:val="47398C89"/>
    <w:multiLevelType w:val="hybridMultilevel"/>
    <w:lvl w:ilvl="0">
      <w:lvlJc w:val="left"/>
      <w:lvlText w:val="(%1)"/>
      <w:numFmt w:val="lowerLetter"/>
      <w:start w:val="14"/>
    </w:lvl>
  </w:abstractNum>
  <w:abstractNum w:abstractNumId="28">
    <w:nsid w:val="354FE9F9"/>
    <w:multiLevelType w:val="hybridMultilevel"/>
    <w:lvl w:ilvl="0">
      <w:lvlJc w:val="left"/>
      <w:lvlText w:val="%1"/>
      <w:numFmt w:val="lowerRoman"/>
      <w:start w:val="1"/>
    </w:lvl>
    <w:lvl w:ilvl="1">
      <w:lvlJc w:val="left"/>
      <w:lvlText w:val="(%2)"/>
      <w:numFmt w:val="lowerLetter"/>
      <w:start w:val="1"/>
    </w:lvl>
  </w:abstractNum>
  <w:abstractNum w:abstractNumId="29">
    <w:nsid w:val="15B5AF5C"/>
    <w:multiLevelType w:val="hybridMultilevel"/>
    <w:lvl w:ilvl="0">
      <w:lvlJc w:val="left"/>
      <w:lvlText w:val="(%1)"/>
      <w:numFmt w:val="lowerRoman"/>
      <w:start w:val="7"/>
    </w:lvl>
    <w:lvl w:ilvl="1">
      <w:lvlJc w:val="left"/>
      <w:lvlText w:val="%2"/>
      <w:numFmt w:val="lowerLetter"/>
      <w:start w:val="1"/>
    </w:lvl>
  </w:abstractNum>
  <w:abstractNum w:abstractNumId="30">
    <w:nsid w:val="741226BB"/>
    <w:multiLevelType w:val="hybridMultilevel"/>
    <w:lvl w:ilvl="0">
      <w:lvlJc w:val="left"/>
      <w:lvlText w:val="%1"/>
      <w:numFmt w:val="lowerLetter"/>
      <w:start w:val="1"/>
    </w:lvl>
    <w:lvl w:ilvl="1">
      <w:lvlJc w:val="left"/>
      <w:lvlText w:val="(%2)"/>
      <w:numFmt w:val="lowerLetter"/>
      <w:start w:val="2"/>
    </w:lvl>
  </w:abstractNum>
  <w:abstractNum w:abstractNumId="31">
    <w:nsid w:val="D34B6A8"/>
    <w:multiLevelType w:val="hybridMultilevel"/>
    <w:lvl w:ilvl="0">
      <w:lvlJc w:val="left"/>
      <w:lvlText w:val="(%1)"/>
      <w:numFmt w:val="lowerLetter"/>
      <w:start w:val="9"/>
    </w:lvl>
    <w:lvl w:ilvl="1">
      <w:lvlJc w:val="left"/>
      <w:lvlText w:val="%2"/>
      <w:numFmt w:val="lowerLetter"/>
      <w:start w:val="1"/>
    </w:lvl>
  </w:abstractNum>
  <w:abstractNum w:abstractNumId="32">
    <w:nsid w:val="10233C99"/>
    <w:multiLevelType w:val="hybridMultilevel"/>
    <w:lvl w:ilvl="0">
      <w:lvlJc w:val="left"/>
      <w:lvlText w:val="(%1)"/>
      <w:numFmt w:val="lowerLetter"/>
      <w:start w:val="1"/>
    </w:lvl>
    <w:lvl w:ilvl="1">
      <w:lvlJc w:val="left"/>
      <w:lvlText w:val="(%2)"/>
      <w:numFmt w:val="lowerRoman"/>
      <w:start w:val="1"/>
    </w:lvl>
  </w:abstractNum>
  <w:abstractNum w:abstractNumId="33">
    <w:nsid w:val="3F6AB60F"/>
    <w:multiLevelType w:val="hybridMultilevel"/>
    <w:lvl w:ilvl="0">
      <w:lvlJc w:val="left"/>
      <w:lvlText w:val="(%1)"/>
      <w:numFmt w:val="lowerLetter"/>
      <w:start w:val="4"/>
    </w:lvl>
  </w:abstractNum>
  <w:abstractNum w:abstractNumId="34">
    <w:nsid w:val="61574095"/>
    <w:multiLevelType w:val="hybridMultilevel"/>
    <w:lvl w:ilvl="0">
      <w:lvlJc w:val="left"/>
      <w:lvlText w:val="(%1)"/>
      <w:numFmt w:val="lowerLetter"/>
      <w:start w:val="10"/>
    </w:lvl>
    <w:lvl w:ilvl="1">
      <w:lvlJc w:val="left"/>
      <w:lvlText w:val="(%2)"/>
      <w:numFmt w:val="lowerLetter"/>
      <w:start w:val="9"/>
    </w:lvl>
  </w:abstractNum>
  <w:abstractNum w:abstractNumId="35">
    <w:nsid w:val="7E0C57B1"/>
    <w:multiLevelType w:val="hybridMultilevel"/>
    <w:lvl w:ilvl="0">
      <w:lvlJc w:val="left"/>
      <w:lvlText w:val="%1"/>
      <w:numFmt w:val="lowerLetter"/>
      <w:start w:val="1"/>
    </w:lvl>
    <w:lvl w:ilvl="1">
      <w:lvlJc w:val="left"/>
      <w:lvlText w:val="(%2)"/>
      <w:numFmt w:val="lowerRoman"/>
      <w:start w:val="2"/>
    </w:lvl>
  </w:abstractNum>
  <w:abstractNum w:abstractNumId="36">
    <w:nsid w:val="77AE35EB"/>
    <w:multiLevelType w:val="hybridMultilevel"/>
    <w:lvl w:ilvl="0">
      <w:lvlJc w:val="left"/>
      <w:lvlText w:val="(%1)"/>
      <w:numFmt w:val="lowerLetter"/>
      <w:start w:val="13"/>
    </w:lvl>
    <w:lvl w:ilvl="1">
      <w:lvlJc w:val="left"/>
      <w:lvlText w:val="%2"/>
      <w:numFmt w:val="lowerRoman"/>
      <w:start w:val="1"/>
    </w:lvl>
  </w:abstractNum>
  <w:abstractNum w:abstractNumId="37">
    <w:nsid w:val="579BE4F1"/>
    <w:multiLevelType w:val="hybridMultilevel"/>
    <w:lvl w:ilvl="0">
      <w:lvlJc w:val="left"/>
      <w:lvlText w:val="(%1)"/>
      <w:numFmt w:val="lowerLetter"/>
      <w:start w:val="1"/>
    </w:lvl>
    <w:lvl w:ilvl="1">
      <w:lvlJc w:val="left"/>
      <w:lvlText w:val="(%2)"/>
      <w:numFmt w:val="lowerLetter"/>
      <w:start w:val="9"/>
    </w:lvl>
  </w:abstractNum>
  <w:abstractNum w:abstractNumId="38">
    <w:nsid w:val="310C50B3"/>
    <w:multiLevelType w:val="hybridMultilevel"/>
    <w:lvl w:ilvl="0">
      <w:lvlJc w:val="left"/>
      <w:lvlText w:val="(%1)"/>
      <w:numFmt w:val="lowerRoman"/>
      <w:start w:val="2"/>
    </w:lvl>
  </w:abstractNum>
  <w:abstractNum w:abstractNumId="39">
    <w:nsid w:val="5FF87E05"/>
    <w:multiLevelType w:val="hybridMultilevel"/>
    <w:lvl w:ilvl="0">
      <w:lvlJc w:val="left"/>
      <w:lvlText w:val="(%1)"/>
      <w:numFmt w:val="lowerLetter"/>
      <w:start w:val="2"/>
    </w:lvl>
  </w:abstractNum>
  <w:abstractNum w:abstractNumId="40">
    <w:nsid w:val="2F305DEF"/>
    <w:multiLevelType w:val="hybridMultilevel"/>
    <w:lvl w:ilvl="0">
      <w:lvlJc w:val="left"/>
      <w:lvlText w:val="(%1)"/>
      <w:numFmt w:val="lowerRoman"/>
      <w:start w:val="1"/>
    </w:lvl>
    <w:lvl w:ilvl="1">
      <w:lvlJc w:val="left"/>
      <w:lvlText w:val="(%2)"/>
      <w:numFmt w:val="lowerLetter"/>
      <w:start w:val="4"/>
    </w:lvl>
  </w:abstractNum>
  <w:abstractNum w:abstractNumId="41">
    <w:nsid w:val="25A70BF7"/>
    <w:multiLevelType w:val="hybridMultilevel"/>
    <w:lvl w:ilvl="0">
      <w:lvlJc w:val="left"/>
      <w:lvlText w:val="(%1)"/>
      <w:numFmt w:val="lowerLetter"/>
      <w:start w:val="1"/>
    </w:lvl>
  </w:abstractNum>
  <w:abstractNum w:abstractNumId="42">
    <w:nsid w:val="1DBABF00"/>
    <w:multiLevelType w:val="hybridMultilevel"/>
    <w:lvl w:ilvl="0">
      <w:lvlJc w:val="left"/>
      <w:lvlText w:val="(%1)"/>
      <w:numFmt w:val="lowerLetter"/>
      <w:start w:val="2"/>
    </w:lvl>
  </w:abstractNum>
  <w:abstractNum w:abstractNumId="43">
    <w:nsid w:val="4AD084E9"/>
    <w:multiLevelType w:val="hybridMultilevel"/>
    <w:lvl w:ilvl="0">
      <w:lvlJc w:val="left"/>
      <w:lvlText w:val="(%1)"/>
      <w:numFmt w:val="lowerRoman"/>
      <w:start w:val="1"/>
    </w:lvl>
  </w:abstractNum>
  <w:abstractNum w:abstractNumId="44">
    <w:nsid w:val="1F48EAA1"/>
    <w:multiLevelType w:val="hybridMultilevel"/>
    <w:lvl w:ilvl="0">
      <w:lvlJc w:val="left"/>
      <w:lvlText w:val="(%1)"/>
      <w:numFmt w:val="lowerLetter"/>
      <w:start w:val="1"/>
    </w:lvl>
  </w:abstractNum>
  <w:abstractNum w:abstractNumId="45">
    <w:nsid w:val="1381823A"/>
    <w:multiLevelType w:val="hybridMultilevel"/>
    <w:lvl w:ilvl="0">
      <w:lvlJc w:val="left"/>
      <w:lvlText w:val="%1."/>
      <w:numFmt w:val="decimal"/>
      <w:start w:val="1"/>
    </w:lvl>
  </w:abstractNum>
  <w:abstractNum w:abstractNumId="46">
    <w:nsid w:val="5DB70AE5"/>
    <w:multiLevelType w:val="hybridMultilevel"/>
    <w:lvl w:ilvl="0">
      <w:lvlJc w:val="left"/>
      <w:lvlText w:val="%1."/>
      <w:numFmt w:val="decimal"/>
      <w:start w:val="1"/>
    </w:lvl>
  </w:abstractNum>
  <w:abstractNum w:abstractNumId="47">
    <w:nsid w:val="100F8FCA"/>
    <w:multiLevelType w:val="hybridMultilevel"/>
    <w:lvl w:ilvl="0">
      <w:lvlJc w:val="left"/>
      <w:lvlText w:val="(%1)"/>
      <w:numFmt w:val="lowerRoman"/>
      <w:start w:val="1"/>
    </w:lvl>
  </w:abstractNum>
  <w:abstractNum w:abstractNumId="48">
    <w:nsid w:val="6590700B"/>
    <w:multiLevelType w:val="hybridMultilevel"/>
    <w:lvl w:ilvl="0">
      <w:lvlJc w:val="left"/>
      <w:lvlText w:val="(%1)"/>
      <w:numFmt w:val="lowerRoman"/>
      <w:start w:val="1"/>
    </w:lvl>
    <w:lvl w:ilvl="1">
      <w:lvlJc w:val="left"/>
      <w:lvlText w:val="(%2)"/>
      <w:numFmt w:val="lowerRoman"/>
      <w:start w:val="1"/>
    </w:lvl>
  </w:abstractNum>
  <w:abstractNum w:abstractNumId="49">
    <w:nsid w:val="15014ACB"/>
    <w:multiLevelType w:val="hybridMultilevel"/>
    <w:lvl w:ilvl="0">
      <w:lvlJc w:val="left"/>
      <w:lvlText w:val="(%1)"/>
      <w:numFmt w:val="lowerRoman"/>
      <w:start w:val="7"/>
    </w:lvl>
  </w:abstractNum>
  <w:abstractNum w:abstractNumId="50">
    <w:nsid w:val="5F5E7FD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1">
    <w:nsid w:val="98A3148"/>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5"/>
    </w:lvl>
  </w:abstractNum>
  <w:abstractNum w:abstractNumId="52">
    <w:nsid w:val="799D0247"/>
    <w:multiLevelType w:val="hybridMultilevel"/>
    <w:lvl w:ilvl="0">
      <w:lvlJc w:val="left"/>
      <w:lvlText w:val="%1"/>
      <w:numFmt w:val="decimal"/>
      <w:start w:val="1"/>
    </w:lvl>
    <w:lvl w:ilvl="1">
      <w:lvlJc w:val="left"/>
      <w:lvlText w:val="(%2)"/>
      <w:numFmt w:val="lowerLetter"/>
      <w:start w:val="7"/>
    </w:lvl>
  </w:abstractNum>
  <w:abstractNum w:abstractNumId="53">
    <w:nsid w:val="6B94764"/>
    <w:multiLevelType w:val="hybridMultilevel"/>
    <w:lvl w:ilvl="0">
      <w:lvlJc w:val="left"/>
      <w:lvlText w:val="%1."/>
      <w:numFmt w:val="decimal"/>
      <w:start w:val="2"/>
    </w:lvl>
    <w:lvl w:ilvl="1">
      <w:lvlJc w:val="left"/>
      <w:lvlText w:val="(%2)"/>
      <w:numFmt w:val="lowerLetter"/>
      <w:start w:val="1"/>
    </w:lvl>
  </w:abstractNum>
  <w:abstractNum w:abstractNumId="54">
    <w:nsid w:val="42C296BD"/>
    <w:multiLevelType w:val="hybridMultilevel"/>
    <w:lvl w:ilvl="0">
      <w:lvlJc w:val="left"/>
      <w:lvlText w:val="%1."/>
      <w:numFmt w:val="decimal"/>
      <w:start w:val="5"/>
    </w:lvl>
    <w:lvl w:ilvl="1">
      <w:lvlJc w:val="left"/>
      <w:lvlText w:val="(%2)"/>
      <w:numFmt w:val="lowerLetter"/>
      <w:start w:val="1"/>
    </w:lvl>
  </w:abstractNum>
  <w:abstractNum w:abstractNumId="55">
    <w:nsid w:val="168E121F"/>
    <w:multiLevelType w:val="hybridMultilevel"/>
    <w:lvl w:ilvl="0">
      <w:lvlJc w:val="left"/>
      <w:lvlText w:val="%1."/>
      <w:numFmt w:val="decimal"/>
      <w:start w:val="6"/>
    </w:lvl>
    <w:lvl w:ilvl="1">
      <w:lvlJc w:val="left"/>
      <w:lvlText w:val="(%2)"/>
      <w:numFmt w:val="lowerLetter"/>
      <w:start w:val="1"/>
    </w:lvl>
  </w:abstractNum>
  <w:abstractNum w:abstractNumId="56">
    <w:nsid w:val="1EBA5D23"/>
    <w:multiLevelType w:val="hybridMultilevel"/>
    <w:lvl w:ilvl="0">
      <w:lvlJc w:val="left"/>
      <w:lvlText w:val="(%1)"/>
      <w:numFmt w:val="lowerLetter"/>
      <w:start w:val="2"/>
    </w:lvl>
  </w:abstractNum>
  <w:abstractNum w:abstractNumId="57">
    <w:nsid w:val="661E3F1E"/>
    <w:multiLevelType w:val="hybridMultilevel"/>
    <w:lvl w:ilvl="0">
      <w:lvlJc w:val="left"/>
      <w:lvlText w:val="%1"/>
      <w:numFmt w:val="decimal"/>
      <w:start w:val="1"/>
    </w:lvl>
    <w:lvl w:ilvl="1">
      <w:lvlJc w:val="left"/>
      <w:lvlText w:val="(%2)"/>
      <w:numFmt w:val="lowerLetter"/>
      <w:start w:val="5"/>
    </w:lvl>
  </w:abstractNum>
  <w:abstractNum w:abstractNumId="58">
    <w:nsid w:val="5DC79EA8"/>
    <w:multiLevelType w:val="hybridMultilevel"/>
    <w:lvl w:ilvl="0">
      <w:lvlJc w:val="left"/>
      <w:lvlText w:val="%1."/>
      <w:numFmt w:val="decimal"/>
      <w:start w:val="10"/>
    </w:lvl>
    <w:lvl w:ilvl="1">
      <w:lvlJc w:val="left"/>
      <w:lvlText w:val="%2"/>
      <w:numFmt w:val="lowerLetter"/>
      <w:start w:val="1"/>
    </w:lvl>
  </w:abstractNum>
  <w:abstractNum w:abstractNumId="59">
    <w:nsid w:val="540A471C"/>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60">
    <w:nsid w:val="7BD3EE7B"/>
    <w:multiLevelType w:val="hybridMultilevel"/>
    <w:lvl w:ilvl="0">
      <w:lvlJc w:val="left"/>
      <w:lvlText w:val="(%1)"/>
      <w:numFmt w:val="decimal"/>
      <w:start w:val="2"/>
    </w:lvl>
    <w:lvl w:ilvl="1">
      <w:lvlJc w:val="left"/>
      <w:lvlText w:val="%2."/>
      <w:numFmt w:val="decimal"/>
      <w:start w:val="11"/>
    </w:lvl>
    <w:lvl w:ilvl="2">
      <w:lvlJc w:val="left"/>
      <w:lvlText w:val="(%3)"/>
      <w:numFmt w:val="lowerLetter"/>
      <w:start w:val="2"/>
    </w:lvl>
  </w:abstractNum>
  <w:abstractNum w:abstractNumId="61">
    <w:nsid w:val="51D9C564"/>
    <w:multiLevelType w:val="hybridMultilevel"/>
    <w:lvl w:ilvl="0">
      <w:lvlJc w:val="left"/>
      <w:lvlText w:val="%1."/>
      <w:numFmt w:val="decimal"/>
      <w:start w:val="14"/>
    </w:lvl>
    <w:lvl w:ilvl="1">
      <w:lvlJc w:val="left"/>
      <w:lvlText w:val="(%2)"/>
      <w:numFmt w:val="lowerLetter"/>
      <w:start w:val="1"/>
    </w:lvl>
  </w:abstractNum>
  <w:abstractNum w:abstractNumId="62">
    <w:nsid w:val="613EFDC5"/>
    <w:multiLevelType w:val="hybridMultilevel"/>
    <w:lvl w:ilvl="0">
      <w:lvlJc w:val="left"/>
      <w:lvlText w:val="(%1)"/>
      <w:numFmt w:val="lowerLetter"/>
      <w:start w:val="3"/>
    </w:lvl>
  </w:abstractNum>
  <w:abstractNum w:abstractNumId="63">
    <w:nsid w:val="BF72B14"/>
    <w:multiLevelType w:val="hybridMultilevel"/>
    <w:lvl w:ilvl="0">
      <w:lvlJc w:val="left"/>
      <w:lvlText w:val="(%1)"/>
      <w:numFmt w:val="decimal"/>
      <w:start w:val="1"/>
    </w:lvl>
    <w:lvl w:ilvl="1">
      <w:lvlJc w:val="left"/>
      <w:lvlText w:val="☐"/>
      <w:numFmt w:val="bullet"/>
      <w:start w:val="1"/>
    </w:lvl>
  </w:abstractNum>
  <w:abstractNum w:abstractNumId="64">
    <w:nsid w:val="11447B7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5">
    <w:nsid w:val="42963E5A"/>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5"/>
    </w:lvl>
  </w:abstractNum>
  <w:abstractNum w:abstractNumId="66">
    <w:nsid w:val="A0382C5"/>
    <w:multiLevelType w:val="hybridMultilevel"/>
    <w:lvl w:ilvl="0">
      <w:lvlJc w:val="left"/>
      <w:lvlText w:val="%1"/>
      <w:numFmt w:val="decimal"/>
      <w:start w:val="1"/>
    </w:lvl>
    <w:lvl w:ilvl="1">
      <w:lvlJc w:val="left"/>
      <w:lvlText w:val="(%2)"/>
      <w:numFmt w:val="lowerLetter"/>
      <w:start w:val="7"/>
    </w:lvl>
  </w:abstractNum>
  <w:abstractNum w:abstractNumId="67">
    <w:nsid w:val="8F2B15E"/>
    <w:multiLevelType w:val="hybridMultilevel"/>
    <w:lvl w:ilvl="0">
      <w:lvlJc w:val="left"/>
      <w:lvlText w:val="%1."/>
      <w:numFmt w:val="decimal"/>
      <w:start w:val="2"/>
    </w:lvl>
    <w:lvl w:ilvl="1">
      <w:lvlJc w:val="left"/>
      <w:lvlText w:val="(%2)"/>
      <w:numFmt w:val="lowerLetter"/>
      <w:start w:val="1"/>
    </w:lvl>
  </w:abstractNum>
  <w:abstractNum w:abstractNumId="68">
    <w:nsid w:val="1A32234B"/>
    <w:multiLevelType w:val="hybridMultilevel"/>
    <w:lvl w:ilvl="0">
      <w:lvlJc w:val="left"/>
      <w:lvlText w:val="%1"/>
      <w:numFmt w:val="decimal"/>
      <w:start w:val="1"/>
    </w:lvl>
    <w:lvl w:ilvl="1">
      <w:lvlJc w:val="left"/>
      <w:lvlText w:val="(%2)"/>
      <w:numFmt w:val="lowerLetter"/>
      <w:start w:val="2"/>
    </w:lvl>
  </w:abstractNum>
  <w:abstractNum w:abstractNumId="69">
    <w:nsid w:val="3B0FD379"/>
    <w:multiLevelType w:val="hybridMultilevel"/>
    <w:lvl w:ilvl="0">
      <w:lvlJc w:val="left"/>
      <w:lvlText w:val="%1."/>
      <w:numFmt w:val="decimal"/>
      <w:start w:val="5"/>
    </w:lvl>
    <w:lvl w:ilvl="1">
      <w:lvlJc w:val="left"/>
      <w:lvlText w:val="(%2)"/>
      <w:numFmt w:val="lowerLetter"/>
      <w:start w:val="1"/>
    </w:lvl>
  </w:abstractNum>
  <w:abstractNum w:abstractNumId="70">
    <w:nsid w:val="68EB2F63"/>
    <w:multiLevelType w:val="hybridMultilevel"/>
    <w:lvl w:ilvl="0">
      <w:lvlJc w:val="left"/>
      <w:lvlText w:val="%1."/>
      <w:numFmt w:val="decimal"/>
      <w:start w:val="6"/>
    </w:lvl>
    <w:lvl w:ilvl="1">
      <w:lvlJc w:val="left"/>
      <w:lvlText w:val="(%2)"/>
      <w:numFmt w:val="lowerLetter"/>
      <w:start w:val="1"/>
    </w:lvl>
  </w:abstractNum>
  <w:abstractNum w:abstractNumId="71">
    <w:nsid w:val="4962813B"/>
    <w:multiLevelType w:val="hybridMultilevel"/>
    <w:lvl w:ilvl="0">
      <w:lvlJc w:val="left"/>
      <w:lvlText w:val="(%1)"/>
      <w:numFmt w:val="lowerLetter"/>
      <w:start w:val="2"/>
    </w:lvl>
  </w:abstractNum>
  <w:abstractNum w:abstractNumId="72">
    <w:nsid w:val="60B6DF70"/>
    <w:multiLevelType w:val="hybridMultilevel"/>
    <w:lvl w:ilvl="0">
      <w:lvlJc w:val="left"/>
      <w:lvlText w:val="(%1)"/>
      <w:numFmt w:val="lowerLetter"/>
      <w:start w:val="4"/>
    </w:lvl>
  </w:abstractNum>
  <w:abstractNum w:abstractNumId="73">
    <w:nsid w:val="6A5EE64"/>
    <w:multiLevelType w:val="hybridMultilevel"/>
    <w:lvl w:ilvl="0">
      <w:lvlJc w:val="left"/>
      <w:lvlText w:val="%1"/>
      <w:numFmt w:val="decimal"/>
      <w:start w:val="1"/>
    </w:lvl>
    <w:lvl w:ilvl="1">
      <w:lvlJc w:val="left"/>
      <w:lvlText w:val="(%2)"/>
      <w:numFmt w:val="lowerLetter"/>
      <w:start w:val="5"/>
    </w:lvl>
  </w:abstractNum>
  <w:abstractNum w:abstractNumId="74">
    <w:nsid w:val="14330624"/>
    <w:multiLevelType w:val="hybridMultilevel"/>
    <w:lvl w:ilvl="0">
      <w:lvlJc w:val="left"/>
      <w:lvlText w:val="%1."/>
      <w:numFmt w:val="decimal"/>
      <w:start w:val="10"/>
    </w:lvl>
    <w:lvl w:ilvl="1">
      <w:lvlJc w:val="left"/>
      <w:lvlText w:val="%2"/>
      <w:numFmt w:val="lowerLetter"/>
      <w:start w:val="1"/>
    </w:lvl>
  </w:abstractNum>
  <w:abstractNum w:abstractNumId="75">
    <w:nsid w:val="7FFFCA11"/>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76">
    <w:nsid w:val="1A27709E"/>
    <w:multiLevelType w:val="hybridMultilevel"/>
    <w:lvl w:ilvl="0">
      <w:lvlJc w:val="left"/>
      <w:lvlText w:val="(%1)"/>
      <w:numFmt w:val="decimal"/>
      <w:start w:val="2"/>
    </w:lvl>
    <w:lvl w:ilvl="1">
      <w:lvlJc w:val="left"/>
      <w:lvlText w:val="%2"/>
      <w:numFmt w:val="decimal"/>
      <w:start w:val="1"/>
    </w:lvl>
    <w:lvl w:ilvl="2">
      <w:lvlJc w:val="left"/>
      <w:lvlText w:val="(%3)"/>
      <w:numFmt w:val="lowerLetter"/>
      <w:start w:val="2"/>
    </w:lvl>
  </w:abstractNum>
  <w:abstractNum w:abstractNumId="77">
    <w:nsid w:val="71EA1109"/>
    <w:multiLevelType w:val="hybridMultilevel"/>
    <w:lvl w:ilvl="0">
      <w:lvlJc w:val="left"/>
      <w:lvlText w:val="%1"/>
      <w:numFmt w:val="lowerRoman"/>
      <w:start w:val="1"/>
    </w:lvl>
    <w:lvl w:ilvl="1">
      <w:lvlJc w:val="left"/>
      <w:lvlText w:val="%2."/>
      <w:numFmt w:val="decimal"/>
      <w:start w:val="12"/>
    </w:lvl>
  </w:abstractNum>
  <w:abstractNum w:abstractNumId="78">
    <w:nsid w:val="100F59DC"/>
    <w:multiLevelType w:val="hybridMultilevel"/>
    <w:lvl w:ilvl="0">
      <w:lvlJc w:val="left"/>
      <w:lvlText w:val="(%1)"/>
      <w:numFmt w:val="lowerRoman"/>
      <w:start w:val="3"/>
    </w:lvl>
    <w:lvl w:ilvl="1">
      <w:lvlJc w:val="left"/>
      <w:lvlText w:val="%2"/>
      <w:numFmt w:val="decimal"/>
      <w:start w:val="1"/>
    </w:lvl>
  </w:abstractNum>
  <w:abstractNum w:abstractNumId="79">
    <w:nsid w:val="7FB7E0AA"/>
    <w:multiLevelType w:val="hybridMultilevel"/>
    <w:lvl w:ilvl="0">
      <w:lvlJc w:val="left"/>
      <w:lvlText w:val="%1."/>
      <w:numFmt w:val="decimal"/>
      <w:start w:val="14"/>
    </w:lvl>
    <w:lvl w:ilvl="1">
      <w:lvlJc w:val="left"/>
      <w:lvlText w:val="(%2)"/>
      <w:numFmt w:val="lowerLetter"/>
      <w:start w:val="1"/>
    </w:lvl>
  </w:abstractNum>
  <w:abstractNum w:abstractNumId="80">
    <w:nsid w:val="6EB5BD4"/>
    <w:multiLevelType w:val="hybridMultilevel"/>
    <w:lvl w:ilvl="0">
      <w:lvlJc w:val="left"/>
      <w:lvlText w:val="(%1)"/>
      <w:numFmt w:val="lowerLetter"/>
      <w:start w:val="2"/>
    </w:lvl>
  </w:abstractNum>
  <w:abstractNum w:abstractNumId="81">
    <w:nsid w:val="6F6DD9AC"/>
    <w:multiLevelType w:val="hybridMultilevel"/>
    <w:lvl w:ilvl="0">
      <w:lvlJc w:val="left"/>
      <w:lvlText w:val="(%1)"/>
      <w:numFmt w:val="lowerLetter"/>
      <w:start w:val="8"/>
    </w:lvl>
  </w:abstractNum>
  <w:abstractNum w:abstractNumId="82">
    <w:nsid w:val="94211F2"/>
    <w:multiLevelType w:val="hybridMultilevel"/>
    <w:lvl w:ilvl="0">
      <w:lvlJc w:val="left"/>
      <w:lvlText w:val="(%1)"/>
      <w:numFmt w:val="decimal"/>
      <w:start w:val="1"/>
    </w:lvl>
    <w:lvl w:ilvl="1">
      <w:lvlJc w:val="left"/>
      <w:lvlText w:val="☐"/>
      <w:numFmt w:val="bullet"/>
      <w:start w:val="1"/>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lowerLetter"/>
      <w:start w:val="1"/>
    </w:lvl>
  </w:abstractNum>
  <w:abstractNum w:abstractNumId="85">
    <w:nsid w:val="4C04A8AF"/>
    <w:multiLevelType w:val="hybridMultilevel"/>
    <w:lvl w:ilvl="0">
      <w:lvlJc w:val="left"/>
      <w:lvlText w:val="(%1)"/>
      <w:numFmt w:val="decimal"/>
      <w:start w:val="949"/>
    </w:lvl>
  </w:abstractNum>
  <w:abstractNum w:abstractNumId="86">
    <w:nsid w:val="1716703B"/>
    <w:multiLevelType w:val="hybridMultilevel"/>
    <w:lvl w:ilvl="0">
      <w:lvlJc w:val="left"/>
      <w:lvlText w:val="(%1)"/>
      <w:numFmt w:val="decimal"/>
      <w:start w:val="949"/>
    </w:lvl>
  </w:abstractNum>
  <w:abstractNum w:abstractNumId="87">
    <w:nsid w:val="14E17E33"/>
    <w:multiLevelType w:val="hybridMultilevel"/>
    <w:lvl w:ilvl="0">
      <w:lvlJc w:val="left"/>
      <w:lvlText w:val="(%1)"/>
      <w:numFmt w:val="decimal"/>
      <w:start w:val="949"/>
    </w:lvl>
  </w:abstractNum>
  <w:abstractNum w:abstractNumId="88">
    <w:nsid w:val="3222E7CD"/>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2024-03-01T16:35:46Z</dcterms:created>
  <dcterms:modified xsi:type="dcterms:W3CDTF">2024-03-01T16:35:46Z</dcterms:modified>
</cp:coreProperties>
</file>