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6965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6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14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Wahl Bryan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 w:line="3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0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60"/>
            <w:col w:w="3106" w:space="720"/>
            <w:col w:w="3354"/>
          </w:cols>
          <w:pgMar w:left="460" w:top="216" w:right="359" w:bottom="514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right"/>
              <w:ind w:right="154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03/15/2025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19,213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61,398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4,790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4,790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7,248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7,175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03/15/2025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7,175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5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-2818765</wp:posOffset>
            </wp:positionV>
            <wp:extent cx="29210" cy="28238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23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were issued pursuant to settlement of vested Restricted Stock Units ("RSUs").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1,234 shares acquired under the Issuer's Employee Stock Purchase Plan on June 30, 2024.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RSU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9, 2022, under the Tarsus Pharmaceuticals, Inc. 2020 Stock Plan. 25% of the RSUs will vest on March 15th of each of 2023, 2024, 2025, and 2026,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8, 2023, under the Tarsus Pharmaceuticals, Inc. 2020 Stock Plan. 25% of the RSUs will vest on March 15th of each of 2024, 2025, 2026 and 2027, subject to the Reporting Person's continuous service.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RSUs granted on March 7, 2024, under the Tarsus Pharmaceuticals, Inc. 2020 Stock Plan. 25% of the RSUs will vest on March 15th of each of 2025, 2026, 2027 and 2028, subject to the Reporting Person's continuous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03/18/2025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4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14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1401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2025-03-18T20:46:30Z</dcterms:created>
  <dcterms:modified xsi:type="dcterms:W3CDTF">2025-03-18T20:46:30Z</dcterms:modified>
</cp:coreProperties>
</file>