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w:t>
      </w:r>
    </w:p>
    <w:p>
      <w:pPr>
        <w:pStyle w:val="TextBody"/>
        <w:bidi w:val="0"/>
        <w:spacing w:lineRule="auto" w:line="288" w:before="240" w:after="283"/>
        <w:jc w:val="center"/>
        <w:rPr>
          <w:rFonts w:ascii="Times New Roman;sans-serif" w:hAnsi="Times New Roman;sans-serif"/>
          <w:b/>
          <w:color w:val="000000"/>
          <w:sz w:val="32"/>
        </w:rPr>
      </w:pPr>
      <w:r>
        <w:rPr>
          <w:rFonts w:ascii="Times New Roman;sans-serif" w:hAnsi="Times New Roman;sans-serif"/>
          <w:b/>
          <w:color w:val="000000"/>
          <w:sz w:val="32"/>
        </w:rPr>
        <w:t xml:space="preserve">FORM 8-K </w:t>
      </w:r>
    </w:p>
    <w:p>
      <w:pPr>
        <w:pStyle w:val="TextBody"/>
        <w:bidi w:val="0"/>
        <w:spacing w:lineRule="auto" w:line="288" w:before="240" w:after="283"/>
        <w:jc w:val="center"/>
        <w:rPr>
          <w:rFonts w:ascii="Times New Roman;sans-serif" w:hAnsi="Times New Roman;sans-serif"/>
          <w:b/>
          <w:color w:val="231F20"/>
          <w:sz w:val="22"/>
        </w:rPr>
      </w:pPr>
      <w:r>
        <w:rPr>
          <w:rFonts w:ascii="Times New Roman;sans-serif" w:hAnsi="Times New Roman;sans-serif"/>
          <w:b/>
          <w:color w:val="231F20"/>
          <w:sz w:val="22"/>
        </w:rPr>
        <w:t>CURRENT REPORT</w:t>
      </w:r>
    </w:p>
    <w:p>
      <w:pPr>
        <w:pStyle w:val="TextBody"/>
        <w:bidi w:val="0"/>
        <w:spacing w:lineRule="auto" w:line="288" w:before="0" w:after="0"/>
        <w:jc w:val="center"/>
        <w:rPr>
          <w:rFonts w:ascii="Times New Roman;sans-serif" w:hAnsi="Times New Roman;sans-serif"/>
          <w:b/>
          <w:color w:val="231F20"/>
          <w:sz w:val="22"/>
        </w:rPr>
      </w:pPr>
      <w:r>
        <w:rPr>
          <w:rFonts w:ascii="Times New Roman;sans-serif" w:hAnsi="Times New Roman;sans-serif"/>
          <w:b/>
          <w:color w:val="231F20"/>
          <w:sz w:val="22"/>
        </w:rPr>
        <w:t>Pursuant to Section 13 OR 15(d) of The Securities Exchange Act of 1934</w:t>
      </w:r>
    </w:p>
    <w:p>
      <w:pPr>
        <w:pStyle w:val="TextBody"/>
        <w:bidi w:val="0"/>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 xml:space="preserve">Date of Report (date of earliest event reported) November 13, 2024 </w:t>
      </w:r>
    </w:p>
    <w:p>
      <w:pPr>
        <w:pStyle w:val="TextBody"/>
        <w:bidi w:val="0"/>
        <w:spacing w:lineRule="auto" w:line="276"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w:t>
      </w:r>
    </w:p>
    <w:p>
      <w:pPr>
        <w:pStyle w:val="TextBody"/>
        <w:bidi w:val="0"/>
        <w:spacing w:lineRule="auto" w:line="288" w:before="240" w:after="283"/>
        <w:jc w:val="center"/>
        <w:rPr>
          <w:rFonts w:ascii="Times New Roman;sans-serif" w:hAnsi="Times New Roman;sans-serif"/>
          <w:b/>
          <w:color w:val="000000"/>
          <w:sz w:val="44"/>
        </w:rPr>
      </w:pPr>
      <w:r>
        <w:rPr>
          <w:rFonts w:ascii="Times New Roman;sans-serif" w:hAnsi="Times New Roman;sans-serif"/>
          <w:b/>
          <w:color w:val="000000"/>
          <w:sz w:val="44"/>
        </w:rPr>
        <w:t>TARSUS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w:t>
      </w:r>
    </w:p>
    <w:tbl>
      <w:tblPr>
        <w:tblW w:w="7026" w:type="dxa"/>
        <w:jc w:val="center"/>
        <w:tblInd w:w="0" w:type="dxa"/>
        <w:tblLayout w:type="fixed"/>
        <w:tblCellMar>
          <w:top w:w="28" w:type="dxa"/>
          <w:left w:w="28" w:type="dxa"/>
          <w:bottom w:w="28" w:type="dxa"/>
          <w:right w:w="28" w:type="dxa"/>
        </w:tblCellMar>
      </w:tblPr>
      <w:tblGrid>
        <w:gridCol w:w="1002"/>
        <w:gridCol w:w="883"/>
        <w:gridCol w:w="889"/>
        <w:gridCol w:w="278"/>
        <w:gridCol w:w="278"/>
        <w:gridCol w:w="278"/>
        <w:gridCol w:w="278"/>
        <w:gridCol w:w="278"/>
        <w:gridCol w:w="286"/>
        <w:gridCol w:w="733"/>
        <w:gridCol w:w="733"/>
        <w:gridCol w:w="738"/>
        <w:gridCol w:w="109"/>
        <w:gridCol w:w="109"/>
        <w:gridCol w:w="154"/>
      </w:tblGrid>
      <w:tr>
        <w:trPr/>
        <w:tc>
          <w:tcPr>
            <w:tcW w:w="100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676" w:type="dxa"/>
            <w:gridSpan w:val="6"/>
            <w:tcBorders/>
            <w:tcMar>
              <w:top w:w="0" w:type="dxa"/>
              <w:left w:w="0" w:type="dxa"/>
              <w:bottom w:w="0" w:type="dxa"/>
              <w:right w:w="0" w:type="dxa"/>
            </w:tcMar>
            <w:vAlign w:val="center"/>
          </w:tcPr>
          <w:p>
            <w:pPr>
              <w:pStyle w:val="TableContents"/>
              <w:bidi w:val="0"/>
              <w:spacing w:lineRule="auto" w:line="256" w:before="120" w:after="283"/>
              <w:jc w:val="center"/>
              <w:rPr>
                <w:rFonts w:ascii="Times New Roman;sans-serif" w:hAnsi="Times New Roman;sans-serif"/>
                <w:b/>
                <w:color w:val="000000"/>
                <w:sz w:val="18"/>
              </w:rPr>
            </w:pPr>
            <w:r>
              <w:rPr>
                <w:rFonts w:ascii="Times New Roman;sans-serif" w:hAnsi="Times New Roman;sans-serif"/>
                <w:b/>
                <w:color w:val="000000"/>
                <w:sz w:val="18"/>
              </w:rPr>
              <w:t>001-39614</w:t>
            </w:r>
          </w:p>
        </w:tc>
        <w:tc>
          <w:tcPr>
            <w:tcW w:w="2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81-4717861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 incorporation)</w:t>
            </w:r>
          </w:p>
        </w:tc>
        <w:tc>
          <w:tcPr>
            <w:tcW w:w="1676"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(Commission File Number)</w:t>
            </w:r>
          </w:p>
        </w:tc>
        <w:tc>
          <w:tcPr>
            <w:tcW w:w="2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231F20"/>
          <w:sz w:val="20"/>
        </w:rPr>
      </w:pPr>
      <w:r>
        <w:rPr>
          <w:rFonts w:ascii="Times New Roman;sans-serif" w:hAnsi="Times New Roman;sans-serif"/>
          <w:b/>
          <w:color w:val="231F20"/>
          <w:sz w:val="20"/>
        </w:rPr>
        <w:t>15440 Laguna Canyon Road, Suite 160</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Irvine, CA 92618</w:t>
      </w:r>
    </w:p>
    <w:p>
      <w:pPr>
        <w:pStyle w:val="TextBody"/>
        <w:bidi w:val="0"/>
        <w:spacing w:lineRule="auto" w:line="288" w:before="0" w:after="0"/>
        <w:jc w:val="center"/>
        <w:rPr>
          <w:rFonts w:ascii="Times New Roman;sans-serif" w:hAnsi="Times New Roman;sans-serif"/>
          <w:b/>
          <w:color w:val="231F20"/>
          <w:sz w:val="14"/>
        </w:rPr>
      </w:pPr>
      <w:r>
        <w:rPr>
          <w:rFonts w:ascii="Times New Roman;sans-serif" w:hAnsi="Times New Roman;sans-serif"/>
          <w:b/>
          <w:color w:val="231F20"/>
          <w:sz w:val="14"/>
        </w:rPr>
        <w:t>(Address of principal executive offices, including Zip Code)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(949) 418-1801</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ans-serif" w:hAnsi="Times New Roman;sans-serif"/>
                <w:b w:val="false"/>
                <w:color w:val="231F20"/>
                <w:sz w:val="18"/>
              </w:rPr>
            </w:pPr>
            <w:r>
              <w:rPr>
                <w:rFonts w:ascii="Times New Roman;sans-serif" w:hAnsi="Times New Roman;sans-serif"/>
                <w:b w:val="false"/>
                <w:color w:val="231F2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ind w:left="0" w:right="0" w:hanging="36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ans-serif" w:hAnsi="Times New Roman;sans-serif"/>
                <w:b w:val="false"/>
                <w:color w:val="231F20"/>
                <w:sz w:val="18"/>
              </w:rPr>
            </w:pPr>
            <w:r>
              <w:rPr>
                <w:rFonts w:ascii="Times New Roman;sans-serif" w:hAnsi="Times New Roman;sans-serif"/>
                <w:b w:val="false"/>
                <w:color w:val="231F2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00" w:after="283"/>
              <w:ind w:left="0" w:right="0" w:hanging="36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ans-serif" w:hAnsi="Times New Roman;sans-serif"/>
                <w:b w:val="false"/>
                <w:color w:val="231F20"/>
                <w:sz w:val="18"/>
              </w:rPr>
            </w:pPr>
            <w:r>
              <w:rPr>
                <w:rFonts w:ascii="Times New Roman;sans-serif" w:hAnsi="Times New Roman;sans-serif"/>
                <w:b w:val="false"/>
                <w:color w:val="231F20"/>
                <w:sz w:val="18"/>
              </w:rPr>
              <w:t>Pre-commencement communications pursuant to Rule 13e-4(c) under the Exchange Act (17 CFR 240.13e-4(c))</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8008" w:type="dxa"/>
        <w:jc w:val="left"/>
        <w:tblInd w:w="0" w:type="dxa"/>
        <w:tblLayout w:type="fixed"/>
        <w:tblCellMar>
          <w:top w:w="28" w:type="dxa"/>
          <w:left w:w="28" w:type="dxa"/>
          <w:bottom w:w="28" w:type="dxa"/>
          <w:right w:w="28" w:type="dxa"/>
        </w:tblCellMar>
      </w:tblPr>
      <w:tblGrid>
        <w:gridCol w:w="1184"/>
        <w:gridCol w:w="1043"/>
        <w:gridCol w:w="1058"/>
        <w:gridCol w:w="484"/>
        <w:gridCol w:w="484"/>
        <w:gridCol w:w="486"/>
        <w:gridCol w:w="956"/>
        <w:gridCol w:w="956"/>
        <w:gridCol w:w="1357"/>
      </w:tblGrid>
      <w:tr>
        <w:trPr/>
        <w:tc>
          <w:tcPr>
            <w:tcW w:w="118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454"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69"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per share</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TARS</w:t>
            </w:r>
          </w:p>
        </w:tc>
        <w:tc>
          <w:tcPr>
            <w:tcW w:w="32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p>
            <w:pPr>
              <w:pStyle w:val="TableContents"/>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bidi w:val="0"/>
        <w:spacing w:lineRule="auto" w:line="288" w:before="240" w:after="283"/>
        <w:jc w:val="left"/>
        <w:rPr/>
      </w:pPr>
      <w:r>
        <w:rPr>
          <w:rFonts w:ascii="Times New Roman;sans-serif" w:hAnsi="Times New Roman;sans-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sans-serif" w:hAnsi="Times New Roman;sans-serif"/>
          <w:b w:val="false"/>
          <w:color w:val="231F20"/>
          <w:sz w:val="18"/>
        </w:rPr>
        <w:t>Emerging growth company ☒</w:t>
      </w:r>
    </w:p>
    <w:p>
      <w:pPr>
        <w:pStyle w:val="TextBody"/>
        <w:bidi w:val="0"/>
        <w:spacing w:lineRule="auto" w:line="288"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13, 2024, Tarsus Pharmaceuticals, Inc. (the “Company”) issued a press release, which, among other matters, sets forth the Company’s results of operations for the three and nine months ended September 30, 2024. A copy of the press release is attached hereto as Exhibit 99.1 and is incorporated herein by reference.</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information, including Exhibit 99.1, is being furnished under Item 2.02 and shall not be deemed “filed” for purposes of Section 18 of the Securities Exchange Act of 1934, as amended, or otherwise subject to the liability of that section, nor shall it be deemed incorporated by reference in any filing under the Securities Act of 1933, as amended, except as shall be expressly set forth by specific reference in such a filing.</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7898" w:type="dxa"/>
        <w:jc w:val="left"/>
        <w:tblInd w:w="0" w:type="dxa"/>
        <w:tblLayout w:type="fixed"/>
        <w:tblCellMar>
          <w:top w:w="28" w:type="dxa"/>
          <w:left w:w="28" w:type="dxa"/>
          <w:bottom w:w="28" w:type="dxa"/>
          <w:right w:w="28" w:type="dxa"/>
        </w:tblCellMar>
      </w:tblPr>
      <w:tblGrid>
        <w:gridCol w:w="135"/>
        <w:gridCol w:w="118"/>
        <w:gridCol w:w="118"/>
        <w:gridCol w:w="140"/>
        <w:gridCol w:w="140"/>
        <w:gridCol w:w="141"/>
        <w:gridCol w:w="118"/>
        <w:gridCol w:w="118"/>
        <w:gridCol w:w="118"/>
        <w:gridCol w:w="109"/>
        <w:gridCol w:w="109"/>
        <w:gridCol w:w="109"/>
        <w:gridCol w:w="109"/>
        <w:gridCol w:w="109"/>
        <w:gridCol w:w="109"/>
        <w:gridCol w:w="109"/>
        <w:gridCol w:w="109"/>
        <w:gridCol w:w="109"/>
        <w:gridCol w:w="610"/>
        <w:gridCol w:w="610"/>
        <w:gridCol w:w="610"/>
        <w:gridCol w:w="610"/>
        <w:gridCol w:w="610"/>
        <w:gridCol w:w="610"/>
        <w:gridCol w:w="610"/>
        <w:gridCol w:w="610"/>
        <w:gridCol w:w="891"/>
      </w:tblGrid>
      <w:tr>
        <w:trPr/>
        <w:tc>
          <w:tcPr>
            <w:tcW w:w="1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6"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Exhibit No.</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7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20"/>
              <w:jc w:val="righ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20"/>
              <w:jc w:val="left"/>
              <w:rPr/>
            </w:pPr>
            <w:hyperlink w:anchor="exhibit991tarsus11132024pr.htm">
              <w:r>
                <w:rPr>
                  <w:rStyle w:val="InternetLink"/>
                  <w:rFonts w:ascii="Times New Roman;sans-serif" w:hAnsi="Times New Roman;sans-serif"/>
                  <w:b w:val="false"/>
                  <w:color w:val="0000FF"/>
                  <w:sz w:val="20"/>
                  <w:u w:val="single"/>
                </w:rPr>
                <w:t>Press Release dated November 13, 2024.</w:t>
              </w:r>
            </w:hyperlink>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771"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SIGNATURES</w:t>
      </w:r>
    </w:p>
    <w:p>
      <w:pPr>
        <w:pStyle w:val="TextBody"/>
        <w:bidi w:val="0"/>
        <w:spacing w:before="0" w:after="0"/>
        <w:jc w:val="center"/>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tbl>
      <w:tblPr>
        <w:tblW w:w="8925" w:type="dxa"/>
        <w:jc w:val="left"/>
        <w:tblInd w:w="0" w:type="dxa"/>
        <w:tblLayout w:type="fixed"/>
        <w:tblCellMar>
          <w:top w:w="28" w:type="dxa"/>
          <w:left w:w="28" w:type="dxa"/>
          <w:bottom w:w="28" w:type="dxa"/>
          <w:right w:w="28" w:type="dxa"/>
        </w:tblCellMar>
      </w:tblPr>
      <w:tblGrid>
        <w:gridCol w:w="216"/>
        <w:gridCol w:w="191"/>
        <w:gridCol w:w="192"/>
        <w:gridCol w:w="569"/>
        <w:gridCol w:w="569"/>
        <w:gridCol w:w="571"/>
        <w:gridCol w:w="109"/>
        <w:gridCol w:w="109"/>
        <w:gridCol w:w="109"/>
        <w:gridCol w:w="109"/>
        <w:gridCol w:w="109"/>
        <w:gridCol w:w="109"/>
        <w:gridCol w:w="109"/>
        <w:gridCol w:w="109"/>
        <w:gridCol w:w="109"/>
        <w:gridCol w:w="109"/>
        <w:gridCol w:w="109"/>
        <w:gridCol w:w="109"/>
        <w:gridCol w:w="827"/>
        <w:gridCol w:w="827"/>
        <w:gridCol w:w="827"/>
        <w:gridCol w:w="827"/>
        <w:gridCol w:w="827"/>
        <w:gridCol w:w="117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TARSUS PHARMACEUTICALS,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7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0"/>
              <w:ind w:left="0" w:right="0" w:firstLine="20"/>
              <w:jc w:val="left"/>
              <w:rPr/>
            </w:pPr>
            <w:r>
              <w:rPr/>
            </w:r>
          </w:p>
        </w:tc>
        <w:tc>
          <w:tcPr>
            <w:tcW w:w="530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Farrow</w:t>
            </w:r>
          </w:p>
        </w:tc>
      </w:tr>
      <w:tr>
        <w:trPr/>
        <w:tc>
          <w:tcPr>
            <w:tcW w:w="26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Farrow</w:t>
            </w:r>
          </w:p>
        </w:tc>
      </w:tr>
      <w:tr>
        <w:trPr/>
        <w:tc>
          <w:tcPr>
            <w:tcW w:w="26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Strategy Officer</w:t>
            </w:r>
          </w:p>
        </w:tc>
      </w:tr>
      <w:tr>
        <w:trPr/>
        <w:tc>
          <w:tcPr>
            <w:tcW w:w="26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600200" cy="11620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00200" cy="11620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Reports Third Quarter and Year-to-Date 2024 Financial Results and Recent Business Achievements</w:t>
      </w:r>
    </w:p>
    <w:p>
      <w:pPr>
        <w:pStyle w:val="TextBody"/>
        <w:bidi w:val="0"/>
        <w:spacing w:before="0" w:after="0"/>
        <w:jc w:val="left"/>
        <w:rPr/>
      </w:pPr>
      <w:r>
        <w:rPr/>
      </w:r>
    </w:p>
    <w:p>
      <w:pPr>
        <w:pStyle w:val="TextBody"/>
        <w:bidi w:val="0"/>
        <w:spacing w:lineRule="auto" w:line="276" w:before="0" w:after="0"/>
        <w:jc w:val="center"/>
        <w:rPr/>
      </w:pPr>
      <w:r>
        <w:rPr>
          <w:rFonts w:ascii="Times New Roman;sans-serif" w:hAnsi="Times New Roman;sans-serif"/>
          <w:b w:val="false"/>
          <w:i/>
          <w:color w:val="000000"/>
          <w:sz w:val="20"/>
        </w:rPr>
        <w:t>Generated $48.1 million in XDEMVY</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i/>
          <w:color w:val="000000"/>
          <w:sz w:val="20"/>
        </w:rPr>
        <w:t xml:space="preserve">net product sales driven by more than 41,400 bottles delivered to patients in the third quarter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Strengthened payer coverage highlighted by securing the two remaining large Medicare contracts; broad commercial and Medicare coverage now extends to more than 80% of covered lives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New XDEMVY data demonstrated statistically significant and clinically meaningful improvements from baseline across objective measures of Meibomian Gland Disease and important patient symptoms in Demodex blepharitis patients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Management to host conference call today, November 13, 2024, at 1:30 p.m. P.T. / 4:30 p.m. E.T.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 xml:space="preserve">IRVINE, Calif., November 13, 2024 (GLOBE NEWSWIRE) </w:t>
      </w:r>
      <w:r>
        <w:rPr>
          <w:rFonts w:ascii="Times New Roman;sans-serif" w:hAnsi="Times New Roman;sans-serif"/>
          <w:b w:val="false"/>
          <w:color w:val="000000"/>
          <w:sz w:val="20"/>
        </w:rPr>
        <w:t>-- Tarsus Pharmaceuticals, Inc. (NASDAQ: TARS), whose mission is to focus on unmet needs and apply proven science and new technology to revolutionize treatment for patients, starting with eye care, today announced financial results for the third quarter and year-to-date period ended September 30, 2024.</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ans-serif" w:hAnsi="Times New Roman;sans-serif"/>
          <w:b w:val="false"/>
          <w:color w:val="000000"/>
          <w:sz w:val="20"/>
        </w:rPr>
        <w:t>The third quarter was our most successful to date for the launch of XDEMVY, with continued growth in patients served driven by broad physician adoption and strong payer coverage. We also brought forward groundbreaking new data that demonstrate the immense potential of XDEMVY across a range of patient types, continued to advance our robust pipeline, and further strengthened our executive team and Board with the addition of two world-class clinical leaders, Dr. Elizabeth Yeu and Dr. Kate Goodrich, respectively,” said Bobak Azamian, M.D., Ph.D., Chief Executive Officer and Chairman of Tarsus. “With a sharp focus on execution, education, ease of access, and ongoing evidence generation, we expect to close the year with another strong quarter that we believe is just beginning to reflect the benefits of our expanded sales force and first ever direct-to-consumer TV campaign.”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Business and Clinical Highlights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commercial launch of XDEMVY continues to be one of the most successful eye care launches to date. In the third quarter, the Company: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Generated $48.1 million in XDEMVY net product sales, an approximately 18% increase over Q2 2024</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Delivered more than 41,400 bottles of XDEMVY to patients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Increased Eye Care Professional (ECP) adoption – more than 13,000 ECPs, as of November 13, 2024, have started patients on XDEMVY launch-to-date with more than 70% prescribing XDEMVY to multiple patients</w:t>
      </w:r>
    </w:p>
    <w:p>
      <w:pPr>
        <w:pStyle w:val="TextBody"/>
        <w:bidi w:val="0"/>
        <w:spacing w:before="0" w:after="0"/>
        <w:jc w:val="left"/>
        <w:rPr/>
      </w:pPr>
      <w:r>
        <w:rPr/>
      </w:r>
    </w:p>
    <w:p>
      <w:pPr>
        <w:pStyle w:val="TextBody"/>
        <w:bidi w:val="0"/>
        <w:spacing w:lineRule="auto" w:line="288"/>
        <w:ind w:left="0" w:right="0" w:hanging="360"/>
        <w:jc w:val="left"/>
        <w:rPr/>
      </w:pPr>
      <w:r>
        <w:rPr>
          <w:color w:val="000000"/>
        </w:rPr>
        <w:t>•</w:t>
      </w:r>
      <w:r>
        <w:rPr>
          <w:rFonts w:ascii="Times New Roman;sans-serif" w:hAnsi="Times New Roman;sans-serif"/>
          <w:b w:val="false"/>
          <w:color w:val="000000"/>
          <w:sz w:val="20"/>
        </w:rPr>
        <w:t>Broad commercial and Medicare reimbursement of XDEMVY now extends to more than 80% of covered lives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Secured the two remaining large Medicare payer contracts, the benefits of which we expect to begin recognizing in 2025</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Recognized gross-to-net discount of approximately 40% in Q3 2024, aided in part by a change in the estimated 1H 2024 Medicare accrual, resulting in a reduction to gross-to-net discount of approximately 3%</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Completed recruitment and deployment of approximately 50 new sales force representatives and leaders in Q3 2024</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Presented new positive data from the Ersa and Rhea clinical trials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in patients with Meibomian Gland Disease (MGD), at the American Academy of Optometry Annual Meeting on November 7, 2024, which demonstrated statistically significant and clinically meaningful improvements in: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Three objective measures of MGD: Meibomian Gland Secretion Score, the number of glands secreting normal or clear liquid and the number of glands yielding any liquid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most common and impactful symptoms patients report experiencing, including fluctuating vision, itching, redness and burning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Appointed Elizabeth Yeu, M.D. to Chief Medical Officer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Dr. Yeu transitioned from her role as Chief Medical Advisor and Board Member to Chief Medical Officer, leading the newly created Medical Organization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As a distinguished ophthalmologist with more than two decades of clinical experience and leadership, Dr. Yeu’s expertise will be instrumental to the continued advancement of Tarsus’ medical affairs and pharmacovigilance teams, including evidence generation, medical education and oversight of patient safety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Appointed Katherine H. (Kate) Goodrich, M.D., MHS, to the Board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Dr. Goodrich is the Chief Medical Officer for Humana Inc., and former Centers for Medicare and Medicaid Services (CMS) Chief Medical Officer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She brings more than two decades of experience driving innovation and value-based initiatives designed to improve patient outcomes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Advancing XDEMVY outside the United States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No additional Phase 3 study is required for approval in Europe, based on European Medicines Agency feedback</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Initiating stability testing of a preservative-free formulation of XDEMVY for Europe with potential approval anticipated in 2H 2027</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Determining a development and regulatory pathway in Japan; results of an ongoing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prevalence study expected in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Continuing to advance the pipeline and remain on-track to engage with the FDA on TP-04 (Papulopustular Rosacea) and TP-05 (Lyme disease prevention) by year end 2024 with an update anticipated by the FY 2024 earnings call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Third Quarter 2024 Financial Results </w:t>
      </w:r>
    </w:p>
    <w:p>
      <w:pPr>
        <w:pStyle w:val="TextBody"/>
        <w:bidi w:val="0"/>
        <w:spacing w:lineRule="auto" w:line="288" w:before="0" w:after="0"/>
        <w:ind w:left="0" w:right="0" w:hanging="360"/>
        <w:jc w:val="left"/>
        <w:rPr/>
      </w:pPr>
      <w:r>
        <w:rPr>
          <w:color w:val="000000"/>
        </w:rPr>
        <w:t>•    </w:t>
      </w:r>
      <w:r>
        <w:rPr>
          <w:rFonts w:ascii="Times New Roman;sans-serif" w:hAnsi="Times New Roman;sans-serif"/>
          <w:b/>
          <w:color w:val="000000"/>
          <w:sz w:val="20"/>
        </w:rPr>
        <w:t>Product sales:</w:t>
      </w:r>
      <w:r>
        <w:rPr>
          <w:color w:val="000000"/>
        </w:rPr>
        <w:t xml:space="preserve"> </w:t>
      </w:r>
      <w:r>
        <w:rPr>
          <w:rFonts w:ascii="Times New Roman;sans-serif" w:hAnsi="Times New Roman;sans-serif"/>
          <w:b w:val="false"/>
          <w:color w:val="000000"/>
          <w:sz w:val="20"/>
        </w:rPr>
        <w:t>were $48.1 million compared to $1.7 million</w:t>
      </w:r>
      <w:r>
        <w:rPr>
          <w:color w:val="000000"/>
        </w:rPr>
        <w:t xml:space="preserve"> </w:t>
      </w:r>
      <w:r>
        <w:rPr>
          <w:rFonts w:ascii="Times New Roman;sans-serif" w:hAnsi="Times New Roman;sans-serif"/>
          <w:b w:val="false"/>
          <w:color w:val="000000"/>
          <w:sz w:val="20"/>
        </w:rPr>
        <w:t>for the same period in 2023, driven by more than 41,400 bottles of XDEMVY delivered to patients compared to 1,700 bottles delivered in the prior year period.</w:t>
      </w:r>
    </w:p>
    <w:p>
      <w:pPr>
        <w:pStyle w:val="TextBody"/>
        <w:bidi w:val="0"/>
        <w:spacing w:before="0" w:after="0"/>
        <w:ind w:left="0" w:right="0" w:hanging="360"/>
        <w:jc w:val="left"/>
        <w:rPr/>
      </w:pPr>
      <w:r>
        <w:rPr/>
      </w:r>
    </w:p>
    <w:p>
      <w:pPr>
        <w:pStyle w:val="TextBody"/>
        <w:bidi w:val="0"/>
        <w:spacing w:lineRule="auto" w:line="288"/>
        <w:ind w:left="0" w:right="0" w:hanging="360"/>
        <w:jc w:val="left"/>
        <w:rPr/>
      </w:pPr>
      <w:r>
        <w:rPr>
          <w:color w:val="000000"/>
        </w:rPr>
        <w:t>•    </w:t>
      </w:r>
      <w:r>
        <w:rPr>
          <w:rFonts w:ascii="Times New Roman;sans-serif" w:hAnsi="Times New Roman;sans-serif"/>
          <w:b/>
          <w:color w:val="000000"/>
          <w:sz w:val="20"/>
        </w:rPr>
        <w:t>Cost of sales:</w:t>
      </w:r>
      <w:r>
        <w:rPr>
          <w:color w:val="000000"/>
        </w:rPr>
        <w:t xml:space="preserve"> </w:t>
      </w:r>
      <w:r>
        <w:rPr>
          <w:rFonts w:ascii="Times New Roman;sans-serif" w:hAnsi="Times New Roman;sans-serif"/>
          <w:b w:val="false"/>
          <w:color w:val="000000"/>
          <w:sz w:val="20"/>
        </w:rPr>
        <w:t xml:space="preserve">were $3.2 million compared to $0.4 million for the same period in 2023, due to manufacturing costs incurred after the approval of XDEMVY, the royalty the Company pays on net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and the amortization of the $4.0 million approval milestone paid to our licensor, which is being amortized over its remaining useful life of 8.9 years.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ans-serif" w:hAnsi="Times New Roman;sans-serif"/>
          <w:b/>
          <w:color w:val="000000"/>
          <w:sz w:val="20"/>
        </w:rPr>
        <w:t>Research and development (R&amp;D) expenses:</w:t>
      </w:r>
      <w:r>
        <w:rPr>
          <w:color w:val="000000"/>
        </w:rPr>
        <w:t xml:space="preserve"> </w:t>
      </w:r>
      <w:r>
        <w:rPr>
          <w:rFonts w:ascii="Times New Roman;sans-serif" w:hAnsi="Times New Roman;sans-serif"/>
          <w:b w:val="false"/>
          <w:color w:val="000000"/>
          <w:sz w:val="20"/>
        </w:rPr>
        <w:t>were $12.1 million, which remained consistent with $12.1 million for the same period in 2023. The slight increase was primarily due to $0.2 million of increased TP-03 program expenses, $0.2 million of increased payroll and personnel-related costs, and $0.2 million of other indirect expenses. These increases were primarily offset by $0.3 million of decreased TP-04 program expenses and $0.2 million of decreased early-stage programs. Total R&amp;D non-cash stock compensation expense was $1.7 million, which was consistent with $1.7 million in the same period in 2023.</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ans-serif" w:hAnsi="Times New Roman;sans-serif"/>
          <w:b/>
          <w:color w:val="000000"/>
          <w:sz w:val="20"/>
        </w:rPr>
        <w:t>Selling, general and administrative (SG&amp;A) expenses:</w:t>
      </w:r>
      <w:r>
        <w:rPr>
          <w:color w:val="000000"/>
        </w:rPr>
        <w:t xml:space="preserve"> </w:t>
      </w:r>
      <w:r>
        <w:rPr>
          <w:rFonts w:ascii="Times New Roman;sans-serif" w:hAnsi="Times New Roman;sans-serif"/>
          <w:b w:val="false"/>
          <w:color w:val="000000"/>
          <w:sz w:val="20"/>
        </w:rPr>
        <w:t>were $57.9 million compared to $30.3 million for the same period in 2023. The increase was due primarily to $9.5 million of increased compensation and other employee-related expense (including non-cash stock-based compensation), $10.5 million of increased commercial and marketing costs related to the commercial launch of XDEMVY, and $7.5 million of increased information technology, legal, professional and other corporate expenses. Total SG&amp;A non-cash stock compensation expense was $5.6 million, compared with $3.6 million in the same period in 2023.</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    </w:t>
      </w:r>
      <w:r>
        <w:rPr>
          <w:rFonts w:ascii="Times New Roman;sans-serif" w:hAnsi="Times New Roman;sans-serif"/>
          <w:b/>
          <w:color w:val="000000"/>
          <w:sz w:val="20"/>
        </w:rPr>
        <w:t>Net loss:</w:t>
      </w:r>
      <w:r>
        <w:rPr>
          <w:color w:val="000000"/>
        </w:rPr>
        <w:t xml:space="preserve"> </w:t>
      </w:r>
      <w:r>
        <w:rPr>
          <w:rFonts w:ascii="Times New Roman;sans-serif" w:hAnsi="Times New Roman;sans-serif"/>
          <w:b w:val="false"/>
          <w:color w:val="000000"/>
          <w:sz w:val="20"/>
        </w:rPr>
        <w:t>was $23.4 million, compared to $39.1 million for the same period in 2023. Basic and diluted net loss per share for the quarter ended September 30, 2024 was $(0.61), compared with $(1.28) for the same period in 2023.</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    </w:t>
      </w:r>
      <w:r>
        <w:rPr>
          <w:rFonts w:ascii="Times New Roman;sans-serif" w:hAnsi="Times New Roman;sans-serif"/>
          <w:b/>
          <w:color w:val="000000"/>
          <w:sz w:val="20"/>
        </w:rPr>
        <w:t>Cash position:</w:t>
      </w:r>
      <w:r>
        <w:rPr>
          <w:color w:val="000000"/>
        </w:rPr>
        <w:t xml:space="preserve"> </w:t>
      </w:r>
      <w:r>
        <w:rPr>
          <w:rFonts w:ascii="Times New Roman;sans-serif" w:hAnsi="Times New Roman;sans-serif"/>
          <w:b w:val="false"/>
          <w:color w:val="000000"/>
          <w:sz w:val="20"/>
        </w:rPr>
        <w:t>As of September 30, 2024, cash, cash equivalents and marketable securities were $317.0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Year-to-Date 2024 Financial Results </w:t>
      </w:r>
    </w:p>
    <w:p>
      <w:pPr>
        <w:pStyle w:val="TextBody"/>
        <w:bidi w:val="0"/>
        <w:spacing w:lineRule="auto" w:line="288" w:before="0" w:after="0"/>
        <w:ind w:left="0" w:right="0" w:hanging="360"/>
        <w:jc w:val="left"/>
        <w:rPr/>
      </w:pPr>
      <w:r>
        <w:rPr>
          <w:color w:val="000000"/>
        </w:rPr>
        <w:t>•    </w:t>
      </w:r>
      <w:r>
        <w:rPr>
          <w:rFonts w:ascii="Times New Roman;sans-serif" w:hAnsi="Times New Roman;sans-serif"/>
          <w:b/>
          <w:color w:val="000000"/>
          <w:sz w:val="20"/>
        </w:rPr>
        <w:t>Product sales:</w:t>
      </w:r>
      <w:r>
        <w:rPr>
          <w:color w:val="000000"/>
        </w:rPr>
        <w:t xml:space="preserve"> </w:t>
      </w:r>
      <w:r>
        <w:rPr>
          <w:rFonts w:ascii="Times New Roman;sans-serif" w:hAnsi="Times New Roman;sans-serif"/>
          <w:b w:val="false"/>
          <w:color w:val="000000"/>
          <w:sz w:val="20"/>
        </w:rPr>
        <w:t>were $113.7 million compared to $1.7 million for the same period in 2023, driven by approximately 104,400 bottles of XDEMVY delivered to patients compared to 1,700 bottles delivered in the prior year period.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ans-serif" w:hAnsi="Times New Roman;sans-serif"/>
          <w:b/>
          <w:color w:val="000000"/>
          <w:sz w:val="20"/>
        </w:rPr>
        <w:t>License fees and collaboration revenue</w:t>
      </w:r>
      <w:r>
        <w:rPr>
          <w:rFonts w:ascii="Times New Roman;sans-serif" w:hAnsi="Times New Roman;sans-serif"/>
          <w:b w:val="false"/>
          <w:color w:val="000000"/>
          <w:sz w:val="20"/>
        </w:rPr>
        <w:t>: were $2.9 million from our China out-license partner driven by $2.5 million for the Termination Payment related to the Novation Agreement and $0.4 million for the Warrant Termination Payment. License fees and collaboration revenue was $2.7 million for the same period in 2023 related to the achievement of a contractual milestone under the China Out-License for $2.5 million and satisfaction of performance obligations under a clinical supply agreement for $0.2 million.</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ans-serif" w:hAnsi="Times New Roman;sans-serif"/>
          <w:b/>
          <w:color w:val="000000"/>
          <w:sz w:val="20"/>
        </w:rPr>
        <w:t>Cost of sales:</w:t>
      </w:r>
      <w:r>
        <w:rPr>
          <w:color w:val="000000"/>
        </w:rPr>
        <w:t xml:space="preserve"> </w:t>
      </w:r>
      <w:r>
        <w:rPr>
          <w:rFonts w:ascii="Times New Roman;sans-serif" w:hAnsi="Times New Roman;sans-serif"/>
          <w:b w:val="false"/>
          <w:color w:val="000000"/>
          <w:sz w:val="20"/>
        </w:rPr>
        <w:t>were $7.9 million compared to $0.4 million</w:t>
      </w:r>
      <w:r>
        <w:rPr>
          <w:color w:val="000000"/>
        </w:rPr>
        <w:t xml:space="preserve"> </w:t>
      </w:r>
      <w:r>
        <w:rPr>
          <w:rFonts w:ascii="Times New Roman;sans-serif" w:hAnsi="Times New Roman;sans-serif"/>
          <w:b w:val="false"/>
          <w:color w:val="000000"/>
          <w:sz w:val="20"/>
        </w:rPr>
        <w:t>for the same period in 2023, due to manufacturing costs incurred after the approval of XDEMVY, the royalty the Company pays on net product sales and the amortization of the $4.0 million approval milestone we paid to our licensor, which is being amortized over its remaining useful life of 8.9 years.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ans-serif" w:hAnsi="Times New Roman;sans-serif"/>
          <w:b/>
          <w:color w:val="000000"/>
          <w:sz w:val="20"/>
        </w:rPr>
        <w:t>Research and development (R&amp;D) expenses:</w:t>
      </w:r>
      <w:r>
        <w:rPr>
          <w:color w:val="000000"/>
        </w:rPr>
        <w:t xml:space="preserve"> </w:t>
      </w:r>
      <w:r>
        <w:rPr>
          <w:rFonts w:ascii="Times New Roman;sans-serif" w:hAnsi="Times New Roman;sans-serif"/>
          <w:b w:val="false"/>
          <w:color w:val="000000"/>
          <w:sz w:val="20"/>
        </w:rPr>
        <w:t>were $36.5 million compared to $37.0 million for the same period in 2023. The slight decrease was due to $2.2 million less program spend for TP-05, $1.0 million less in Elanco milestone expenses, and $1.0 million less program spend for TP-04, partially offset by $2.5 million of increased compensation and other employee-related expense (including non-cash stock-based compensation) and $0.9 million of other indirect expenses. R&amp;D non-cash stock compensation expense was $5.0 million, compared with $4.3 million in the same period in 2023.</w:t>
      </w:r>
    </w:p>
    <w:p>
      <w:pPr>
        <w:pStyle w:val="TextBody"/>
        <w:bidi w:val="0"/>
        <w:spacing w:before="0" w:after="0"/>
        <w:ind w:left="0" w:right="0" w:hanging="360"/>
        <w:jc w:val="left"/>
        <w:rPr/>
      </w:pPr>
      <w:r>
        <w:rPr/>
      </w:r>
    </w:p>
    <w:p>
      <w:pPr>
        <w:pStyle w:val="TextBody"/>
        <w:bidi w:val="0"/>
        <w:spacing w:lineRule="auto" w:line="288"/>
        <w:ind w:left="0" w:right="0" w:hanging="360"/>
        <w:jc w:val="left"/>
        <w:rPr/>
      </w:pPr>
      <w:r>
        <w:rPr>
          <w:color w:val="000000"/>
        </w:rPr>
        <w:t>•    </w:t>
      </w:r>
      <w:r>
        <w:rPr>
          <w:rFonts w:ascii="Times New Roman;sans-serif" w:hAnsi="Times New Roman;sans-serif"/>
          <w:b/>
          <w:color w:val="000000"/>
          <w:sz w:val="20"/>
        </w:rPr>
        <w:t>Selling, general and administrative (SG&amp;A) expenses:</w:t>
      </w:r>
      <w:r>
        <w:rPr>
          <w:color w:val="000000"/>
        </w:rPr>
        <w:t xml:space="preserve"> </w:t>
      </w:r>
      <w:r>
        <w:rPr>
          <w:rFonts w:ascii="Times New Roman;sans-serif" w:hAnsi="Times New Roman;sans-serif"/>
          <w:b w:val="false"/>
          <w:color w:val="000000"/>
          <w:sz w:val="20"/>
        </w:rPr>
        <w:t xml:space="preserve">were $168.3 million compared to $65.7 million for the same period in 2023. The increase was due primarily to $31.9 million of increased compensation-related expense (including non-cash stock-based compensation), $36.5 million of increased commercial and marketing costs related to the commercial launch of XDEMVY, and $33.9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million of increased IT, legal, professional and other corporate expenses. SG&amp;A non-cash stock compensation expense was $14.9 million, compared with $10.0 million in the same period in 2023.</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    </w:t>
      </w:r>
      <w:r>
        <w:rPr>
          <w:rFonts w:ascii="Times New Roman;sans-serif" w:hAnsi="Times New Roman;sans-serif"/>
          <w:b/>
          <w:color w:val="000000"/>
          <w:sz w:val="20"/>
        </w:rPr>
        <w:t>Loss on debt extinguishment:</w:t>
      </w:r>
      <w:r>
        <w:rPr>
          <w:color w:val="000000"/>
        </w:rPr>
        <w:t xml:space="preserve"> </w:t>
      </w:r>
      <w:r>
        <w:rPr>
          <w:rFonts w:ascii="Times New Roman;sans-serif" w:hAnsi="Times New Roman;sans-serif"/>
          <w:b w:val="false"/>
          <w:color w:val="000000"/>
          <w:sz w:val="20"/>
        </w:rPr>
        <w:t>was $1.9 million, which includes an end of term charge and other debt costs of the prior debt facility.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    </w:t>
      </w:r>
      <w:r>
        <w:rPr>
          <w:rFonts w:ascii="Times New Roman;sans-serif" w:hAnsi="Times New Roman;sans-serif"/>
          <w:b/>
          <w:color w:val="000000"/>
          <w:sz w:val="20"/>
        </w:rPr>
        <w:t>Net loss:</w:t>
      </w:r>
      <w:r>
        <w:rPr>
          <w:color w:val="000000"/>
        </w:rPr>
        <w:t xml:space="preserve"> </w:t>
      </w:r>
      <w:r>
        <w:rPr>
          <w:rFonts w:ascii="Times New Roman;sans-serif" w:hAnsi="Times New Roman;sans-serif"/>
          <w:b w:val="false"/>
          <w:color w:val="000000"/>
          <w:sz w:val="20"/>
        </w:rPr>
        <w:t>was $92.4 million, compared to $94.0 million for the same period in 2023. Year-to-date basic and diluted net loss per share was $(2.48), compared with $(3.35) for the same period in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Conference Call and Webcast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Tarsus will host a conference call and webcast to discuss its third quarter and year-to-date 2024 financial results and business highlights today, November 13, 2024, at 1:30 p.m. P.T. / 4:30 p.m. ET. A live webcast will be available on the events section of the Tarsus website. A recorded version of the call will be available on the website shortly after the completion of the call and will be archived there for at least 90 days.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About XDEMVY</w:t>
      </w:r>
      <w:r>
        <w:rPr>
          <w:rFonts w:ascii="Times New Roman;sans-serif" w:hAnsi="Times New Roman;sans-serif"/>
          <w:b/>
          <w:color w:val="000000"/>
          <w:sz w:val="13"/>
        </w:rPr>
        <w:t>®</w:t>
      </w:r>
      <w:r>
        <w:rPr>
          <w:color w:val="000000"/>
        </w:rPr>
        <w:t xml:space="preserve"> </w:t>
      </w:r>
    </w:p>
    <w:p>
      <w:pPr>
        <w:pStyle w:val="TextBody"/>
        <w:bidi w:val="0"/>
        <w:spacing w:lineRule="auto" w:line="288" w:before="0" w:after="0"/>
        <w:jc w:val="left"/>
        <w:rPr/>
      </w:pPr>
      <w:r>
        <w:rPr>
          <w:rFonts w:ascii="Times New Roman;sans-serif" w:hAnsi="Times New Roman;sans-serif"/>
          <w:b w:val="false"/>
          <w:color w:val="000000"/>
          <w:sz w:val="20"/>
        </w:rPr>
        <w:t xml:space="preserve">XDEMVY (lotilaner ophthalmic solution) 0.25%, formerly known as TP-03, is a novel prescription eye drop designed to treat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by targeting and eradicating the root cause of the disease –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mite infestation. XDEMVY was evaluated in two pivotal trials collectively involving more than 800 patients. Both trials met the primary endpoint and all secondary endpoints, with statistical significance and no serious treatment-related adverse events. Most patients found the XDEMVY eye drop to be neutral to very comfortable. The most common ocular adverse reactions observed in the studies were instillation site stinging and burning which was reported in 10% of patients. Other ocular adverse reactions reported by less than 2% of patients were chalazion/hordeolum (stye) and punctate keratitis.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XDEMVY Indication and Important Safety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INDICATIONS AND USAGE</w:t>
      </w:r>
    </w:p>
    <w:p>
      <w:pPr>
        <w:pStyle w:val="TextBody"/>
        <w:bidi w:val="0"/>
        <w:spacing w:lineRule="auto" w:line="288" w:before="0" w:after="0"/>
        <w:jc w:val="left"/>
        <w:rPr/>
      </w:pPr>
      <w:r>
        <w:rPr>
          <w:rFonts w:ascii="Times New Roman;sans-serif" w:hAnsi="Times New Roman;sans-serif"/>
          <w:b w:val="false"/>
          <w:color w:val="000000"/>
          <w:sz w:val="20"/>
        </w:rPr>
        <w:t xml:space="preserve">XDEMVY is indicated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Most common side effects</w:t>
      </w:r>
      <w:r>
        <w:rPr>
          <w:rFonts w:ascii="Times New Roman;sans-serif" w:hAnsi="Times New Roman;sans-serif"/>
          <w:b w:val="false"/>
          <w:color w:val="000000"/>
          <w:sz w:val="20"/>
        </w:rPr>
        <w:t>: The most common side effect in clinical trials was stinging and burning in 10% of patients. Other side effects in less than 2% of patients were chalazion/hordeolum and punctate keratitis.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For additional information, please see full prescribing information available at:</w:t>
      </w:r>
      <w:r>
        <w:rPr>
          <w:color w:val="0563C1"/>
        </w:rPr>
        <w:t xml:space="preserve"> </w:t>
      </w:r>
      <w:r>
        <w:rPr>
          <w:rFonts w:ascii="Times New Roman;sans-serif" w:hAnsi="Times New Roman;sans-serif"/>
          <w:b w:val="false"/>
          <w:color w:val="000000"/>
          <w:sz w:val="20"/>
        </w:rPr>
        <w:t>https://xdemvy.com/.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About TP-03</w:t>
      </w:r>
    </w:p>
    <w:p>
      <w:pPr>
        <w:pStyle w:val="TextBody"/>
        <w:bidi w:val="0"/>
        <w:spacing w:lineRule="auto" w:line="288" w:before="0" w:after="0"/>
        <w:jc w:val="left"/>
        <w:rPr/>
      </w:pPr>
      <w:r>
        <w:rPr>
          <w:rFonts w:ascii="Times New Roman;sans-serif" w:hAnsi="Times New Roman;sans-serif"/>
          <w:b w:val="false"/>
          <w:color w:val="000000"/>
          <w:sz w:val="20"/>
        </w:rPr>
        <w:t xml:space="preserve">TP-03 (lotilaner ophthalmic solution) 0.25% is a novel therapeutic designed to treat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by targeting and eradicating the root cause of disease –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mite infestation. It was approved by the FDA in 2023 under the brand name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Lotilaner is a well-characterized anti-parasitic agent that paralyzes and eradicates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mites by selectively inhibiting parasite-specific gamma-aminobutyric acid-gated chloride (GABA-Cl) channels. It is a highly lipophilic molecule, which may promote its uptake in the oily sebum of the eye lash follicles where the mites reside.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About TP-04</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TP-04 is an aqueous gel formulation of lotilaner, a well-characterized anti-parasitic agent that paralyzes and kills mites by selectively inhibiting parasite-specific GABA-Cl channels. Tarsus is studying TP-04 for the treatment of papulopustular rosacea (PPR).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About TP-05</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TP-05 is an oral systemic formulation of lotilaner, a well-characterized anti-parasitic agent that selectively inhibits parasite-specific GABA-Cl channels. TP-05 is believed to be the only non-vaccine, drug-based, preventative therapeutic in development designed to kill ticks to potentially prevent Lyme disease transmission.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About Tarsus Pharmaceuticals, Inc.</w:t>
      </w:r>
    </w:p>
    <w:p>
      <w:pPr>
        <w:pStyle w:val="TextBody"/>
        <w:bidi w:val="0"/>
        <w:spacing w:lineRule="auto" w:line="288" w:before="0" w:after="0"/>
        <w:jc w:val="left"/>
        <w:rPr/>
      </w:pPr>
      <w:r>
        <w:rPr>
          <w:rFonts w:ascii="Times New Roman;sans-serif" w:hAnsi="Times New Roman;sans-serif"/>
          <w:b w:val="false"/>
          <w:color w:val="000000"/>
          <w:sz w:val="20"/>
        </w:rPr>
        <w:t xml:space="preserve">Tarsus Pharmaceuticals, Inc. applies proven science and new technology to revolutionize treatment for patients, starting with eye care. Tarsus is advancing its pipeline to address several diseases with high unmet need across a range of therapeutic categories, including eye care, dermatology, and infectious disease prevention. XDEMVY (lotilaner ophthalmic solution) 0.25% is FDA approved in the United States for the treatment of </w:t>
      </w:r>
      <w:r>
        <w:rPr>
          <w:rFonts w:ascii="Times New Roman;sans-serif" w:hAnsi="Times New Roman;sans-serif"/>
          <w:b w:val="false"/>
          <w:i/>
          <w:color w:val="000000"/>
          <w:sz w:val="20"/>
        </w:rPr>
        <w:t>Demodex</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blepharitis. Tarsus is also developing TP-04 for the treatment of rosacea and TP-05 as an oral tablet for the prevention of Lyme disease, all of which are in Phase 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jc w:val="left"/>
        <w:rPr/>
      </w:pPr>
      <w:r>
        <w:rPr>
          <w:rFonts w:ascii="Times New Roman;sans-serif" w:hAnsi="Times New Roman;sans-serif"/>
          <w:b w:val="false"/>
          <w:color w:val="000000"/>
          <w:sz w:val="20"/>
        </w:rPr>
        <w:t xml:space="preserve">Statements in this press release about future expectations, plans and prospects, as well as any other statements regarding matters that are not historical facts, may constitute “forward-looking statements.” These statements include statements regarding the potential commercial success and growth of XDEMVY in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including market size, acceptance, demand, prescription fill rate and adoption rate for XDEMVY; our ability to successfully implement our sales force expansion and new direct-to-consumer campaign; our ability to achieve distribution and patient access for XDEMVY and timing and breadth of payer coverage; our ability to continue to educate the market about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anticipated regulatory and development milestones including potential Europe and Japan regulatory pathways and approval for XDEMVY; the results of our clinical studies; our ability to continue investing in our business, the potential benefits of the new executive and board member, and the quotations of Tarsus’ management. The words, without limitation, “believe,” “contemplate,” “continue,” “could,” “estimate,” “expect,” “intend,” “may,” “might,” “plan,” “potential,” “predict,” “project,” “should,” “target,” “will,”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Important factors that could cause actual results to differ materially from those in the forward-looking statements include: Tarsus is heavily dependent on the successful commercialization of its lead product, XDEMVY for the treatment of </w:t>
      </w:r>
      <w:r>
        <w:rPr>
          <w:rFonts w:ascii="Times New Roman;sans-serif" w:hAnsi="Times New Roman;sans-serif"/>
          <w:b w:val="false"/>
          <w:i/>
          <w:color w:val="000000"/>
          <w:sz w:val="20"/>
        </w:rPr>
        <w:t xml:space="preserve">Demodex </w:t>
      </w:r>
      <w:r>
        <w:rPr>
          <w:rFonts w:ascii="Times New Roman;sans-serif" w:hAnsi="Times New Roman;sans-serif"/>
          <w:b w:val="false"/>
          <w:color w:val="000000"/>
          <w:sz w:val="20"/>
        </w:rPr>
        <w:t xml:space="preserve">blepharitis and the development and regulatory approval and commercialization of its current and future product candidates; Tarsus’ ability to obtain and maintain regulatory approval for and successfully commercialize its products, including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and its product candidates to meet existing and future regulatory standards; Tarsus has incurred significant losses and negative cash flows from operations since inception and anticipates that it will continue to incur significant expenses and losses for the foreseeable future; Tarsus’ capital requirements are difficult to predict and may change; Tarsus may need to obtain additional funding to achieve its goals and a failure to obtain this necessary capital when needed on acceptable terms, or at all, could force Tarsus to delay, reduce, or eliminate its product development programs, commercialization efforts or other operations; Tarsus may not be successful in educating healthcare professionals and the market about the need for treatments specifically for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and other diseases targeted by XDEMVY or our product candidates; the development and commercialization of Tarsus products is dependent on intellectual property it licenses from Elanco Tiergesundheit AG; Tarsus expects to expand its development, regulatory, operational and sales and marketing capabilities and Tarsus may encounter difficulties in managing its growth, which could disrupt its operations; the sizes of the market opportunity for XDEMVY and Tarsus’ product candidates, particularly TP-04 for the treatment of Rosacea, as well as TP-05 for the prevention of Lyme disease, have not been established with precision and may be smaller than estimated; the results of Tarsus’ earlier studies and trials may not be predictive of future results; any termination or suspension of, or delays in the commencement or completion of, Tarsus’ planned clinical trials could result in increased costs, delay or limit its ability to generate revenue and adversely affect its commercial prospects; if Tarsus is unable to obtain and maintain sufficient intellectual property protection for its product candidates, or if the scope of the intellectual property protection is not sufficiently broad, Tarsus’ competitors could develop and commercialize products similar or identical to Tarsus’ products; and if Tarsus is unable to access capital (including but not limited to cash, cash equivalents, and credit facilities) and/or loses capital, as a result of potential failure of any financial institutions that Tarsus does business with directly or indirectly. Further, there are other risks and uncertainties that could cause actual results to differ from those set forth in the forward-looking statements and they are detailed from time to time in the reports Tarsus files with the Securities and Exchange Commission, including Tarsus’ Form 10-K for the year ended December 31, 2023 filed on February 27, 2024 and the most recent Form 10-Q quarterly filing filed with the SEC, which Tarsus incorporates by reference into this press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release, copies of which are posted on its website and are available from Tarsus without charge. However, new risk factors and uncertainties may emerge from time to time, and it is not possible to predict all risk factors and uncertainties. Accordingly, readers are cautioned not to place undue reliance on these forward-looking statements. Any forward-looking statements contained in this earnings release are based on the current expectations of Tarsus’ management team and speak only as of the date hereof, and Tarsus specifically disclaims any obligation to update any forward-looking statement, whether as a result of new information, future events or otherwise.</w:t>
      </w:r>
    </w:p>
    <w:tbl>
      <w:tblPr>
        <w:tblW w:w="3747" w:type="dxa"/>
        <w:jc w:val="left"/>
        <w:tblInd w:w="0" w:type="dxa"/>
        <w:tblLayout w:type="fixed"/>
        <w:tblCellMar>
          <w:top w:w="28" w:type="dxa"/>
          <w:left w:w="28" w:type="dxa"/>
          <w:bottom w:w="28" w:type="dxa"/>
          <w:right w:w="28" w:type="dxa"/>
        </w:tblCellMar>
      </w:tblPr>
      <w:tblGrid>
        <w:gridCol w:w="1407"/>
        <w:gridCol w:w="980"/>
        <w:gridCol w:w="988"/>
        <w:gridCol w:w="109"/>
        <w:gridCol w:w="109"/>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Media Contact: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Adrienne Kemp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Sr. Director, Corporate Communications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(949) 922-0801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akemp@tarsusrx.com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color w:val="000000"/>
                <w:sz w:val="20"/>
              </w:rPr>
            </w:pPr>
            <w:r>
              <w:rPr>
                <w:rFonts w:ascii="Times New Roman;sans-serif" w:hAnsi="Times New Roman;sans-serif"/>
                <w:b/>
                <w:color w:val="000000"/>
                <w:sz w:val="20"/>
              </w:rPr>
              <w:t>Investor Contact: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David Nakasone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Head of Investor Relations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(949) 620-3223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DNakasone@tarsusrx.com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STATEMENTS OF OPERATIONS AND COMPREHENSIVE LOSS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center"/>
        <w:rPr/>
      </w:pPr>
      <w:r>
        <w:rPr/>
      </w:r>
    </w:p>
    <w:tbl>
      <w:tblPr>
        <w:tblW w:w="9776" w:type="dxa"/>
        <w:jc w:val="center"/>
        <w:tblInd w:w="0" w:type="dxa"/>
        <w:tblLayout w:type="fixed"/>
        <w:tblCellMar>
          <w:top w:w="28" w:type="dxa"/>
          <w:left w:w="28" w:type="dxa"/>
          <w:bottom w:w="28" w:type="dxa"/>
          <w:right w:w="28" w:type="dxa"/>
        </w:tblCellMar>
      </w:tblPr>
      <w:tblGrid>
        <w:gridCol w:w="1618"/>
        <w:gridCol w:w="1421"/>
        <w:gridCol w:w="1431"/>
        <w:gridCol w:w="219"/>
        <w:gridCol w:w="742"/>
        <w:gridCol w:w="109"/>
        <w:gridCol w:w="109"/>
        <w:gridCol w:w="109"/>
        <w:gridCol w:w="109"/>
        <w:gridCol w:w="219"/>
        <w:gridCol w:w="742"/>
        <w:gridCol w:w="109"/>
        <w:gridCol w:w="109"/>
        <w:gridCol w:w="109"/>
        <w:gridCol w:w="109"/>
        <w:gridCol w:w="202"/>
        <w:gridCol w:w="759"/>
        <w:gridCol w:w="109"/>
        <w:gridCol w:w="109"/>
        <w:gridCol w:w="109"/>
        <w:gridCol w:w="109"/>
        <w:gridCol w:w="219"/>
        <w:gridCol w:w="742"/>
        <w:gridCol w:w="154"/>
      </w:tblGrid>
      <w:tr>
        <w:trPr/>
        <w:tc>
          <w:tcPr>
            <w:tcW w:w="1618"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sales, net</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 fees and collaboration revenue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212,693 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 before other income (expense)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(98,708)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extinguishment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Realized/unrealized loss on equity investments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warrants issued by licensee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other income, net </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(93,991)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gain:</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marketable securities and cash equivalents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(93,925)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basic and diluted</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outstanding, basic and diluted</w:t>
            </w:r>
          </w:p>
        </w:tc>
        <w:tc>
          <w:tcPr>
            <w:tcW w:w="96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38,381,968 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30,622,440 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37,286,911 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28,065,434 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CONDENSED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par value amounts)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846"/>
        <w:gridCol w:w="2308"/>
        <w:gridCol w:w="2187"/>
        <w:gridCol w:w="236"/>
        <w:gridCol w:w="887"/>
        <w:gridCol w:w="131"/>
        <w:gridCol w:w="109"/>
        <w:gridCol w:w="109"/>
        <w:gridCol w:w="109"/>
        <w:gridCol w:w="231"/>
        <w:gridCol w:w="867"/>
        <w:gridCol w:w="185"/>
      </w:tblGrid>
      <w:tr>
        <w:trPr/>
        <w:tc>
          <w:tcPr>
            <w:tcW w:w="2846"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176,210 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140,742 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29,159 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receivables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357,117 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256,131 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 non-current</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376,300 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265,491 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54,543 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benefits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65,868 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36,936 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29,819 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138,816 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68,503 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Commitments and contingencies</w:t>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$0.0001 par value; 10,000,000 authorized; no shares issued and outstanding</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200,000,000 shares authorized; 38,196,072 shares issued and outstanding at September 30, 2024 (unaudited); 34,211,190 shares issued and outstanding at December 31, 2023</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574,229 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441,641 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gain (loss)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(337,097)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(244,656)</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237,484 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196,988 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2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376,300 </w:t>
            </w:r>
          </w:p>
        </w:tc>
        <w:tc>
          <w:tcPr>
            <w:tcW w:w="1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265,491 </w:t>
            </w:r>
          </w:p>
        </w:tc>
        <w:tc>
          <w:tcPr>
            <w:tcW w:w="18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3813</Words>
  <Characters>22062</Characters>
  <CharactersWithSpaces>25675</CharactersWithSpaces>
  <Paragraphs>371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