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290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90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 Elizabeth Yeu</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30"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4"/>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41" w:lineRule="exact"/>
        <w:rPr>
          <w:sz w:val="24"/>
          <w:szCs w:val="24"/>
          <w:color w:val="auto"/>
        </w:rPr>
      </w:pPr>
    </w:p>
    <w:p>
      <w:pPr>
        <w:sectPr>
          <w:pgSz w:w="11900" w:h="16838" w:orient="portrait"/>
          <w:cols w:equalWidth="0" w:num="3">
            <w:col w:w="3440" w:space="46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12/15/2025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6,819</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24,019</w:t>
            </w:r>
            <w:r>
              <w:rPr>
                <w:rFonts w:ascii="Times New Roman" w:cs="Times New Roman" w:eastAsia="Times New Roman" w:hAnsi="Times New Roman"/>
                <w:sz w:val="21"/>
                <w:szCs w:val="21"/>
                <w:color w:val="008000"/>
                <w:w w:val="91"/>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12/16/2025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2,078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79.5</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21,941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6,360</w:t>
            </w:r>
            <w:r>
              <w:rPr>
                <w:rFonts w:ascii="Times New Roman" w:cs="Times New Roman" w:eastAsia="Times New Roman" w:hAnsi="Times New Roman"/>
                <w:sz w:val="21"/>
                <w:szCs w:val="21"/>
                <w:color w:val="008000"/>
                <w:w w:val="91"/>
                <w:vertAlign w:val="superscript"/>
              </w:rPr>
              <w:t>(2)</w:t>
            </w:r>
          </w:p>
        </w:tc>
        <w:tc>
          <w:tcPr>
            <w:tcW w:w="260" w:type="dxa"/>
            <w:vAlign w:val="bottom"/>
          </w:tcPr>
          <w:p>
            <w:pPr>
              <w:spacing w:after="0"/>
              <w:rPr>
                <w:sz w:val="18"/>
                <w:szCs w:val="18"/>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12,040</w:t>
            </w:r>
          </w:p>
        </w:tc>
        <w:tc>
          <w:tcPr>
            <w:tcW w:w="26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6,819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12/15/2025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6,819</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20,459</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 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the date of the Reporting Person's last report, 9,506 shares previously owned by the Reporting Person's Spouse's Roth IRA were transferred to the Reporting Person's self-directed IRA and are now directly owned.</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November 4, 2024 in connection with the Reporting Person's appointment as Chief Medical Officer. 25% of the RSUs will vest on December 15th of each of 2025, 2026, 2027 and 2028,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Scott Sieckert, Attorney-in-  </w:t>
      </w:r>
      <w:r>
        <w:rPr>
          <w:rFonts w:ascii="Times New Roman" w:cs="Times New Roman" w:eastAsia="Times New Roman" w:hAnsi="Times New Roman"/>
          <w:sz w:val="33"/>
          <w:szCs w:val="33"/>
          <w:color w:val="0000FF"/>
          <w:vertAlign w:val="subscript"/>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2190"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2025-12-17T15:13:25Z</dcterms:created>
  <dcterms:modified xsi:type="dcterms:W3CDTF">2025-12-17T15:13:25Z</dcterms:modified>
</cp:coreProperties>
</file>