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7082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08215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9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Azamian Bobak R.</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361" w:lineRule="auto"/>
        <w:rPr>
          <w:sz w:val="20"/>
          <w:szCs w:val="20"/>
          <w:color w:val="auto"/>
        </w:rPr>
      </w:pPr>
      <w:r>
        <w:rPr>
          <w:rFonts w:ascii="Arial" w:cs="Arial" w:eastAsia="Arial" w:hAnsi="Arial"/>
          <w:sz w:val="16"/>
          <w:szCs w:val="16"/>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Tarsus Pharmaceuticals,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TARS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25"/>
        <w:spacing w:after="0"/>
        <w:rPr>
          <w:sz w:val="20"/>
          <w:szCs w:val="20"/>
          <w:color w:val="auto"/>
        </w:rPr>
      </w:pPr>
      <w:r>
        <w:rPr>
          <w:rFonts w:ascii="Arial" w:cs="Arial" w:eastAsia="Arial" w:hAnsi="Arial"/>
          <w:sz w:val="17"/>
          <w:szCs w:val="17"/>
          <w:color w:val="0000FF"/>
        </w:rPr>
        <w:t>President and CEO</w:t>
      </w:r>
    </w:p>
    <w:p>
      <w:pPr>
        <w:spacing w:after="0" w:line="425" w:lineRule="exact"/>
        <w:rPr>
          <w:sz w:val="24"/>
          <w:szCs w:val="24"/>
          <w:color w:val="auto"/>
        </w:rPr>
      </w:pPr>
    </w:p>
    <w:p>
      <w:pPr>
        <w:sectPr>
          <w:pgSz w:w="11900" w:h="16838" w:orient="portrait"/>
          <w:cols w:equalWidth="0" w:num="3">
            <w:col w:w="3540" w:space="380"/>
            <w:col w:w="3160" w:space="655"/>
            <w:col w:w="3345"/>
          </w:cols>
          <w:pgMar w:left="460" w:top="225" w:right="359" w:bottom="91"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IRVINE</w:t>
            </w:r>
          </w:p>
        </w:tc>
        <w:tc>
          <w:tcPr>
            <w:tcW w:w="1140" w:type="dxa"/>
            <w:vAlign w:val="bottom"/>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6"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9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jc w:val="center"/>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00" w:type="dxa"/>
            <w:vAlign w:val="bottom"/>
          </w:tcPr>
          <w:p>
            <w:pPr>
              <w:spacing w:after="0"/>
              <w:rPr>
                <w:sz w:val="11"/>
                <w:szCs w:val="11"/>
                <w:color w:val="auto"/>
              </w:rPr>
            </w:pP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82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jc w:val="center"/>
              <w:ind w:right="35"/>
              <w:spacing w:after="0" w:line="133" w:lineRule="exact"/>
              <w:rPr>
                <w:sz w:val="20"/>
                <w:szCs w:val="20"/>
                <w:color w:val="auto"/>
              </w:rPr>
            </w:pPr>
            <w:r>
              <w:rPr>
                <w:rFonts w:ascii="Arial" w:cs="Arial" w:eastAsia="Arial" w:hAnsi="Arial"/>
                <w:sz w:val="12"/>
                <w:szCs w:val="12"/>
                <w:b w:val="1"/>
                <w:bCs w:val="1"/>
                <w:color w:val="auto"/>
                <w:w w:val="99"/>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2"/>
            <w:vMerge w:val="restart"/>
          </w:tcPr>
          <w:p>
            <w:pPr>
              <w:ind w:left="400"/>
              <w:spacing w:after="0"/>
              <w:rPr>
                <w:sz w:val="20"/>
                <w:szCs w:val="20"/>
                <w:color w:val="auto"/>
              </w:rPr>
            </w:pPr>
            <w:r>
              <w:rPr>
                <w:rFonts w:ascii="Arial" w:cs="Arial" w:eastAsia="Arial" w:hAnsi="Arial"/>
                <w:sz w:val="17"/>
                <w:szCs w:val="17"/>
                <w:color w:val="0000FF"/>
              </w:rPr>
              <w:t>09/01/2021</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vMerge w:val="restart"/>
          </w:tcPr>
          <w:p>
            <w:pPr>
              <w:jc w:val="right"/>
              <w:ind w:right="171"/>
              <w:spacing w:after="0"/>
              <w:rPr>
                <w:sz w:val="20"/>
                <w:szCs w:val="20"/>
                <w:color w:val="auto"/>
              </w:rPr>
            </w:pPr>
            <w:r>
              <w:rPr>
                <w:rFonts w:ascii="Arial" w:cs="Arial" w:eastAsia="Arial" w:hAnsi="Arial"/>
                <w:sz w:val="17"/>
                <w:szCs w:val="17"/>
                <w:color w:val="0000FF"/>
              </w:rPr>
              <w:t>5,733</w:t>
            </w:r>
          </w:p>
        </w:tc>
        <w:tc>
          <w:tcPr>
            <w:tcW w:w="80" w:type="dxa"/>
            <w:vAlign w:val="bottom"/>
          </w:tcPr>
          <w:p>
            <w:pPr>
              <w:spacing w:after="0"/>
              <w:rPr>
                <w:sz w:val="18"/>
                <w:szCs w:val="18"/>
                <w:color w:val="auto"/>
              </w:rPr>
            </w:pPr>
          </w:p>
        </w:tc>
        <w:tc>
          <w:tcPr>
            <w:tcW w:w="380" w:type="dxa"/>
            <w:vAlign w:val="bottom"/>
            <w:vMerge w:val="restart"/>
          </w:tcPr>
          <w:p>
            <w:pPr>
              <w:jc w:val="center"/>
              <w:ind w:right="115"/>
              <w:spacing w:after="0"/>
              <w:rPr>
                <w:sz w:val="20"/>
                <w:szCs w:val="20"/>
                <w:color w:val="auto"/>
              </w:rPr>
            </w:pPr>
            <w:r>
              <w:rPr>
                <w:rFonts w:ascii="Arial" w:cs="Arial" w:eastAsia="Arial" w:hAnsi="Arial"/>
                <w:sz w:val="17"/>
                <w:szCs w:val="17"/>
                <w:color w:val="0000FF"/>
                <w:w w:val="97"/>
              </w:rPr>
              <w:t>D</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25.233</w:t>
            </w:r>
            <w:r>
              <w:rPr>
                <w:rFonts w:ascii="Arial" w:cs="Arial" w:eastAsia="Arial" w:hAnsi="Arial"/>
                <w:sz w:val="22"/>
                <w:szCs w:val="22"/>
                <w:color w:val="008000"/>
                <w:w w:val="88"/>
                <w:vertAlign w:val="superscript"/>
              </w:rPr>
              <w:t>(2)</w:t>
            </w:r>
          </w:p>
        </w:tc>
        <w:tc>
          <w:tcPr>
            <w:tcW w:w="12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89"/>
              </w:rPr>
              <w:t>1,221,705</w:t>
            </w:r>
          </w:p>
        </w:tc>
        <w:tc>
          <w:tcPr>
            <w:tcW w:w="320" w:type="dxa"/>
            <w:vAlign w:val="bottom"/>
          </w:tcPr>
          <w:p>
            <w:pPr>
              <w:spacing w:after="0"/>
              <w:rPr>
                <w:sz w:val="18"/>
                <w:szCs w:val="18"/>
                <w:color w:val="auto"/>
              </w:rPr>
            </w:pPr>
          </w:p>
        </w:tc>
        <w:tc>
          <w:tcPr>
            <w:tcW w:w="500" w:type="dxa"/>
            <w:vAlign w:val="bottom"/>
            <w:vMerge w:val="restart"/>
          </w:tcPr>
          <w:p>
            <w:pPr>
              <w:jc w:val="center"/>
              <w:ind w:right="311"/>
              <w:spacing w:after="0"/>
              <w:rPr>
                <w:sz w:val="20"/>
                <w:szCs w:val="20"/>
                <w:color w:val="auto"/>
              </w:rPr>
            </w:pPr>
            <w:r>
              <w:rPr>
                <w:rFonts w:ascii="Arial" w:cs="Arial" w:eastAsia="Arial" w:hAnsi="Arial"/>
                <w:sz w:val="17"/>
                <w:szCs w:val="17"/>
                <w:color w:val="0000FF"/>
                <w:w w:val="83"/>
              </w:rPr>
              <w:t>I</w:t>
            </w: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Living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40" w:type="dxa"/>
            <w:vAlign w:val="bottom"/>
            <w:gridSpan w:val="4"/>
            <w:vMerge w:val="restart"/>
          </w:tcPr>
          <w:p>
            <w:pPr>
              <w:ind w:left="8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April 16,</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rPr>
              <w:t>2018</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2"/>
            <w:vMerge w:val="restart"/>
          </w:tcPr>
          <w:p>
            <w:pPr>
              <w:ind w:left="400"/>
              <w:spacing w:after="0"/>
              <w:rPr>
                <w:sz w:val="20"/>
                <w:szCs w:val="20"/>
                <w:color w:val="auto"/>
              </w:rPr>
            </w:pPr>
            <w:r>
              <w:rPr>
                <w:rFonts w:ascii="Arial" w:cs="Arial" w:eastAsia="Arial" w:hAnsi="Arial"/>
                <w:sz w:val="17"/>
                <w:szCs w:val="17"/>
                <w:color w:val="0000FF"/>
              </w:rPr>
              <w:t>09/01/2021</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vMerge w:val="restart"/>
          </w:tcPr>
          <w:p>
            <w:pPr>
              <w:jc w:val="right"/>
              <w:ind w:right="231"/>
              <w:spacing w:after="0"/>
              <w:rPr>
                <w:sz w:val="20"/>
                <w:szCs w:val="20"/>
                <w:color w:val="auto"/>
              </w:rPr>
            </w:pPr>
            <w:r>
              <w:rPr>
                <w:rFonts w:ascii="Arial" w:cs="Arial" w:eastAsia="Arial" w:hAnsi="Arial"/>
                <w:sz w:val="17"/>
                <w:szCs w:val="17"/>
                <w:color w:val="0000FF"/>
              </w:rPr>
              <w:t>100</w:t>
            </w:r>
          </w:p>
        </w:tc>
        <w:tc>
          <w:tcPr>
            <w:tcW w:w="80" w:type="dxa"/>
            <w:vAlign w:val="bottom"/>
          </w:tcPr>
          <w:p>
            <w:pPr>
              <w:spacing w:after="0"/>
              <w:rPr>
                <w:sz w:val="18"/>
                <w:szCs w:val="18"/>
                <w:color w:val="auto"/>
              </w:rPr>
            </w:pPr>
          </w:p>
        </w:tc>
        <w:tc>
          <w:tcPr>
            <w:tcW w:w="380" w:type="dxa"/>
            <w:vAlign w:val="bottom"/>
            <w:vMerge w:val="restart"/>
          </w:tcPr>
          <w:p>
            <w:pPr>
              <w:jc w:val="center"/>
              <w:ind w:right="115"/>
              <w:spacing w:after="0"/>
              <w:rPr>
                <w:sz w:val="20"/>
                <w:szCs w:val="20"/>
                <w:color w:val="auto"/>
              </w:rPr>
            </w:pPr>
            <w:r>
              <w:rPr>
                <w:rFonts w:ascii="Arial" w:cs="Arial" w:eastAsia="Arial" w:hAnsi="Arial"/>
                <w:sz w:val="17"/>
                <w:szCs w:val="17"/>
                <w:color w:val="0000FF"/>
                <w:w w:val="97"/>
              </w:rPr>
              <w:t>D</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89"/>
              </w:rPr>
              <w:t>1,221,605</w:t>
            </w:r>
          </w:p>
        </w:tc>
        <w:tc>
          <w:tcPr>
            <w:tcW w:w="320" w:type="dxa"/>
            <w:vAlign w:val="bottom"/>
          </w:tcPr>
          <w:p>
            <w:pPr>
              <w:spacing w:after="0"/>
              <w:rPr>
                <w:sz w:val="18"/>
                <w:szCs w:val="18"/>
                <w:color w:val="auto"/>
              </w:rPr>
            </w:pPr>
          </w:p>
        </w:tc>
        <w:tc>
          <w:tcPr>
            <w:tcW w:w="500" w:type="dxa"/>
            <w:vAlign w:val="bottom"/>
            <w:vMerge w:val="restart"/>
          </w:tcPr>
          <w:p>
            <w:pPr>
              <w:jc w:val="center"/>
              <w:ind w:right="311"/>
              <w:spacing w:after="0"/>
              <w:rPr>
                <w:sz w:val="20"/>
                <w:szCs w:val="20"/>
                <w:color w:val="auto"/>
              </w:rPr>
            </w:pPr>
            <w:r>
              <w:rPr>
                <w:rFonts w:ascii="Arial" w:cs="Arial" w:eastAsia="Arial" w:hAnsi="Arial"/>
                <w:sz w:val="17"/>
                <w:szCs w:val="17"/>
                <w:color w:val="0000FF"/>
                <w:w w:val="83"/>
              </w:rPr>
              <w:t>I</w:t>
            </w: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Living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040" w:type="dxa"/>
            <w:vAlign w:val="bottom"/>
            <w:gridSpan w:val="4"/>
            <w:vMerge w:val="restart"/>
          </w:tcPr>
          <w:p>
            <w:pPr>
              <w:ind w:left="8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April 16,</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rPr>
              <w:t>2018</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7"/>
                <w:szCs w:val="17"/>
                <w:color w:val="0000FF"/>
                <w:w w:val="93"/>
              </w:rPr>
              <w:t>1,750</w:t>
            </w:r>
          </w:p>
        </w:tc>
        <w:tc>
          <w:tcPr>
            <w:tcW w:w="320" w:type="dxa"/>
            <w:vAlign w:val="bottom"/>
          </w:tcPr>
          <w:p>
            <w:pPr>
              <w:spacing w:after="0"/>
              <w:rPr>
                <w:sz w:val="23"/>
                <w:szCs w:val="23"/>
                <w:color w:val="auto"/>
              </w:rPr>
            </w:pPr>
          </w:p>
        </w:tc>
        <w:tc>
          <w:tcPr>
            <w:tcW w:w="500" w:type="dxa"/>
            <w:vAlign w:val="bottom"/>
          </w:tcPr>
          <w:p>
            <w:pPr>
              <w:jc w:val="center"/>
              <w:ind w:right="311"/>
              <w:spacing w:after="0"/>
              <w:rPr>
                <w:sz w:val="20"/>
                <w:szCs w:val="20"/>
                <w:color w:val="auto"/>
              </w:rPr>
            </w:pPr>
            <w:r>
              <w:rPr>
                <w:rFonts w:ascii="Arial" w:cs="Arial" w:eastAsia="Arial" w:hAnsi="Arial"/>
                <w:sz w:val="17"/>
                <w:szCs w:val="17"/>
                <w:color w:val="0000FF"/>
                <w:w w:val="97"/>
              </w:rPr>
              <w:t>D</w:t>
            </w: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600" w:type="dxa"/>
            <w:vAlign w:val="bottom"/>
            <w:tcBorders>
              <w:bottom w:val="single" w:sz="8" w:color="2C2C2C"/>
            </w:tcBorders>
            <w:gridSpan w:val="4"/>
          </w:tcPr>
          <w:p>
            <w:pPr>
              <w:spacing w:after="0"/>
              <w:rPr>
                <w:sz w:val="8"/>
                <w:szCs w:val="8"/>
                <w:color w:val="auto"/>
              </w:rPr>
            </w:pPr>
          </w:p>
        </w:tc>
        <w:tc>
          <w:tcPr>
            <w:tcW w:w="2720" w:type="dxa"/>
            <w:vAlign w:val="bottom"/>
            <w:tcBorders>
              <w:bottom w:val="single" w:sz="8" w:color="2C2C2C"/>
            </w:tcBorders>
            <w:gridSpan w:val="7"/>
          </w:tcPr>
          <w:p>
            <w:pPr>
              <w:spacing w:after="0"/>
              <w:rPr>
                <w:sz w:val="8"/>
                <w:szCs w:val="8"/>
                <w:color w:val="auto"/>
              </w:rPr>
            </w:pPr>
          </w:p>
        </w:tc>
        <w:tc>
          <w:tcPr>
            <w:tcW w:w="1360" w:type="dxa"/>
            <w:vAlign w:val="bottom"/>
            <w:tcBorders>
              <w:bottom w:val="single" w:sz="8" w:color="2C2C2C"/>
            </w:tcBorders>
            <w:gridSpan w:val="4"/>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4"/>
                <w:szCs w:val="14"/>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by an automatic sale pursuant to a Rule 10b5-1 trading plan adopted by the Reporting Person on May 14, 2021.</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 shares were pooled and sold in multiple transactions at prices ranging from $25.000 to $25.97.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the trustee of the Bobak Azamian Living Trust, established April 16, 2018 and has voting and dispositive power with respect to these shares.</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Leonard M. Greenstein,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09/03/2021</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9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67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2021-09-03T16:52:52Z</dcterms:created>
  <dcterms:modified xsi:type="dcterms:W3CDTF">2021-09-03T16:52:52Z</dcterms:modified>
</cp:coreProperties>
</file>