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10773</w:t>
            </w:r>
          </w:p>
        </w:tc>
        <w:tc>
          <w:tcPr>
            <w:tcW w:w="1377" w:type="dxa"/>
            <w:tcBorders/>
            <w:vAlign w:val="center"/>
          </w:tcPr>
          <w:p>
            <w:pPr>
              <w:pStyle w:val="TableContents"/>
              <w:bidi w:val="0"/>
              <w:spacing w:before="0" w:after="283"/>
              <w:jc w:val="left"/>
              <w:rPr/>
            </w:pPr>
            <w:r>
              <w:rPr/>
              <w:t>942635.00</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4753</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6020</w:t>
            </w:r>
          </w:p>
        </w:tc>
        <w:tc>
          <w:tcPr>
            <w:tcW w:w="1078" w:type="dxa"/>
            <w:tcBorders/>
            <w:vAlign w:val="center"/>
          </w:tcPr>
          <w:p>
            <w:pPr>
              <w:pStyle w:val="TableContents"/>
              <w:bidi w:val="0"/>
              <w:spacing w:before="0" w:after="283"/>
              <w:jc w:val="left"/>
              <w:rPr/>
            </w:pPr>
            <w:r>
              <w:rPr/>
              <w:t>09/14/2022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09/01/2026</w:t>
            </w:r>
          </w:p>
        </w:tc>
        <w:tc>
          <w:tcPr>
            <w:tcW w:w="1572" w:type="dxa"/>
            <w:tcBorders/>
            <w:vAlign w:val="center"/>
          </w:tcPr>
          <w:p>
            <w:pPr>
              <w:pStyle w:val="TableContents"/>
              <w:bidi w:val="0"/>
              <w:spacing w:before="0" w:after="283"/>
              <w:jc w:val="left"/>
              <w:rPr/>
            </w:pPr>
            <w:r>
              <w:rPr/>
              <w:t>4601</w:t>
            </w:r>
          </w:p>
        </w:tc>
        <w:tc>
          <w:tcPr>
            <w:tcW w:w="1772" w:type="dxa"/>
            <w:tcBorders/>
            <w:vAlign w:val="center"/>
          </w:tcPr>
          <w:p>
            <w:pPr>
              <w:pStyle w:val="TableContents"/>
              <w:bidi w:val="0"/>
              <w:spacing w:before="0" w:after="283"/>
              <w:jc w:val="left"/>
              <w:rPr/>
            </w:pPr>
            <w:r>
              <w:rPr/>
              <w:t>339829.86</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09/02/2026</w:t>
            </w:r>
          </w:p>
        </w:tc>
        <w:tc>
          <w:tcPr>
            <w:tcW w:w="1572" w:type="dxa"/>
            <w:tcBorders/>
            <w:vAlign w:val="center"/>
          </w:tcPr>
          <w:p>
            <w:pPr>
              <w:pStyle w:val="TableContents"/>
              <w:bidi w:val="0"/>
              <w:spacing w:before="0" w:after="283"/>
              <w:jc w:val="left"/>
              <w:rPr/>
            </w:pPr>
            <w:r>
              <w:rPr/>
              <w:t>5387</w:t>
            </w:r>
          </w:p>
        </w:tc>
        <w:tc>
          <w:tcPr>
            <w:tcW w:w="1772" w:type="dxa"/>
            <w:tcBorders/>
            <w:vAlign w:val="center"/>
          </w:tcPr>
          <w:p>
            <w:pPr>
              <w:pStyle w:val="TableContents"/>
              <w:bidi w:val="0"/>
              <w:spacing w:before="0" w:after="283"/>
              <w:jc w:val="left"/>
              <w:rPr/>
            </w:pPr>
            <w:r>
              <w:rPr/>
              <w:t>430960.00</w:t>
            </w:r>
          </w:p>
        </w:tc>
      </w:tr>
      <w:tr>
        <w:trPr/>
        <w:tc>
          <w:tcPr>
            <w:tcW w:w="2928" w:type="dxa"/>
            <w:tcBorders/>
            <w:vAlign w:val="center"/>
          </w:tcPr>
          <w:p>
            <w:pPr>
              <w:pStyle w:val="TableContents"/>
              <w:bidi w:val="0"/>
              <w:spacing w:before="0" w:after="283"/>
              <w:jc w:val="left"/>
              <w:rPr/>
            </w:pPr>
            <w:r>
              <w:rPr/>
              <w:t>Stephen H. 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09/02/2026</w:t>
            </w:r>
          </w:p>
        </w:tc>
        <w:tc>
          <w:tcPr>
            <w:tcW w:w="1572" w:type="dxa"/>
            <w:tcBorders/>
            <w:vAlign w:val="center"/>
          </w:tcPr>
          <w:p>
            <w:pPr>
              <w:pStyle w:val="TableContents"/>
              <w:bidi w:val="0"/>
              <w:spacing w:before="0" w:after="283"/>
              <w:jc w:val="left"/>
              <w:rPr/>
            </w:pPr>
            <w:r>
              <w:rPr/>
              <w:t>1590</w:t>
            </w:r>
          </w:p>
        </w:tc>
        <w:tc>
          <w:tcPr>
            <w:tcW w:w="1772" w:type="dxa"/>
            <w:tcBorders/>
            <w:vAlign w:val="center"/>
          </w:tcPr>
          <w:p>
            <w:pPr>
              <w:pStyle w:val="TableContents"/>
              <w:bidi w:val="0"/>
              <w:spacing w:before="0" w:after="283"/>
              <w:jc w:val="left"/>
              <w:rPr/>
            </w:pPr>
            <w:r>
              <w:rPr/>
              <w:t>127200.00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71"/>
        <w:gridCol w:w="6534"/>
      </w:tblGrid>
      <w:tr>
        <w:trPr/>
        <w:tc>
          <w:tcPr>
            <w:tcW w:w="3671" w:type="dxa"/>
            <w:tcBorders/>
            <w:vAlign w:val="center"/>
          </w:tcPr>
          <w:p>
            <w:pPr>
              <w:pStyle w:val="TableContents"/>
              <w:bidi w:val="0"/>
              <w:spacing w:before="0" w:after="283"/>
              <w:jc w:val="left"/>
              <w:rPr/>
            </w:pPr>
            <w:r>
              <w:rPr/>
              <w:t>Remarks</w:t>
            </w:r>
          </w:p>
        </w:tc>
        <w:tc>
          <w:tcPr>
            <w:tcW w:w="6534" w:type="dxa"/>
            <w:tcBorders/>
            <w:vAlign w:val="center"/>
          </w:tcPr>
          <w:p>
            <w:pPr>
              <w:pStyle w:val="TableContents"/>
              <w:bidi w:val="0"/>
              <w:spacing w:before="0" w:after="0"/>
              <w:jc w:val="left"/>
              <w:rPr/>
            </w:pPr>
            <w:r>
              <w:rPr/>
              <w:t>Sales from the past 3 months include those from the account of Stephen H. Lin who is the spouse of Elizabeth Yeu-Lin, an officer of the company.</w:t>
            </w:r>
          </w:p>
        </w:tc>
      </w:tr>
      <w:tr>
        <w:trPr/>
        <w:tc>
          <w:tcPr>
            <w:tcW w:w="3671" w:type="dxa"/>
            <w:tcBorders/>
            <w:vAlign w:val="center"/>
          </w:tcPr>
          <w:p>
            <w:pPr>
              <w:pStyle w:val="TableContents"/>
              <w:bidi w:val="0"/>
              <w:spacing w:before="0" w:after="283"/>
              <w:jc w:val="left"/>
              <w:rPr/>
            </w:pPr>
            <w:r>
              <w:rPr/>
              <w:t>Date of Notice</w:t>
            </w:r>
          </w:p>
        </w:tc>
        <w:tc>
          <w:tcPr>
            <w:tcW w:w="6534" w:type="dxa"/>
            <w:tcBorders/>
            <w:vAlign w:val="center"/>
          </w:tcPr>
          <w:p>
            <w:pPr>
              <w:pStyle w:val="TableContents"/>
              <w:bidi w:val="0"/>
              <w:spacing w:before="0" w:after="0"/>
              <w:jc w:val="left"/>
              <w:rPr/>
            </w:pPr>
            <w:r>
              <w:rPr/>
              <w:t>09/04/2026</w:t>
            </w:r>
          </w:p>
        </w:tc>
      </w:tr>
      <w:tr>
        <w:trPr/>
        <w:tc>
          <w:tcPr>
            <w:tcW w:w="3671" w:type="dxa"/>
            <w:tcBorders/>
            <w:vAlign w:val="center"/>
          </w:tcPr>
          <w:p>
            <w:pPr>
              <w:pStyle w:val="TableContents"/>
              <w:bidi w:val="0"/>
              <w:spacing w:before="0" w:after="283"/>
              <w:jc w:val="left"/>
              <w:rPr/>
            </w:pPr>
            <w:r>
              <w:rPr/>
              <w:t>Date of Plan Adoption or Giving of Instruction, If Relying on Rule 10b5-1</w:t>
            </w:r>
          </w:p>
        </w:tc>
        <w:tc>
          <w:tcPr>
            <w:tcW w:w="6534"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1" w:type="dxa"/>
            <w:tcBorders/>
            <w:vAlign w:val="center"/>
          </w:tcPr>
          <w:p>
            <w:pPr>
              <w:pStyle w:val="TableContents"/>
              <w:bidi w:val="0"/>
              <w:spacing w:before="0" w:after="283"/>
              <w:jc w:val="left"/>
              <w:rPr/>
            </w:pPr>
            <w:r>
              <w:rPr/>
              <w:t>Signature</w:t>
            </w:r>
          </w:p>
        </w:tc>
        <w:tc>
          <w:tcPr>
            <w:tcW w:w="6534" w:type="dxa"/>
            <w:tcBorders/>
            <w:vAlign w:val="center"/>
          </w:tcPr>
          <w:p>
            <w:pPr>
              <w:pStyle w:val="TableContents"/>
              <w:bidi w:val="0"/>
              <w:spacing w:before="0" w:after="0"/>
              <w:jc w:val="left"/>
              <w:rPr/>
            </w:pPr>
            <w:r>
              <w:rPr/>
              <w:t>/s/ Joshua Schmitt,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3558</Characters>
  <CharactersWithSpaces>4184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