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180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08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19"/>
                <w:szCs w:val="19"/>
                <w:color w:val="auto"/>
              </w:rPr>
            </w:pPr>
          </w:p>
        </w:tc>
        <w:tc>
          <w:tcPr>
            <w:tcW w:w="1520" w:type="dxa"/>
            <w:vAlign w:val="bottom"/>
            <w:gridSpan w:val="9"/>
          </w:tcPr>
          <w:p>
            <w:pPr>
              <w:ind w:left="160"/>
              <w:spacing w:after="0"/>
              <w:rPr>
                <w:sz w:val="20"/>
                <w:szCs w:val="20"/>
                <w:color w:val="auto"/>
              </w:rPr>
            </w:pPr>
            <w:r>
              <w:rPr>
                <w:rFonts w:ascii="Arial" w:cs="Arial" w:eastAsia="Arial" w:hAnsi="Arial"/>
                <w:sz w:val="17"/>
                <w:szCs w:val="17"/>
                <w:color w:val="0000FF"/>
              </w:rPr>
              <w:t>06/23/2021</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06/23/2021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37,980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29.8</w:t>
            </w:r>
            <w:r>
              <w:rPr>
                <w:rFonts w:ascii="Arial" w:cs="Arial" w:eastAsia="Arial" w:hAnsi="Arial"/>
                <w:sz w:val="22"/>
                <w:szCs w:val="22"/>
                <w:color w:val="008000"/>
                <w:w w:val="92"/>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3,005,035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06/24/2021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10,000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29.9</w:t>
            </w:r>
            <w:r>
              <w:rPr>
                <w:rFonts w:ascii="Arial" w:cs="Arial" w:eastAsia="Arial" w:hAnsi="Arial"/>
                <w:sz w:val="22"/>
                <w:szCs w:val="22"/>
                <w:color w:val="008000"/>
                <w:w w:val="92"/>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2,995,035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gridSpan w:val="5"/>
            <w:vMerge w:val="restart"/>
          </w:tcPr>
          <w:p>
            <w:pPr>
              <w:ind w:left="800"/>
              <w:spacing w:after="0"/>
              <w:rPr>
                <w:sz w:val="20"/>
                <w:szCs w:val="20"/>
                <w:color w:val="auto"/>
              </w:rPr>
            </w:pPr>
            <w:r>
              <w:rPr>
                <w:rFonts w:ascii="Arial" w:cs="Arial" w:eastAsia="Arial" w:hAnsi="Arial"/>
                <w:sz w:val="17"/>
                <w:szCs w:val="17"/>
                <w:color w:val="0000FF"/>
              </w:rPr>
              <w:t>06/25/2021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3"/>
              </w:rPr>
              <w:t>7,704</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29.6</w:t>
            </w:r>
            <w:r>
              <w:rPr>
                <w:rFonts w:ascii="Arial" w:cs="Arial" w:eastAsia="Arial" w:hAnsi="Arial"/>
                <w:sz w:val="22"/>
                <w:szCs w:val="22"/>
                <w:color w:val="008000"/>
                <w:w w:val="92"/>
                <w:vertAlign w:val="superscript"/>
              </w:rPr>
              <w:t>(3)</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2,987,331</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5"/>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Vivo Capital Fund IX,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$30.6 to $28.3,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(1) to this Form 4.</w:t>
      </w:r>
    </w:p>
    <w:p>
      <w:pPr>
        <w:spacing w:after="0" w:line="25" w:lineRule="exact"/>
        <w:rPr>
          <w:rFonts w:ascii="Arial" w:cs="Arial" w:eastAsia="Arial" w:hAnsi="Arial"/>
          <w:sz w:val="13"/>
          <w:szCs w:val="13"/>
          <w:color w:val="008000"/>
        </w:rPr>
      </w:pPr>
    </w:p>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$30.2 to $29.7,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$30.0 to $29.5,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(3) to this Form 4.</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by Vivo Capital Fund IX, L.P. Vivo Capital IX, LLC is the general partner of Vivo Capital Fund IX, L.P. As the managing members of Vivo Capital IX, LLC, Frank Kung, Edgar Engleman, Shan Fu, Hongbo Lu, Jack Nielsen, Mahendra Shah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0760"/>
          </w:cols>
          <w:pgMar w:left="500" w:top="131" w:right="63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5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20" w:space="120"/>
            <w:col w:w="2020"/>
          </w:cols>
          <w:pgMar w:left="500" w:top="131" w:right="6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750698"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2021-06-25T20:34:55Z</dcterms:created>
  <dcterms:modified xsi:type="dcterms:W3CDTF">2021-06-25T20:34:55Z</dcterms:modified>
</cp:coreProperties>
</file>