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18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transition period from _____to ____</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Commission File Number: 001-39614</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TARSUS PHARMACEUTICALS, INC.</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81-4717861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0" w:type="dxa"/>
        <w:jc w:val="center"/>
        <w:tblInd w:w="0" w:type="dxa"/>
        <w:tblLayout w:type="fixed"/>
        <w:tblCellMar>
          <w:top w:w="28" w:type="dxa"/>
          <w:left w:w="28" w:type="dxa"/>
          <w:bottom w:w="28" w:type="dxa"/>
          <w:right w:w="28" w:type="dxa"/>
        </w:tblCellMar>
      </w:tblPr>
      <w:tblGrid>
        <w:gridCol w:w="1058"/>
        <w:gridCol w:w="931"/>
        <w:gridCol w:w="935"/>
        <w:gridCol w:w="109"/>
        <w:gridCol w:w="109"/>
        <w:gridCol w:w="109"/>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17700 Laguna Canyon Road, Floor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92618</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(949) 418-1801</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6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Market LLC</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80"/>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May 1, 2026, the number of outstanding shares of the registrant’s common stock, par value $0.0001 per share, was 43,023,959.</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SUMMARY OF RISKS ASSOCIATED WITH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a commercial stage biopharmaceutical company with a limited operating history and a single product approved for commercial sale. While we have generated revenue from the launch of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(lotilaner ophthalmic solution) 0.25%, we have continued to incur losses and negative cash flows from operations since our inception and anticipate that we could continue to incur significant expenses and potential losses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obtained regulatory approval for XDEMVY in the U.S. in July 2023 and commenced the commercial launch of XDEMVY in August 2023. We have limited experience as a commercial company generating revenue from product sales. If the commercialization of XDEMVY becomes unsuccessful or any future approved product launches are unsuccessful, our ability to become or remain profitable may be unsuccessful.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heavily dependent on the continued successful commercialization of XDEMVY and the successful development, regulatory approvals,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may not ultimately be successful in educating Eye Care Professionals (“ECPs”),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sizes of the market opportunity for our product or product candidates, particularly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development and commercialization of our product or our product candidates, including XDEMVY for the treatment of</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TP-04 for the potential treatment of ocular rosacea and TP-05 for potential Lyme disease prophylaxis and community malaria reduction, is dependent on intellectual property we license from Elanco Tiergesundheit AG (“Elanco”). If we breach our agreements with Elanco or the agreements are terminated, we could lose license rights that are important to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contract with third parties for the commercial manufacture of XDEMVY and for the manufacture of our product candidates for preclinical studies, clinical trials and for eventual commercialization. In some instances, we or our third-party contract manufacturers rely on single source suppliers for certain materials for our product and product candidates. This reliance on third parties and single source suppliers increases the risk that we will not have sufficient quantities of XDEMVY, our product candidates, or compounds or that such supply will not be available to us at an acceptable cost, which could delay, prevent or impair our commercialization or development efforts, as we expect XDEMVY and each of our product candidates will continue to rely on single-source suppliers for the foreseeable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Clinical drug development is a lengthy, expensive and risky process with uncertain timelines and uncertain outcomes, and results of earlier studies and trials may not be predictive of future results. If clinical trials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Unfavorable global and geopolitical economic conditions, including tariffs, could adversely affect our business, financial condition or results of operations.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46" w:type="dxa"/>
        <w:jc w:val="center"/>
        <w:tblInd w:w="0" w:type="dxa"/>
        <w:tblLayout w:type="fixed"/>
        <w:tblCellMar>
          <w:top w:w="28" w:type="dxa"/>
          <w:left w:w="28" w:type="dxa"/>
          <w:bottom w:w="28" w:type="dxa"/>
          <w:right w:w="28" w:type="dxa"/>
        </w:tblCellMar>
      </w:tblPr>
      <w:tblGrid>
        <w:gridCol w:w="2887"/>
        <w:gridCol w:w="2540"/>
        <w:gridCol w:w="2553"/>
        <w:gridCol w:w="136"/>
        <w:gridCol w:w="136"/>
        <w:gridCol w:w="194"/>
      </w:tblGrid>
      <w:tr>
        <w:trPr/>
        <w:tc>
          <w:tcPr>
            <w:tcW w:w="2887"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0">
              <w:r>
                <w:rPr>
                  <w:rStyle w:val="InternetLink"/>
                  <w:rFonts w:ascii="Times New Roman;serif" w:hAnsi="Times New Roman;serif"/>
                  <w:b w:val="false"/>
                  <w:color w:val="0000FF"/>
                  <w:sz w:val="20"/>
                  <w:u w:val="singl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0">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3">
              <w:r>
                <w:rPr>
                  <w:rStyle w:val="InternetLink"/>
                  <w:rFonts w:ascii="Times New Roman;serif" w:hAnsi="Times New Roman;serif"/>
                  <w:b w:val="false"/>
                  <w:color w:val="0000FF"/>
                  <w:sz w:val="20"/>
                  <w:u w:val="single"/>
                </w:rPr>
                <w:t>Item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3">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70">
              <w:r>
                <w:rPr>
                  <w:rStyle w:val="InternetLink"/>
                  <w:rFonts w:ascii="Times New Roman;serif" w:hAnsi="Times New Roman;serif"/>
                  <w:b w:val="false"/>
                  <w:strike w:val="false"/>
                  <w:dstrike w:val="false"/>
                  <w:color w:val="000000"/>
                  <w:sz w:val="20"/>
                  <w:u w:val="none"/>
                  <w:effect w:val="none"/>
                </w:rPr>
                <w:t>32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76">
              <w:r>
                <w:rPr>
                  <w:rStyle w:val="InternetLink"/>
                  <w:rFonts w:ascii="Times New Roman;serif" w:hAnsi="Times New Roman;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76">
              <w:r>
                <w:rPr>
                  <w:rStyle w:val="InternetLink"/>
                  <w:rFonts w:ascii="Times New Roman;serif" w:hAnsi="Times New Roman;serif"/>
                  <w:b w:val="false"/>
                  <w:strike w:val="false"/>
                  <w:dstrike w:val="false"/>
                  <w:color w:val="000000"/>
                  <w:sz w:val="20"/>
                  <w:u w:val="none"/>
                  <w:effect w:val="none"/>
                </w:rPr>
                <w:t>44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79">
              <w:r>
                <w:rPr>
                  <w:rStyle w:val="InternetLink"/>
                  <w:rFonts w:ascii="Times New Roman;serif" w:hAnsi="Times New Roman;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79">
              <w:r>
                <w:rPr>
                  <w:rStyle w:val="InternetLink"/>
                  <w:rFonts w:ascii="Times New Roman;serif" w:hAnsi="Times New Roman;serif"/>
                  <w:b w:val="false"/>
                  <w:strike w:val="false"/>
                  <w:dstrike w:val="false"/>
                  <w:color w:val="000000"/>
                  <w:sz w:val="20"/>
                  <w:u w:val="none"/>
                  <w:effect w:val="none"/>
                </w:rPr>
                <w:t>44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82">
              <w:r>
                <w:rPr>
                  <w:rStyle w:val="InternetLink"/>
                  <w:rFonts w:ascii="Times New Roman;serif" w:hAnsi="Times New Roman;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82">
              <w:r>
                <w:rPr>
                  <w:rStyle w:val="InternetLink"/>
                  <w:rFonts w:ascii="Times New Roman;serif" w:hAnsi="Times New Roman;serif"/>
                  <w:b w:val="false"/>
                  <w:strike w:val="false"/>
                  <w:dstrike w:val="false"/>
                  <w:color w:val="000000"/>
                  <w:sz w:val="20"/>
                  <w:u w:val="none"/>
                  <w:effect w:val="none"/>
                </w:rPr>
                <w:t>46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85">
              <w:r>
                <w:rPr>
                  <w:rStyle w:val="InternetLink"/>
                  <w:rFonts w:ascii="Times New Roman;serif" w:hAnsi="Times New Roman;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85">
              <w:r>
                <w:rPr>
                  <w:rStyle w:val="InternetLink"/>
                  <w:rFonts w:ascii="Times New Roman;serif" w:hAnsi="Times New Roman;serif"/>
                  <w:b w:val="false"/>
                  <w:strike w:val="false"/>
                  <w:dstrike w:val="false"/>
                  <w:color w:val="000000"/>
                  <w:sz w:val="20"/>
                  <w:u w:val="none"/>
                  <w:effect w:val="none"/>
                </w:rPr>
                <w:t>46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88">
              <w:r>
                <w:rPr>
                  <w:rStyle w:val="InternetLink"/>
                  <w:rFonts w:ascii="Times New Roman;serif" w:hAnsi="Times New Roman;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88">
              <w:r>
                <w:rPr>
                  <w:rStyle w:val="InternetLink"/>
                  <w:rFonts w:ascii="Times New Roman;serif" w:hAnsi="Times New Roman;serif"/>
                  <w:b w:val="false"/>
                  <w:strike w:val="false"/>
                  <w:dstrike w:val="false"/>
                  <w:color w:val="000000"/>
                  <w:sz w:val="20"/>
                  <w:u w:val="none"/>
                  <w:effect w:val="none"/>
                </w:rPr>
                <w:t>46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91">
              <w:r>
                <w:rPr>
                  <w:rStyle w:val="InternetLink"/>
                  <w:rFonts w:ascii="Times New Roman;serif" w:hAnsi="Times New Roman;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91">
              <w:r>
                <w:rPr>
                  <w:rStyle w:val="InternetLink"/>
                  <w:rFonts w:ascii="Times New Roman;serif" w:hAnsi="Times New Roman;serif"/>
                  <w:b w:val="false"/>
                  <w:strike w:val="false"/>
                  <w:dstrike w:val="false"/>
                  <w:color w:val="000000"/>
                  <w:sz w:val="20"/>
                  <w:u w:val="none"/>
                  <w:effect w:val="none"/>
                </w:rPr>
                <w:t>105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94">
              <w:r>
                <w:rPr>
                  <w:rStyle w:val="InternetLink"/>
                  <w:rFonts w:ascii="Times New Roman;serif" w:hAnsi="Times New Roman;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94">
              <w:r>
                <w:rPr>
                  <w:rStyle w:val="InternetLink"/>
                  <w:rFonts w:ascii="Times New Roman;serif" w:hAnsi="Times New Roman;serif"/>
                  <w:b w:val="false"/>
                  <w:strike w:val="false"/>
                  <w:dstrike w:val="false"/>
                  <w:color w:val="000000"/>
                  <w:sz w:val="20"/>
                  <w:u w:val="none"/>
                  <w:effect w:val="none"/>
                </w:rPr>
                <w:t>105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97">
              <w:r>
                <w:rPr>
                  <w:rStyle w:val="InternetLink"/>
                  <w:rFonts w:ascii="Times New Roman;serif" w:hAnsi="Times New Roman;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97">
              <w:r>
                <w:rPr>
                  <w:rStyle w:val="InternetLink"/>
                  <w:rFonts w:ascii="Times New Roman;serif" w:hAnsi="Times New Roman;serif"/>
                  <w:b w:val="false"/>
                  <w:strike w:val="false"/>
                  <w:dstrike w:val="false"/>
                  <w:color w:val="000000"/>
                  <w:sz w:val="20"/>
                  <w:u w:val="none"/>
                  <w:effect w:val="none"/>
                </w:rPr>
                <w:t>105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00">
              <w:r>
                <w:rPr>
                  <w:rStyle w:val="InternetLink"/>
                  <w:rFonts w:ascii="Times New Roman;serif" w:hAnsi="Times New Roman;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00">
              <w:r>
                <w:rPr>
                  <w:rStyle w:val="InternetLink"/>
                  <w:rFonts w:ascii="Times New Roman;serif" w:hAnsi="Times New Roman;serif"/>
                  <w:b w:val="false"/>
                  <w:strike w:val="false"/>
                  <w:dstrike w:val="false"/>
                  <w:color w:val="000000"/>
                  <w:sz w:val="20"/>
                  <w:u w:val="none"/>
                  <w:effect w:val="none"/>
                </w:rPr>
                <w:t>105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06">
              <w:r>
                <w:rPr>
                  <w:rStyle w:val="InternetLink"/>
                  <w:rFonts w:ascii="Times New Roman;serif" w:hAnsi="Times New Roman;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06">
              <w:r>
                <w:rPr>
                  <w:rStyle w:val="InternetLink"/>
                  <w:rFonts w:ascii="Times New Roman;serif" w:hAnsi="Times New Roman;serif"/>
                  <w:b w:val="false"/>
                  <w:strike w:val="false"/>
                  <w:dstrike w:val="false"/>
                  <w:color w:val="000000"/>
                  <w:sz w:val="20"/>
                  <w:u w:val="none"/>
                  <w:effect w:val="none"/>
                </w:rPr>
                <w:t>106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09">
              <w:r>
                <w:rPr>
                  <w:rStyle w:val="InternetLink"/>
                  <w:rFonts w:ascii="Times New Roman;serif" w:hAnsi="Times New Roman;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09">
              <w:r>
                <w:rPr>
                  <w:rStyle w:val="InternetLink"/>
                  <w:rFonts w:ascii="Times New Roman;serif" w:hAnsi="Times New Roman;serif"/>
                  <w:b w:val="false"/>
                  <w:strike w:val="false"/>
                  <w:dstrike w:val="false"/>
                  <w:color w:val="000000"/>
                  <w:sz w:val="20"/>
                  <w:u w:val="none"/>
                  <w:effect w:val="none"/>
                </w:rPr>
                <w:t>107</w:t>
              </w:r>
            </w:hyperlink>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FINANCIAL STATEMENTS</w:t>
      </w:r>
    </w:p>
    <w:tbl>
      <w:tblPr>
        <w:tblW w:w="5760" w:type="dxa"/>
        <w:jc w:val="center"/>
        <w:tblInd w:w="0" w:type="dxa"/>
        <w:tblLayout w:type="fixed"/>
        <w:tblCellMar>
          <w:top w:w="28" w:type="dxa"/>
          <w:left w:w="28" w:type="dxa"/>
          <w:bottom w:w="28" w:type="dxa"/>
          <w:right w:w="28" w:type="dxa"/>
        </w:tblCellMar>
      </w:tblPr>
      <w:tblGrid>
        <w:gridCol w:w="1878"/>
        <w:gridCol w:w="1653"/>
        <w:gridCol w:w="1658"/>
        <w:gridCol w:w="167"/>
        <w:gridCol w:w="167"/>
        <w:gridCol w:w="237"/>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19">
              <w:r>
                <w:rPr>
                  <w:rStyle w:val="InternetLink"/>
                  <w:rFonts w:ascii="Times New Roman;serif" w:hAnsi="Times New Roman;serif"/>
                  <w:b w:val="false"/>
                  <w:color w:val="0000FF"/>
                  <w:sz w:val="20"/>
                  <w:u w:val="single"/>
                </w:rPr>
                <w:t>Condensed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cd5d84523304c33a5e5f63b61dd8f94_19">
              <w:r>
                <w:rPr>
                  <w:rStyle w:val="InternetLink"/>
                  <w:rFonts w:ascii="Times New Roman;serif" w:hAnsi="Times New Roman;serif"/>
                  <w:b w:val="false"/>
                  <w:color w:val="0000FF"/>
                  <w:sz w:val="20"/>
                  <w:u w:val="single"/>
                </w:rPr>
                <w:t>F-2</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22">
              <w:r>
                <w:rPr>
                  <w:rStyle w:val="InternetLink"/>
                  <w:rFonts w:ascii="Times New Roman;serif" w:hAnsi="Times New Roman;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d5d84523304c33a5e5f63b61dd8f94_22">
              <w:r>
                <w:rPr>
                  <w:rStyle w:val="InternetLink"/>
                  <w:rFonts w:ascii="Times New Roman;serif" w:hAnsi="Times New Roman;serif"/>
                  <w:b w:val="false"/>
                  <w:color w:val="0000FF"/>
                  <w:sz w:val="20"/>
                  <w:u w:val="single"/>
                </w:rPr>
                <w:t>F-3</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25">
              <w:r>
                <w:rPr>
                  <w:rStyle w:val="InternetLink"/>
                  <w:rFonts w:ascii="Times New Roman;serif" w:hAnsi="Times New Roman;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d5d84523304c33a5e5f63b61dd8f94_25">
              <w:r>
                <w:rPr>
                  <w:rStyle w:val="InternetLink"/>
                  <w:rFonts w:ascii="Times New Roman;serif" w:hAnsi="Times New Roman;serif"/>
                  <w:b w:val="false"/>
                  <w:color w:val="0000FF"/>
                  <w:sz w:val="20"/>
                  <w:u w:val="single"/>
                </w:rPr>
                <w:t>F-4</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28">
              <w:r>
                <w:rPr>
                  <w:rStyle w:val="InternetLink"/>
                  <w:rFonts w:ascii="Times New Roman;serif" w:hAnsi="Times New Roman;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d5d84523304c33a5e5f63b61dd8f94_28">
              <w:r>
                <w:rPr>
                  <w:rStyle w:val="InternetLink"/>
                  <w:rFonts w:ascii="Times New Roman;serif" w:hAnsi="Times New Roman;serif"/>
                  <w:b w:val="false"/>
                  <w:color w:val="0000FF"/>
                  <w:sz w:val="20"/>
                  <w:u w:val="single"/>
                </w:rPr>
                <w:t>F-5</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d5d84523304c33a5e5f63b61dd8f94_31">
              <w:r>
                <w:rPr>
                  <w:rStyle w:val="InternetLink"/>
                  <w:rFonts w:ascii="Times New Roman;serif" w:hAnsi="Times New Roman;serif"/>
                  <w:b w:val="false"/>
                  <w:color w:val="0000FF"/>
                  <w:sz w:val="20"/>
                  <w:u w:val="single"/>
                </w:rPr>
                <w:t>Notes to the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d5d84523304c33a5e5f63b61dd8f94_31">
              <w:r>
                <w:rPr>
                  <w:rStyle w:val="InternetLink"/>
                  <w:rFonts w:ascii="Times New Roman;serif" w:hAnsi="Times New Roman;serif"/>
                  <w:b w:val="false"/>
                  <w:color w:val="0000FF"/>
                  <w:sz w:val="20"/>
                  <w:u w:val="single"/>
                </w:rPr>
                <w:t>F-6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81"/>
        <w:gridCol w:w="2343"/>
        <w:gridCol w:w="2226"/>
        <w:gridCol w:w="214"/>
        <w:gridCol w:w="804"/>
        <w:gridCol w:w="119"/>
        <w:gridCol w:w="109"/>
        <w:gridCol w:w="109"/>
        <w:gridCol w:w="109"/>
        <w:gridCol w:w="232"/>
        <w:gridCol w:w="873"/>
        <w:gridCol w:w="186"/>
      </w:tblGrid>
      <w:tr>
        <w:trPr/>
        <w:tc>
          <w:tcPr>
            <w:tcW w:w="288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522,782 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Commitments and contingencies (</w:t>
            </w:r>
            <w:r>
              <w:rPr>
                <w:rFonts w:ascii="Times New Roman;serif" w:hAnsi="Times New Roman;serif"/>
                <w:b/>
                <w:i/>
                <w:color w:val="000000"/>
                <w:sz w:val="18"/>
              </w:rPr>
              <w:t>Note 8</w:t>
            </w:r>
            <w:r>
              <w:rPr>
                <w:rFonts w:ascii="Times New Roman;serif" w:hAnsi="Times New Roman;serif"/>
                <w:b/>
                <w:color w:val="000000"/>
                <w:sz w:val="18"/>
              </w:rPr>
              <w:t>)</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43,021,312 shares issued and outstanding at March 31, 2026 (unaudited); 42,553,931 shares issued and outstanding at December 31, 2025</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782,838 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581,135 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rPr/>
      </w:pPr>
      <w:r>
        <w:rPr/>
      </w:r>
    </w:p>
    <w:tbl>
      <w:tblPr>
        <w:tblW w:w="7868" w:type="dxa"/>
        <w:jc w:val="center"/>
        <w:tblInd w:w="0" w:type="dxa"/>
        <w:tblLayout w:type="fixed"/>
        <w:tblCellMar>
          <w:top w:w="28" w:type="dxa"/>
          <w:left w:w="28" w:type="dxa"/>
          <w:bottom w:w="28" w:type="dxa"/>
          <w:right w:w="28" w:type="dxa"/>
        </w:tblCellMar>
      </w:tblPr>
      <w:tblGrid>
        <w:gridCol w:w="1781"/>
        <w:gridCol w:w="1564"/>
        <w:gridCol w:w="1575"/>
        <w:gridCol w:w="202"/>
        <w:gridCol w:w="759"/>
        <w:gridCol w:w="109"/>
        <w:gridCol w:w="109"/>
        <w:gridCol w:w="109"/>
        <w:gridCol w:w="109"/>
        <w:gridCol w:w="219"/>
        <w:gridCol w:w="742"/>
        <w:gridCol w:w="109"/>
        <w:gridCol w:w="109"/>
        <w:gridCol w:w="109"/>
        <w:gridCol w:w="109"/>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42,956,973 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39,345,359 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885"/>
        <w:gridCol w:w="573"/>
        <w:gridCol w:w="575"/>
        <w:gridCol w:w="480"/>
        <w:gridCol w:w="481"/>
        <w:gridCol w:w="171"/>
        <w:gridCol w:w="109"/>
        <w:gridCol w:w="109"/>
        <w:gridCol w:w="109"/>
        <w:gridCol w:w="204"/>
        <w:gridCol w:w="252"/>
        <w:gridCol w:w="115"/>
        <w:gridCol w:w="109"/>
        <w:gridCol w:w="109"/>
        <w:gridCol w:w="109"/>
        <w:gridCol w:w="224"/>
        <w:gridCol w:w="843"/>
        <w:gridCol w:w="124"/>
        <w:gridCol w:w="109"/>
        <w:gridCol w:w="109"/>
        <w:gridCol w:w="109"/>
        <w:gridCol w:w="392"/>
        <w:gridCol w:w="872"/>
        <w:gridCol w:w="219"/>
        <w:gridCol w:w="109"/>
        <w:gridCol w:w="109"/>
        <w:gridCol w:w="109"/>
        <w:gridCol w:w="196"/>
        <w:gridCol w:w="764"/>
        <w:gridCol w:w="109"/>
        <w:gridCol w:w="109"/>
        <w:gridCol w:w="109"/>
        <w:gridCol w:w="109"/>
        <w:gridCol w:w="196"/>
        <w:gridCol w:w="736"/>
        <w:gridCol w:w="159"/>
      </w:tblGrid>
      <w:tr>
        <w:trPr/>
        <w:tc>
          <w:tcPr>
            <w:tcW w:w="88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42,553,931 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43,021,312 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782,838 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348,951 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84"/>
        <w:gridCol w:w="573"/>
        <w:gridCol w:w="575"/>
        <w:gridCol w:w="480"/>
        <w:gridCol w:w="481"/>
        <w:gridCol w:w="171"/>
        <w:gridCol w:w="109"/>
        <w:gridCol w:w="109"/>
        <w:gridCol w:w="109"/>
        <w:gridCol w:w="204"/>
        <w:gridCol w:w="252"/>
        <w:gridCol w:w="115"/>
        <w:gridCol w:w="109"/>
        <w:gridCol w:w="109"/>
        <w:gridCol w:w="109"/>
        <w:gridCol w:w="224"/>
        <w:gridCol w:w="843"/>
        <w:gridCol w:w="124"/>
        <w:gridCol w:w="109"/>
        <w:gridCol w:w="109"/>
        <w:gridCol w:w="109"/>
        <w:gridCol w:w="399"/>
        <w:gridCol w:w="860"/>
        <w:gridCol w:w="223"/>
        <w:gridCol w:w="109"/>
        <w:gridCol w:w="109"/>
        <w:gridCol w:w="109"/>
        <w:gridCol w:w="196"/>
        <w:gridCol w:w="764"/>
        <w:gridCol w:w="109"/>
        <w:gridCol w:w="109"/>
        <w:gridCol w:w="109"/>
        <w:gridCol w:w="109"/>
        <w:gridCol w:w="196"/>
        <w:gridCol w:w="736"/>
        <w:gridCol w:w="161"/>
      </w:tblGrid>
      <w:tr>
        <w:trPr/>
        <w:tc>
          <w:tcPr>
            <w:tcW w:w="88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38,349,826 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$9.0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3,230,336 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41,995,537 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727,697 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342,458 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548" w:type="dxa"/>
        <w:jc w:val="center"/>
        <w:tblInd w:w="0" w:type="dxa"/>
        <w:tblLayout w:type="fixed"/>
        <w:tblCellMar>
          <w:top w:w="28" w:type="dxa"/>
          <w:left w:w="28" w:type="dxa"/>
          <w:bottom w:w="28" w:type="dxa"/>
          <w:right w:w="28" w:type="dxa"/>
        </w:tblCellMar>
      </w:tblPr>
      <w:tblGrid>
        <w:gridCol w:w="2567"/>
        <w:gridCol w:w="2261"/>
        <w:gridCol w:w="2266"/>
        <w:gridCol w:w="196"/>
        <w:gridCol w:w="736"/>
        <w:gridCol w:w="109"/>
        <w:gridCol w:w="109"/>
        <w:gridCol w:w="109"/>
        <w:gridCol w:w="109"/>
        <w:gridCol w:w="196"/>
        <w:gridCol w:w="736"/>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amortization/accretion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paid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From Noncash, Investing and Financing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paid in 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in cash</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property and equipment included within accounts payable and other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included within accounts payable and other accrued liabilities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AND PRESENTATION OF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after receiving United States (“U.S.”) Food and Drug Administration (“FDA”) approval in July 2023.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filed an automatic shelf registration on Form S-3 ASR (the “2024 Shelf Registration Statement”). In March 2025, the Company completed an underwritten follow-on public offering under the 2024 Shelf Registration Statement, pursuant to which the Company sold 2,808,988 shares of its common stock at a public offering price of $44.50 per share (the “March 2025 Public Offering”). The Company also granted the underwriters a 30-day option to purchase up to 421,348 additional shares of its common stock at the public offering price of $44.50 per share, which the underwriters exercised in full in March 2025. The aggregate net proceeds received by the Company were $134.8 million, after deducting underwriting discounts, commissions, and other estimated offering-related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Sales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erif" w:hAnsi="Times New Roman;serif"/>
          <w:b w:val="false"/>
          <w:color w:val="000000"/>
          <w:sz w:val="13"/>
        </w:rPr>
        <w:t xml:space="preserve">TM </w:t>
      </w:r>
      <w:r>
        <w:rPr>
          <w:rFonts w:ascii="Times New Roman;serif" w:hAnsi="Times New Roman;serif"/>
          <w:b w:val="false"/>
          <w:color w:val="000000"/>
          <w:sz w:val="20"/>
        </w:rPr>
        <w:t>(the “2021 ATM Prospectus”). Under the terms of the 2023 ATM Prospectus, Jefferies will act as the Company’s sales agent and is entitled to compensation for its services equal to 3% of the gross proceeds of any shares of common stock sold.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there were no sales of the Company’s common stock pursuant to the 2023 ATM Prospectus.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ind w:left="0" w:right="0" w:firstLine="108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The Company has a limited operating history, has accumulated losses and negative cash flows from operations since inception, and, while it has successfully generated revenues from XDEMVY since its launch in August 2023, the revenue and income potential from the Company’s business and market are unproven. The Company has funded its inception-to-date operations through the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w:t>
      </w:r>
      <w:r>
        <w:rPr>
          <w:rFonts w:ascii="Times New Roman;serif" w:hAnsi="Times New Roman;serif"/>
          <w:b w:val="false"/>
          <w:color w:val="000000"/>
          <w:sz w:val="20"/>
          <w:shd w:fill="FFFFFF" w:val="clear"/>
        </w:rPr>
        <w:t>Pharmakon Advisors, LP</w:t>
      </w:r>
      <w:r>
        <w:rPr>
          <w:color w:val="000000"/>
        </w:rPr>
        <w:t xml:space="preserve"> </w:t>
      </w:r>
      <w:r>
        <w:rPr>
          <w:rFonts w:ascii="Times New Roman;serif" w:hAnsi="Times New Roman;serif"/>
          <w:b w:val="false"/>
          <w:color w:val="000000"/>
          <w:sz w:val="20"/>
        </w:rPr>
        <w:t>(“Pharmakon”) and the previous loan and security agreement with Hercules Capital, Inc. (“Hercules”) and Silicon Valley Bank, a division of First-Citizens Bank &amp; Trust Company (“SVB”) (collectively, the “Credit Facilities”). The Company estimates that its existing capital resources will be sufficient to meet projected operating expense requirements and other liquidity needs for at least 12 months from the issuance date of the accompanying Condensed Financial Statements that have been prepared on a going-concern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plans to fund its operations, capital funding and other liquidity needs using existing cash and investments and, to the extent available, cash generated from commercial operations. Management believes the Company could continue to incur operating losses in the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USE OF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Use of Estimates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accompanying Condensed Financial Statements have been prepared in accordance with generally accepted accounting principles (“GAAP”) in the U.S. for interim financial information pursuant to Form 10-Q and with the rules and regulations</w:t>
      </w:r>
      <w:r>
        <w:rPr>
          <w:color w:val="000000"/>
        </w:rPr>
        <w:t xml:space="preserve"> </w:t>
      </w:r>
      <w:r>
        <w:rPr>
          <w:rFonts w:ascii="Times New Roman;serif" w:hAnsi="Times New Roman;serif"/>
          <w:b w:val="false"/>
          <w:color w:val="000000"/>
          <w:sz w:val="20"/>
        </w:rPr>
        <w:t>of the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2025, as filed with the SEC on February 23,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interim Condensed Balance Sheet as of March 31, 2026, the Condensed Statements of Operations and Comprehensive Loss, and the Condensed Statements of Stockholders’ Equity for the three months ended March 31, 2026 and 2025, and the Condensed Statements of Cash Flows for the three months ended March 31, 2026 and 2025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 Certain prior year amounts have been reclassified to conform to the current year presentation on the Condensed Statements of Cash Flows to separately present accounts payable and 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related to the three month periods are also unaudited. The Condensed Balance Sheet as of December 31, 2025 has been derived from the audited financial statements at that date but does not include all information and footnotes required by GAAP for annual financial statements. The condensed interim operating results for three months ended March 31, 2026 are not necessarily indicative of results to be expected for the year ending December 31, 2026 or any other interim or annual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and with the rules and regulations of the SEC requires management to make informed estimates and assumptions that affect the amounts reported in these accompanying Condensed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basis, management evaluates its estimates, including those related to the recognition of revenue, clinical trial accruals, contract manufacturing accruals, expected demand for inventory, fair value of assets and liabilities, income taxes, and stock-based compensation. Management bases its estimates on historical experience and various other market-specific and relevant assumptions that management believes to be reasonable under the circumstances. Actual results could differ materially from those estimates and assumptions used in the preparation of the accompanying Condensed Financial Statements under different assumptions and conditions.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Condensed Financial Statements as of and for the three months ended March 31, 2026, reflect the Company’s estimates of the impact of the macroeconomic and geopolitical environment, including the impact of inflation,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accounting policies and estimates that most significantly impact the presented amounts within these accompanying Condensed Financial Statements are further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Restricted cash relates to collateral for a letter of credit related to the Company’s new office space lease that was executed in December 2024 (see </w:t>
      </w:r>
      <w:r>
        <w:rPr>
          <w:rFonts w:ascii="Times New Roman;serif" w:hAnsi="Times New Roman;serif"/>
          <w:b w:val="false"/>
          <w:i/>
          <w:color w:val="000000"/>
          <w:sz w:val="20"/>
        </w:rPr>
        <w:t>Note 8</w:t>
      </w:r>
      <w:r>
        <w:rPr>
          <w:rFonts w:ascii="Times New Roman;serif" w:hAnsi="Times New Roman;serif"/>
          <w:b w:val="false"/>
          <w:color w:val="000000"/>
          <w:sz w:val="20"/>
        </w:rPr>
        <w:t>). Restricted cash that will be held for less than one year is reported in current assets and amounts that will be held for longer than one year are reported in non-current assets on the accompanying Condensed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erif" w:hAnsi="Times New Roman;serif"/>
          <w:b w:val="false"/>
          <w:i/>
          <w:color w:val="000000"/>
          <w:sz w:val="20"/>
        </w:rPr>
        <w:t>Note 3</w:t>
      </w:r>
      <w:r>
        <w:rPr>
          <w:rFonts w:ascii="Times New Roman;serif" w:hAnsi="Times New Roman;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Condensed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Marketable securities are recorded at fair value with unrealized gains and losses reported as a component of accumulated other comprehensive income (loss) within the accompanying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in the accompanying Condensed Statements of Operations and Comprehensive Loss. The Company evaluates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holds a preferred stock investment in a privately-held eye care company that does not meet the criteria for in-substance common stock. Accordingly, the investment is classified within long-term investments in the accompanying Condensed Balance Sheets based on the Company’s intent to hold the securities for more than one year. The preferred stock investment is measured under the Accounting Standards Codification 321, Investments— Equity Securities, measurement alternative and is carried at cost, plus or minus changes resulting from observable price changes in orderly transactions for identical or similar equity financings. The Company evaluates this investment for such observable price changes at each reporting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purchased additional preferred stock of the same investee in a subsequent fundraising round that was executed at the same price and pursuant to the same terms as the Company’s initial investment under the Amended Preferred Stock Purchase Agreement. This transaction represented an orderly transaction for similar securities. Based on this subsequent financing, the Company concluded that there was no change in the observable price of the preferred stock investment.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at each reporting period, the Company assesses the investment for possible impairment indicators. If the fair value of the preferred stock investment is determined to be less than its carrying value, the Company will recognize an impairment loss through other income (expense) in the Statements of Operations and Comprehensive Loss. During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months ended March 31, 2026 and 2025, there were no identified impairment indicators that resulted in a change to the fair value of the preferred stock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three months ended March 31,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Inventories include the costs of material, third-party manufacturing costs, packaging services, and freight-in. Cost is determined on a first-in, first-out basis. Inventory is measured at the lower-of-cost and net realizable value, based on a number of factors including, but not limited to, damage, expiration, or changes in price level.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The Company evaluates inventory levels that would be sold within one year. The portion of inventory that is not expected to be sold or used within one year is classified as inventory, non-current in the accompanying Condensed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Quoted prices (unadjusted) in active markets for identical assets or liabilities that are publicly accessible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amounts for financial instruments consisting of cash, cash equivalents, accounts receivable, net, accounts payable and accrued liabilities approximate fair value due to the short maturities for each. As the long-term debt is subject to variable interest rates that are based on market rates which regularly reset, the Company believes that the carrying value of the long-term debt approximates its fair value.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Construction-in-progress represents capitalized costs of assets being constructed and is not depreciated until the asset is ready for its intended use, at which point it is reclassified to the appropriate asset category and depreciation commences.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and evaluates each lease agreement to determine whether the lease is an operating or finance lease. Right-of-use assets (“ROU assets”) represent the Company’s right to control an underlying asset for the lease term and lease liabilities represent the Company’s obligation to make lease payments arising from the lease. ROU assets and liabilities are recognized at the lease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variable lease costs, consisting primarily of real estate taxes, insurance costs, and common area maintenance, are expensed as incurred and excluded from the reported ROU assets and lease liabilities amounts presented in the accompanying Condensed Balance Sheets. The current and non-current portion of the operating lease liability are included in other accrued liabilities and other long-term liabilities, respectively, in the accompanying Condensed Balance Sheets. Rent expense is allocated to research and development and general and administrative expenses in the accompanying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Risk </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Customers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agreements with certain limited specialty pharmacies and specialty distributors for the sale of XDEMVY in the U.S. For the three months ended March 31, 2026 and 2025, the Company’s two largest customers each exceeded 10% of total gross product sales. These customers on a combined basis accounted for 79.0% and 72.3% of total gross product sales for the respective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Company’s two and three largest customers, respectively, each exceeded 10% of gross accounts receivable. These customers on a combined basis accounted for 75.8% and 79.9% of the accounts receivable balance for the respective periods. The Company believes that the concentration of credit risk in its accounts receivable is mitigated by its credit evaluation process, relatively short collection terms, and the level of credit worthiness of its customers.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Suppliers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does not currently own manufacturing facilities and depends on outsourced manufacturing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 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product sales, net, when a customer obtains control of the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sells XDEMVY to customers in the U.S., which became available for commercial sale during the third quarter of 2023. These customers include a limited number of specialty pharmacies and distributors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sales price, or the transaction price, which may include fixed or variable consideration for (i) invoice discounts for prompt payment and distribution service fees, (ii) commercial and government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discount rates,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During the three months ended March 31, 2026 and 2025, the Company did not recognize any revenue related to material changes in product sales, net related to amounts included in accrued liabilities at the beginning of the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categorizes product sales deduction estimates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Distribution Service Fees:</w:t>
      </w:r>
      <w:r>
        <w:rPr>
          <w:color w:val="000000"/>
        </w:rPr>
        <w:t xml:space="preserve"> </w:t>
      </w:r>
      <w:r>
        <w:rPr>
          <w:rFonts w:ascii="Times New Roman;serif" w:hAnsi="Times New Roman;serif"/>
          <w:b w:val="false"/>
          <w:color w:val="000000"/>
          <w:sz w:val="20"/>
        </w:rPr>
        <w:t>The Company engages with wholesalers and specialty pharmacies to distribute its products to end customers. The Company pays the wholesalers and certain specialty pharmacies a fee for services such as: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Prompt Pay Discounts: </w:t>
      </w:r>
      <w:r>
        <w:rPr>
          <w:rFonts w:ascii="Times New Roman;serif" w:hAnsi="Times New Roman;serif"/>
          <w:b w:val="false"/>
          <w:color w:val="000000"/>
          <w:sz w:val="20"/>
        </w:rPr>
        <w:t>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Product Returns:</w:t>
      </w:r>
      <w:r>
        <w:rPr>
          <w:color w:val="000000"/>
        </w:rPr>
        <w:t xml:space="preserve"> </w:t>
      </w:r>
      <w:r>
        <w:rPr>
          <w:rFonts w:ascii="Times New Roman;serif" w:hAnsi="Times New Roman;serif"/>
          <w:b w:val="false"/>
          <w:color w:val="000000"/>
          <w:sz w:val="20"/>
        </w:rPr>
        <w:t>The Company’s customers are contractually permitted to return product within the contractual allowable time, both before and after the applicable expiration date. In the initial sales period, the Company estimates its provision for returns based on the Company’s historical experience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the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Co-payment Assistance:</w:t>
      </w:r>
      <w:r>
        <w:rPr>
          <w:color w:val="000000"/>
        </w:rPr>
        <w:t xml:space="preserve"> </w:t>
      </w:r>
      <w:r>
        <w:rPr>
          <w:rFonts w:ascii="Times New Roman;serif" w:hAnsi="Times New Roman;serif"/>
          <w:b w:val="false"/>
          <w:color w:val="000000"/>
          <w:sz w:val="20"/>
        </w:rPr>
        <w:t xml:space="preserve">Patients who meet certain eligibility requirements may receive co-payment assistance funded by the Company. The Company records contra-revenue for co-payment assistance based on actual program participation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Rebates:</w:t>
      </w:r>
      <w:r>
        <w:rPr>
          <w:color w:val="000000"/>
        </w:rPr>
        <w:t xml:space="preserve"> </w:t>
      </w:r>
      <w:r>
        <w:rPr>
          <w:rFonts w:ascii="Times New Roman;serif" w:hAnsi="Times New Roman;serif"/>
          <w:b w:val="false"/>
          <w:color w:val="000000"/>
          <w:sz w:val="20"/>
        </w:rPr>
        <w:t>The Company accrues rebates for contractually agreed-upon discounts with commercial payers and mandated discounts under government programs such as the Medicaid Drug Rebate Program, Medicare Part D Prescription Drug Program, and other government health care programs in the U.S. The Company’s estimates for expected utilization of commercial payer rebates are based on data received from its customers. The estimates for rebates under government programs are based on statutory discount rates and expected utilization as well as historical data the Company has accumulated since product launch. The Company calculates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(ii) License Fees and Collaboration Revenue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China Out-License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License fees and collaboration revenue in the accompanying Condensed Statements of Operations and Comprehensive Loss have historically been related to the China Out-License that allows the third-party licensee to market the Company’s TP-03 product candidate (representing functional intellectual property) in the People’s Republic of China, Hong Kong, Macau, and Taiwan (the “China Territory”) — see </w:t>
      </w:r>
      <w:r>
        <w:rPr>
          <w:rFonts w:ascii="Times New Roman;serif" w:hAnsi="Times New Roman;serif"/>
          <w:b w:val="false"/>
          <w:i/>
          <w:color w:val="000000"/>
          <w:sz w:val="20"/>
        </w:rPr>
        <w:t>Note 9</w:t>
      </w:r>
      <w:r>
        <w:rPr>
          <w:rFonts w:ascii="Times New Roman;serif" w:hAnsi="Times New Roman;serif"/>
          <w:b w:val="false"/>
          <w:color w:val="000000"/>
          <w:sz w:val="20"/>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China Out-License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Contractual Terms for Receipt of Payments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Upfront License Fees:</w:t>
      </w:r>
      <w:r>
        <w:rPr>
          <w:color w:val="000000"/>
        </w:rPr>
        <w:t xml:space="preserve"> </w:t>
      </w:r>
      <w:r>
        <w:rPr>
          <w:rFonts w:ascii="Times New Roman;serif" w:hAnsi="Times New Roman;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Development Milestones:</w:t>
      </w:r>
      <w:r>
        <w:rPr>
          <w:color w:val="000000"/>
        </w:rPr>
        <w:t xml:space="preserve"> </w:t>
      </w:r>
      <w:r>
        <w:rPr>
          <w:rFonts w:ascii="Times New Roman;serif" w:hAnsi="Times New Roman;serif"/>
          <w:b w:val="false"/>
          <w:color w:val="000000"/>
          <w:sz w:val="20"/>
        </w:rPr>
        <w:t>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Regulatory Milestones:</w:t>
      </w:r>
      <w:r>
        <w:rPr>
          <w:color w:val="000000"/>
        </w:rPr>
        <w:t xml:space="preserve"> </w:t>
      </w:r>
      <w:r>
        <w:rPr>
          <w:rFonts w:ascii="Times New Roman;serif" w:hAnsi="Times New Roman;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Royalties:</w:t>
      </w:r>
      <w:r>
        <w:rPr>
          <w:color w:val="000000"/>
        </w:rPr>
        <w:t xml:space="preserve"> </w:t>
      </w:r>
      <w:r>
        <w:rPr>
          <w:rFonts w:ascii="Times New Roman;serif" w:hAnsi="Times New Roman;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Sales Threshold Milestones:</w:t>
      </w:r>
      <w:r>
        <w:rPr>
          <w:color w:val="000000"/>
        </w:rPr>
        <w:t xml:space="preserve"> </w:t>
      </w:r>
      <w:r>
        <w:rPr>
          <w:rFonts w:ascii="Times New Roman;serif" w:hAnsi="Times New Roman;serif"/>
          <w:b w:val="false"/>
          <w:color w:val="000000"/>
          <w:sz w:val="20"/>
        </w:rPr>
        <w:t>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re-evaluates the measure of progress to each performance obligation in each reporting period as uncertain events are resolved and other changes in circumstances occur.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Cost of sales consists of direct and indirect costs related to the manufacturing and distribution of XDEMVY, including raw materials, third-party manufacturing costs, packaging services, freight-in, third-party royalties payable on the Company’s product sales, net and amortization of capitalized intangible assets associated with XDEMVY. Cost of sales also includes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including direct-to-consumer (“DTC”) advertising costs, to support the Company’s commercial launch that started in August 2023, consulting fees, legal services, rent and other facilities costs, patient support functions, the U.S. healthcare reform federal excise fee on Branded Prescription Pharmaceutical Manufacturers and Importers, and other general operating expenses not otherwise classified as research and development expenses. Advertising costs are expensed as incurred.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personnel-related costs (including stock-based compensation expense), license fees, materials, clinical trial site insurance,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Stock awards granted typically have one to four-year service conditions and a contractual term of 10 years. Any performance conditions for vesting are explicitly stated in each award agreement and are associated with clinical,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will recognize compensation expense when performance conditions are achieved or when the Company determines it is probable the performance conditions will be achieved by the end of the requisite service period. Compensation expense will be recognized on a cumulative catch-up basis in the period of achievement, and on a straight-line basis thereafter until the end of the requisite service period. The expense recognized for awards is based on the grant date fair value of a unit multiplied by the number of units expected to be earned with respect to the related performance conditions. Depending on the outcome of these performance goals, a recipient may ultimately earn a number of units greater or less than the number of units expected to be earned. Shares of the Company’s common stock are issued on a one-for-one basis for each performance unit earned. In general, performance unit awards vest at the end of the performance period.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(i) the expected term of the stock option until its exercise by the recipient, (ii) stock price volatility over the expected term, (iii) the prevailing risk-free interest rate over the expected term, and (iv) expected dividend payments over the expected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Fair Value of Common Stock</w:t>
      </w:r>
      <w:r>
        <w:rPr>
          <w:color w:val="000000"/>
        </w:rPr>
        <w:t xml:space="preserve"> — </w:t>
      </w:r>
      <w:r>
        <w:rPr>
          <w:rFonts w:ascii="Times New Roman;serif" w:hAnsi="Times New Roman;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Expected Term</w:t>
      </w:r>
      <w:r>
        <w:rPr>
          <w:color w:val="000000"/>
        </w:rPr>
        <w:t xml:space="preserve"> — </w:t>
      </w:r>
      <w:r>
        <w:rPr>
          <w:rFonts w:ascii="Times New Roman;serif" w:hAnsi="Times New Roman;serif"/>
          <w:b w:val="false"/>
          <w:color w:val="000000"/>
          <w:sz w:val="20"/>
        </w:rPr>
        <w:t>The Company’s expected term represents the period that the Company’s stock option awards are expected to be outstanding. Management estimates the expected term of awarded stock options utilizing the simplified method to determine the expected term since the Company does not have sufficient exercise history. The simplified method results in an expected term of 6.25 years based on the mid-point between the vesting date and the end of the contractual term.</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Expected Volatility</w:t>
      </w:r>
      <w:r>
        <w:rPr>
          <w:color w:val="000000"/>
        </w:rPr>
        <w:t xml:space="preserve"> — </w:t>
      </w:r>
      <w:r>
        <w:rPr>
          <w:rFonts w:ascii="Times New Roman;serif" w:hAnsi="Times New Roman;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Dividend Yield</w:t>
      </w:r>
      <w:r>
        <w:rPr>
          <w:color w:val="000000"/>
        </w:rPr>
        <w:t xml:space="preserve"> — </w:t>
      </w:r>
      <w:r>
        <w:rPr>
          <w:rFonts w:ascii="Times New Roman;serif" w:hAnsi="Times New Roman;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and penalties related to unrecognized tax benefits, if any, are recorded as a component of income tax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Comprehensive loss represents (i) net loss for the periods presented, and (ii) unrealized gains or losses on debt securities included in the Company’s reported marketable securities and cash equivalents.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Recently issued or effective accounting pronouncements that impact, or may have an impact, on the Company’s financial statements are discussed below. Outside of the pronouncements below, other recent accounting pronouncements not disclosed in these Condensed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the Financial Accounting Standards Board (“FASB”) issued ASU No. 2023-09, </w:t>
      </w:r>
      <w:r>
        <w:rPr>
          <w:rFonts w:ascii="Times New Roman;serif" w:hAnsi="Times New Roman;serif"/>
          <w:b w:val="false"/>
          <w:i/>
          <w:color w:val="000000"/>
          <w:sz w:val="20"/>
        </w:rPr>
        <w:t>Income Taxes (Topic 740): Improvements to Income Tax Disclosure</w:t>
      </w:r>
      <w:r>
        <w:rPr>
          <w:color w:val="000000"/>
        </w:rPr>
        <w:t xml:space="preserve"> </w:t>
      </w:r>
      <w:r>
        <w:rPr>
          <w:rFonts w:ascii="Times New Roman;serif" w:hAnsi="Times New Roman;serif"/>
          <w:b w:val="false"/>
          <w:color w:val="000000"/>
          <w:sz w:val="20"/>
        </w:rPr>
        <w:t xml:space="preserve">(“ASU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is effective for the Company beginning with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 for the year ending in 2025. The Company adopted ASU 2023-09 for the year ended December 31, 2025, which expanded its income tax footnote disclosures, including a more detailed effective tax rate reconciliation.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Reporting-Comprehensive Income-Expense Disaggregation Disclosures (Subtopic 220-40), Disaggregation of Income Statement Expenses </w:t>
      </w:r>
      <w:r>
        <w:rPr>
          <w:rFonts w:ascii="Times New Roman;serif" w:hAnsi="Times New Roman;serif"/>
          <w:b w:val="false"/>
          <w:color w:val="000000"/>
          <w:sz w:val="20"/>
        </w:rPr>
        <w:t>(“ASU 2024-03”). ASU 2024-03 improves the disclosures about a public business entity’s expenses by requiring more detailed information about the types of expenses (including purchases of inventory, employee compensation, depreciation and amortization) included within income statement expense captions. The standard is effective for the Company beginning with its Annual Report on Form 10-K for the year ending 2027. Early adoption is permitted. ASU 2024-03 should be applied prospectively. Retrospective adoption is permitted. The Company is currently assessing the impact this standard will have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subject to fair value measurements on a recurring basis and the level of inputs used in such measurements by major security type are presented in the following table:</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Money Market Funds and U.S. Treasury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investments by major security type are presented in the following table:</w:t>
      </w:r>
    </w:p>
    <w:tbl>
      <w:tblPr>
        <w:tblW w:w="9002"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286,838 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286,540 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bl>
      <w:tblPr>
        <w:tblW w:w="9003"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119,403 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233,247 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 majority of the Company’s debt securities had a maturity of 12 months or less. As of March 31, 2026, twenty-nine debt securities had a contractual maturity between one and two years, with an estimated fair market value of $71.3 million and amortized cost of $71.5 million. As of December 31, 2025, twenty debt securities had a contractual maturity between one and two years, with an estimated fair market value of $46.9 million and amortized cost of $46.8 million.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seventy and seven debt securities, respectively, in a continuous gross unrealized loss position for less than one year. As of March 31, 2026 and December 31, 2025, unrealized credit losses on these securities were not material. Further, the Company does not intend to sell these investments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BALANCE SHEET ACCOUNT DETAIL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composition of selected captions within the accompanying Condensed Balance Sheets are summarized below:</w:t>
      </w:r>
    </w:p>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w:t>
      </w:r>
    </w:p>
    <w:tbl>
      <w:tblPr>
        <w:tblW w:w="4856" w:type="dxa"/>
        <w:jc w:val="left"/>
        <w:tblInd w:w="0" w:type="dxa"/>
        <w:tblLayout w:type="fixed"/>
        <w:tblCellMar>
          <w:top w:w="28" w:type="dxa"/>
          <w:left w:w="28" w:type="dxa"/>
          <w:bottom w:w="28" w:type="dxa"/>
          <w:right w:w="28" w:type="dxa"/>
        </w:tblCellMar>
      </w:tblPr>
      <w:tblGrid>
        <w:gridCol w:w="624"/>
        <w:gridCol w:w="549"/>
        <w:gridCol w:w="552"/>
        <w:gridCol w:w="287"/>
        <w:gridCol w:w="814"/>
        <w:gridCol w:w="159"/>
        <w:gridCol w:w="109"/>
        <w:gridCol w:w="109"/>
        <w:gridCol w:w="109"/>
        <w:gridCol w:w="334"/>
        <w:gridCol w:w="948"/>
        <w:gridCol w:w="262"/>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progress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7600" w:type="dxa"/>
        <w:jc w:val="center"/>
        <w:tblInd w:w="0" w:type="dxa"/>
        <w:tblLayout w:type="fixed"/>
        <w:tblCellMar>
          <w:top w:w="28" w:type="dxa"/>
          <w:left w:w="28" w:type="dxa"/>
          <w:bottom w:w="28" w:type="dxa"/>
          <w:right w:w="28" w:type="dxa"/>
        </w:tblCellMar>
      </w:tblPr>
      <w:tblGrid>
        <w:gridCol w:w="1219"/>
        <w:gridCol w:w="1070"/>
        <w:gridCol w:w="1078"/>
        <w:gridCol w:w="350"/>
        <w:gridCol w:w="1158"/>
        <w:gridCol w:w="194"/>
        <w:gridCol w:w="147"/>
        <w:gridCol w:w="147"/>
        <w:gridCol w:w="147"/>
        <w:gridCol w:w="411"/>
        <w:gridCol w:w="1356"/>
        <w:gridCol w:w="323"/>
      </w:tblGrid>
      <w:tr>
        <w:trPr/>
        <w:tc>
          <w:tcPr>
            <w:tcW w:w="121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equipment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Leasehold improvements</w:t>
            </w:r>
            <w:r>
              <w:rPr>
                <w:rFonts w:ascii="Times New Roman;serif" w:hAnsi="Times New Roman;serif"/>
                <w:b w:val="false"/>
                <w:color w:val="000000"/>
                <w:sz w:val="12"/>
              </w:rPr>
              <w:t>(1)</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13,763 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17,672 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This balance represents construction in progress for which no depreciation expense has been recognized.</w:t>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March 31, 2026 and 2025 was $0.2 million and $0.2 million, respectively. There were no impairments recognized during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of the following:</w:t>
      </w:r>
    </w:p>
    <w:tbl>
      <w:tblPr>
        <w:tblW w:w="5636" w:type="dxa"/>
        <w:jc w:val="left"/>
        <w:tblInd w:w="0" w:type="dxa"/>
        <w:tblLayout w:type="fixed"/>
        <w:tblCellMar>
          <w:top w:w="28" w:type="dxa"/>
          <w:left w:w="28" w:type="dxa"/>
          <w:bottom w:w="28" w:type="dxa"/>
          <w:right w:w="28" w:type="dxa"/>
        </w:tblCellMar>
      </w:tblPr>
      <w:tblGrid>
        <w:gridCol w:w="907"/>
        <w:gridCol w:w="797"/>
        <w:gridCol w:w="801"/>
        <w:gridCol w:w="287"/>
        <w:gridCol w:w="814"/>
        <w:gridCol w:w="159"/>
        <w:gridCol w:w="109"/>
        <w:gridCol w:w="109"/>
        <w:gridCol w:w="109"/>
        <w:gridCol w:w="334"/>
        <w:gridCol w:w="948"/>
        <w:gridCol w:w="262"/>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gross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Intangible assets are amortized to cost of sales over the remaining useful life of 7.4 years as of March 31, 2026, with an initial useful life of 10 years from the date of first commercial sale (see </w:t>
      </w:r>
      <w:r>
        <w:rPr>
          <w:rFonts w:ascii="Times New Roman;serif" w:hAnsi="Times New Roman;serif"/>
          <w:b w:val="false"/>
          <w:i/>
          <w:color w:val="000000"/>
          <w:sz w:val="20"/>
        </w:rPr>
        <w:t>Note 8</w:t>
      </w:r>
      <w:r>
        <w:rPr>
          <w:rFonts w:ascii="Times New Roman;serif" w:hAnsi="Times New Roman;serif"/>
          <w:b w:val="false"/>
          <w:color w:val="000000"/>
          <w:sz w:val="20"/>
        </w:rPr>
        <w:t>). Amortization expense for the three months ended March 31, 2026 and 2025 was $0.2 million and $0.2 million, respectively. There have been no impairments of intangible assets for the three months ended March 31, 2026 and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the expected future amortization expense for the Company's intangible assets is as follows:</w:t>
      </w:r>
    </w:p>
    <w:tbl>
      <w:tblPr>
        <w:tblW w:w="3497"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196"/>
        <w:gridCol w:w="55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accrued liabilities consists of the following:</w:t>
      </w:r>
    </w:p>
    <w:tbl>
      <w:tblPr>
        <w:tblW w:w="5636" w:type="dxa"/>
        <w:jc w:val="center"/>
        <w:tblInd w:w="0" w:type="dxa"/>
        <w:tblLayout w:type="fixed"/>
        <w:tblCellMar>
          <w:top w:w="28" w:type="dxa"/>
          <w:left w:w="28" w:type="dxa"/>
          <w:bottom w:w="28" w:type="dxa"/>
          <w:right w:w="28" w:type="dxa"/>
        </w:tblCellMar>
      </w:tblPr>
      <w:tblGrid>
        <w:gridCol w:w="907"/>
        <w:gridCol w:w="797"/>
        <w:gridCol w:w="800"/>
        <w:gridCol w:w="237"/>
        <w:gridCol w:w="891"/>
        <w:gridCol w:w="132"/>
        <w:gridCol w:w="109"/>
        <w:gridCol w:w="109"/>
        <w:gridCol w:w="109"/>
        <w:gridCol w:w="279"/>
        <w:gridCol w:w="1047"/>
        <w:gridCol w:w="219"/>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sales deductions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68,439 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royalty payable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 current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43,021,312 and 42,553,931 shares of common stock issued and outstanding, respectively, which excludes 312,500 of pre-funded warrants that remained exercisable at both period ends and are reserved for future issuance. Common stockholders have one vote for each share of common stock held and are entitled to receive dividends declared by the Company’s Board of Directors when legally available for distribution, then-subject to the dividend rights of the holders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total shares reserved for future issuance under its 2020 and 2016 Equity Incentive Plans and 2020 Employee Stock Purchase Plan (“ESPP”) are summarized below:</w:t>
      </w:r>
    </w:p>
    <w:tbl>
      <w:tblPr>
        <w:tblW w:w="9914" w:type="dxa"/>
        <w:jc w:val="center"/>
        <w:tblInd w:w="0" w:type="dxa"/>
        <w:tblLayout w:type="fixed"/>
        <w:tblCellMar>
          <w:top w:w="28" w:type="dxa"/>
          <w:left w:w="28" w:type="dxa"/>
          <w:bottom w:w="28" w:type="dxa"/>
          <w:right w:w="28" w:type="dxa"/>
        </w:tblCellMar>
      </w:tblPr>
      <w:tblGrid>
        <w:gridCol w:w="2392"/>
        <w:gridCol w:w="2097"/>
        <w:gridCol w:w="2111"/>
        <w:gridCol w:w="546"/>
        <w:gridCol w:w="419"/>
        <w:gridCol w:w="421"/>
        <w:gridCol w:w="109"/>
        <w:gridCol w:w="109"/>
        <w:gridCol w:w="109"/>
        <w:gridCol w:w="498"/>
        <w:gridCol w:w="463"/>
        <w:gridCol w:w="640"/>
      </w:tblGrid>
      <w:tr>
        <w:trPr/>
        <w:tc>
          <w:tcPr>
            <w:tcW w:w="239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warrants to purchase common stock</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plans: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and 2016 Plans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7,942,416 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7,044,164 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ESPP</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3,222,148 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2,796,609 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 (unvested and vested) under the 2020 and 2016 Plans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5,631,438 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 and outstanding (unvested) under the 2020 Plan</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1,696,008 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 issued and outstanding (unvested) under the 2020 Plan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721,325 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common stock reserved</w:t>
            </w:r>
          </w:p>
        </w:tc>
        <w:tc>
          <w:tcPr>
            <w:tcW w:w="9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19,525,835 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17,865,520 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restricted stock units, performance stock units, and the ESPP was recognized in the accompanying Condensed Statements of Operations and Comprehensive Loss as follows:</w:t>
      </w:r>
    </w:p>
    <w:tbl>
      <w:tblPr>
        <w:tblW w:w="5429" w:type="dxa"/>
        <w:jc w:val="center"/>
        <w:tblInd w:w="0" w:type="dxa"/>
        <w:tblLayout w:type="fixed"/>
        <w:tblCellMar>
          <w:top w:w="28" w:type="dxa"/>
          <w:left w:w="28" w:type="dxa"/>
          <w:bottom w:w="28" w:type="dxa"/>
          <w:right w:w="28" w:type="dxa"/>
        </w:tblCellMar>
      </w:tblPr>
      <w:tblGrid>
        <w:gridCol w:w="918"/>
        <w:gridCol w:w="810"/>
        <w:gridCol w:w="821"/>
        <w:gridCol w:w="220"/>
        <w:gridCol w:w="725"/>
        <w:gridCol w:w="122"/>
        <w:gridCol w:w="122"/>
        <w:gridCol w:w="122"/>
        <w:gridCol w:w="122"/>
        <w:gridCol w:w="220"/>
        <w:gridCol w:w="624"/>
        <w:gridCol w:w="122"/>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of granted stock options was estimated as of the date of grant using the Black-Scholes option-pricing model, based on the following inputs:</w:t>
      </w:r>
    </w:p>
    <w:tbl>
      <w:tblPr>
        <w:tblW w:w="6910" w:type="dxa"/>
        <w:jc w:val="left"/>
        <w:tblInd w:w="0" w:type="dxa"/>
        <w:tblLayout w:type="fixed"/>
        <w:tblCellMar>
          <w:top w:w="28" w:type="dxa"/>
          <w:left w:w="28" w:type="dxa"/>
          <w:bottom w:w="28" w:type="dxa"/>
          <w:right w:w="28" w:type="dxa"/>
        </w:tblCellMar>
      </w:tblPr>
      <w:tblGrid>
        <w:gridCol w:w="1462"/>
        <w:gridCol w:w="1283"/>
        <w:gridCol w:w="1289"/>
        <w:gridCol w:w="200"/>
        <w:gridCol w:w="569"/>
        <w:gridCol w:w="262"/>
        <w:gridCol w:w="111"/>
        <w:gridCol w:w="111"/>
        <w:gridCol w:w="111"/>
        <w:gridCol w:w="200"/>
        <w:gridCol w:w="569"/>
        <w:gridCol w:w="262"/>
        <w:gridCol w:w="109"/>
        <w:gridCol w:w="109"/>
        <w:gridCol w:w="109"/>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risk-free interest rate</w:t>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volatility</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64.79 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grant-date fair value per stock option</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option activity for the period presented is as follows:</w:t>
      </w:r>
    </w:p>
    <w:tbl>
      <w:tblPr>
        <w:tblW w:w="8208" w:type="dxa"/>
        <w:jc w:val="left"/>
        <w:tblInd w:w="0" w:type="dxa"/>
        <w:tblLayout w:type="fixed"/>
        <w:tblCellMar>
          <w:top w:w="28" w:type="dxa"/>
          <w:left w:w="28" w:type="dxa"/>
          <w:bottom w:w="28" w:type="dxa"/>
          <w:right w:w="28" w:type="dxa"/>
        </w:tblCellMar>
      </w:tblPr>
      <w:tblGrid>
        <w:gridCol w:w="961"/>
        <w:gridCol w:w="844"/>
        <w:gridCol w:w="849"/>
        <w:gridCol w:w="435"/>
        <w:gridCol w:w="436"/>
        <w:gridCol w:w="296"/>
        <w:gridCol w:w="109"/>
        <w:gridCol w:w="109"/>
        <w:gridCol w:w="109"/>
        <w:gridCol w:w="399"/>
        <w:gridCol w:w="399"/>
        <w:gridCol w:w="401"/>
        <w:gridCol w:w="109"/>
        <w:gridCol w:w="109"/>
        <w:gridCol w:w="109"/>
        <w:gridCol w:w="359"/>
        <w:gridCol w:w="359"/>
        <w:gridCol w:w="361"/>
        <w:gridCol w:w="109"/>
        <w:gridCol w:w="109"/>
        <w:gridCol w:w="109"/>
        <w:gridCol w:w="368"/>
        <w:gridCol w:w="368"/>
        <w:gridCol w:w="392"/>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 ($)</w:t>
            </w:r>
            <w:r>
              <w:rPr>
                <w:rFonts w:ascii="Times New Roman;serif" w:hAnsi="Times New Roman;serif"/>
                <w:b/>
                <w:color w:val="000000"/>
                <w:sz w:val="10"/>
              </w:rPr>
              <w:t>(1)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312,647 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463,060 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March 31,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5,631,438 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248,777 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March 31, 2026</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4,096,233 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211,213 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March 31, 2026</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1,535,205 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options and the fair value of the Company’s common stock as of March 31,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approximately $44.6 million of unrecognized compensation expense related to unvested stock options, which the Company expects to recognize over a weighted average period of 2.8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for the period presented is as follows:</w:t>
      </w:r>
    </w:p>
    <w:tbl>
      <w:tblPr>
        <w:tblW w:w="5664" w:type="dxa"/>
        <w:jc w:val="left"/>
        <w:tblInd w:w="0" w:type="dxa"/>
        <w:tblLayout w:type="fixed"/>
        <w:tblCellMar>
          <w:top w:w="28" w:type="dxa"/>
          <w:left w:w="28" w:type="dxa"/>
          <w:bottom w:w="28" w:type="dxa"/>
          <w:right w:w="28" w:type="dxa"/>
        </w:tblCellMar>
      </w:tblPr>
      <w:tblGrid>
        <w:gridCol w:w="961"/>
        <w:gridCol w:w="844"/>
        <w:gridCol w:w="849"/>
        <w:gridCol w:w="435"/>
        <w:gridCol w:w="436"/>
        <w:gridCol w:w="296"/>
        <w:gridCol w:w="109"/>
        <w:gridCol w:w="109"/>
        <w:gridCol w:w="109"/>
        <w:gridCol w:w="444"/>
        <w:gridCol w:w="444"/>
        <w:gridCol w:w="628"/>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Grant Date </w:t>
              <w:br/>
              <w:t>Fair Value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387,890 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76.02 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(421,987)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March 31,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1,696,008 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approximately $66.8 million of unrecognized compensation expense related to unvested restricted stock units, which the Company expects to recognize over a weighted average period of 3.1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Performance stock unit activity for the period presented is as follows:</w:t>
      </w:r>
    </w:p>
    <w:tbl>
      <w:tblPr>
        <w:tblW w:w="5529" w:type="dxa"/>
        <w:jc w:val="left"/>
        <w:tblInd w:w="0" w:type="dxa"/>
        <w:tblLayout w:type="fixed"/>
        <w:tblCellMar>
          <w:top w:w="28" w:type="dxa"/>
          <w:left w:w="28" w:type="dxa"/>
          <w:bottom w:w="28" w:type="dxa"/>
          <w:right w:w="28" w:type="dxa"/>
        </w:tblCellMar>
      </w:tblPr>
      <w:tblGrid>
        <w:gridCol w:w="961"/>
        <w:gridCol w:w="844"/>
        <w:gridCol w:w="849"/>
        <w:gridCol w:w="368"/>
        <w:gridCol w:w="368"/>
        <w:gridCol w:w="296"/>
        <w:gridCol w:w="109"/>
        <w:gridCol w:w="109"/>
        <w:gridCol w:w="109"/>
        <w:gridCol w:w="444"/>
        <w:gridCol w:w="444"/>
        <w:gridCol w:w="628"/>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Grant Date </w:t>
              <w:br/>
              <w:t>Fair Value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March 31,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721,325 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approximately $20.4 million of unrecognized compensation expense related to unvested performance stock units. This expense is expected to be recognized over a weighted average period of 1.8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the ESPP was $0.3 million and $0.3 million, respectively,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NET LOSS PER SHARE</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The following</w:t>
      </w:r>
      <w:r>
        <w:rPr>
          <w:color w:val="000000"/>
        </w:rPr>
        <w:t xml:space="preserve"> </w:t>
      </w:r>
      <w:r>
        <w:rPr>
          <w:rFonts w:ascii="Times New Roman;serif" w:hAnsi="Times New Roman;serif"/>
          <w:b w:val="false"/>
          <w:color w:val="000000"/>
          <w:sz w:val="20"/>
        </w:rPr>
        <w:t>table sets forth the computation of basic and diluted net loss per share:</w:t>
      </w:r>
    </w:p>
    <w:tbl>
      <w:tblPr>
        <w:tblW w:w="7338" w:type="dxa"/>
        <w:jc w:val="center"/>
        <w:tblInd w:w="0" w:type="dxa"/>
        <w:tblLayout w:type="fixed"/>
        <w:tblCellMar>
          <w:top w:w="28" w:type="dxa"/>
          <w:left w:w="28" w:type="dxa"/>
          <w:bottom w:w="28" w:type="dxa"/>
          <w:right w:w="28" w:type="dxa"/>
        </w:tblCellMar>
      </w:tblPr>
      <w:tblGrid>
        <w:gridCol w:w="1579"/>
        <w:gridCol w:w="1385"/>
        <w:gridCol w:w="1401"/>
        <w:gridCol w:w="245"/>
        <w:gridCol w:w="716"/>
        <w:gridCol w:w="114"/>
        <w:gridCol w:w="114"/>
        <w:gridCol w:w="114"/>
        <w:gridCol w:w="114"/>
        <w:gridCol w:w="205"/>
        <w:gridCol w:w="756"/>
        <w:gridCol w:w="114"/>
        <w:gridCol w:w="109"/>
        <w:gridCol w:w="109"/>
        <w:gridCol w:w="109"/>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Weighted-average shares outstanding — basic and diluted</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42,956,973 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39,345,359 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basic and diluted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7"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Weighted-average shares outstanding includes pre-funded warrants issued on March 5,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tbl>
      <w:tblPr>
        <w:tblW w:w="6251" w:type="dxa"/>
        <w:jc w:val="left"/>
        <w:tblInd w:w="0" w:type="dxa"/>
        <w:tblLayout w:type="fixed"/>
        <w:tblCellMar>
          <w:top w:w="28" w:type="dxa"/>
          <w:left w:w="28" w:type="dxa"/>
          <w:bottom w:w="28" w:type="dxa"/>
          <w:right w:w="28" w:type="dxa"/>
        </w:tblCellMar>
      </w:tblPr>
      <w:tblGrid>
        <w:gridCol w:w="1346"/>
        <w:gridCol w:w="1182"/>
        <w:gridCol w:w="1192"/>
        <w:gridCol w:w="435"/>
        <w:gridCol w:w="436"/>
        <w:gridCol w:w="156"/>
        <w:gridCol w:w="140"/>
        <w:gridCol w:w="140"/>
        <w:gridCol w:w="140"/>
        <w:gridCol w:w="435"/>
        <w:gridCol w:w="436"/>
        <w:gridCol w:w="213"/>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unexercised — 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5,631,438 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5,352,939 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 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1,931,515 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7,327,446 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7,284,454 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SEGMENT REPORTING</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Company manages business activities on an aggregated basis and operates in one reportable segment: therapeutics. The therapeutics segment derives revenue primarily through sales of XDEMVY to specialty pharmacies and distributors in the U.S., who in turn sell it directly to clinics, hospitals, pharmacies and federal healthcare programs. The segment also generates license fees and collaboration revenue related to the China Out-License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The accounting policies of the therapeutics segment are the same as those described in the summary of significant accounting policies (see </w:t>
      </w:r>
      <w:r>
        <w:rPr>
          <w:rFonts w:ascii="Times New Roman;serif" w:hAnsi="Times New Roman;serif"/>
          <w:b w:val="false"/>
          <w:i/>
          <w:color w:val="000000"/>
          <w:sz w:val="20"/>
        </w:rPr>
        <w:t>Note 2</w:t>
      </w:r>
      <w:r>
        <w:rPr>
          <w:rFonts w:ascii="Times New Roman;serif" w:hAnsi="Times New Roman;serif"/>
          <w:b w:val="false"/>
          <w:color w:val="000000"/>
          <w:sz w:val="20"/>
        </w:rPr>
        <w: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(“CODM”) is its Chief Executive Officer (“CEO”). The CODM uses net loss, as reported in the accompanying Condensed Statements of Operations and Comprehensive Loss, to assess performance of the therapeutics segment and in deciding whether to allocate resources into the therapeutics segment or outside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segment, such as for acquisitions or new in-license agreements. The CODM uses net loss to regularly monitor budget versus actual results which are used in assessing performance of the segment and in establishing management’s compensation. The CODM does not review assets in evaluating the results of the therapeutics segment, and therefore, such information is not presented.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operating financial results of the therapeutics segment:</w:t>
      </w:r>
    </w:p>
    <w:tbl>
      <w:tblPr>
        <w:tblW w:w="8277" w:type="dxa"/>
        <w:jc w:val="left"/>
        <w:tblInd w:w="0" w:type="dxa"/>
        <w:tblLayout w:type="fixed"/>
        <w:tblCellMar>
          <w:top w:w="28" w:type="dxa"/>
          <w:left w:w="28" w:type="dxa"/>
          <w:bottom w:w="28" w:type="dxa"/>
          <w:right w:w="28" w:type="dxa"/>
        </w:tblCellMar>
      </w:tblPr>
      <w:tblGrid>
        <w:gridCol w:w="1532"/>
        <w:gridCol w:w="1346"/>
        <w:gridCol w:w="1355"/>
        <w:gridCol w:w="291"/>
        <w:gridCol w:w="1097"/>
        <w:gridCol w:w="162"/>
        <w:gridCol w:w="162"/>
        <w:gridCol w:w="162"/>
        <w:gridCol w:w="162"/>
        <w:gridCol w:w="291"/>
        <w:gridCol w:w="1074"/>
        <w:gridCol w:w="162"/>
        <w:gridCol w:w="109"/>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162,054 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reconciling items</w:t>
            </w:r>
            <w:r>
              <w:rPr>
                <w:rFonts w:ascii="Times New Roman;serif" w:hAnsi="Times New Roman;serif"/>
                <w:b w:val="false"/>
                <w:color w:val="000000"/>
                <w:sz w:val="12"/>
              </w:rPr>
              <w:t>(1)</w:t>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segment disclosures:</w:t>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w:t>
            </w:r>
          </w:p>
        </w:tc>
        <w:tc>
          <w:tcPr>
            <w:tcW w:w="1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96" w:type="dxa"/>
            <w:gridSpan w:val="12"/>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reconciling items primarily includes interest income, interest expense, and provision for income taxes.</w:t>
            </w:r>
          </w:p>
        </w:tc>
        <w:tc>
          <w:tcPr>
            <w:tcW w:w="481"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COMMITMENTS &amp;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 Agreements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lease agreements with unaffiliated third parties for its facilities and office equipment. As of March 31, 2026, the Company had two active leases with a combined square footage of 98,807 for office and laboratory suites in Irvine, California.</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an agreement to terminate its former facility lease agreements (the “Former Lease”) and concurrently entered into a new lease agreement (the “Current Lease”), both with the same landlord, to relocate its corporate headquarters to another location in Irvine, California under a 10-year lease term. In September 2025, the Company obtained access to the new facility and commenced the Current Lease; however, the Company’s headquarters had not been relocated as of March 31, 2026.</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Lease payments under the Current Lease began in November 2025. Base rent under the Current Lease is $2.5 million for the first year and is subject to annual increases of 3% thereafter. Upon commencement of the Current Lease, the Company became entitled to base rent abatement for the first five full calendar months for an aggregate amount of $0.7 million. The Current Lease also provides a tenant improvement allowance, not to exceed approximately $5.8 million, and to be applied toward construction costs of the premises. The tenant improvement allowance must be used within one year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Current Lease commencement date, after which any unused portion will be forfeited with no further obligation by the landlord. As of March 31, 2026, the landlord paid $5.3 million of the tenant improvement allowance.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Upon execution of the Current Lease, the Company provided the landlord a letter of credit for $2.6 million to serve as a security deposit. Provided that no defaults occur and the Company meets certain financial milestones for certain time periods, the security deposit can subsequently be reduced. In February 2026, a financial milestone within the lease agreement was achieved and the letter of credit was reduced to $2.0 million.</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expense for the Company’s lease agreements are as follows:</w:t>
      </w:r>
    </w:p>
    <w:tbl>
      <w:tblPr>
        <w:tblW w:w="4705" w:type="dxa"/>
        <w:jc w:val="left"/>
        <w:tblInd w:w="0" w:type="dxa"/>
        <w:tblLayout w:type="fixed"/>
        <w:tblCellMar>
          <w:top w:w="28" w:type="dxa"/>
          <w:left w:w="28" w:type="dxa"/>
          <w:bottom w:w="28" w:type="dxa"/>
          <w:right w:w="28" w:type="dxa"/>
        </w:tblCellMar>
      </w:tblPr>
      <w:tblGrid>
        <w:gridCol w:w="662"/>
        <w:gridCol w:w="582"/>
        <w:gridCol w:w="585"/>
        <w:gridCol w:w="245"/>
        <w:gridCol w:w="697"/>
        <w:gridCol w:w="136"/>
        <w:gridCol w:w="136"/>
        <w:gridCol w:w="136"/>
        <w:gridCol w:w="136"/>
        <w:gridCol w:w="245"/>
        <w:gridCol w:w="528"/>
        <w:gridCol w:w="136"/>
        <w:gridCol w:w="109"/>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lease agreements is as follows:</w:t>
      </w:r>
    </w:p>
    <w:tbl>
      <w:tblPr>
        <w:tblW w:w="5307" w:type="dxa"/>
        <w:jc w:val="left"/>
        <w:tblInd w:w="0" w:type="dxa"/>
        <w:tblLayout w:type="fixed"/>
        <w:tblCellMar>
          <w:top w:w="28" w:type="dxa"/>
          <w:left w:w="28" w:type="dxa"/>
          <w:bottom w:w="28" w:type="dxa"/>
          <w:right w:w="28" w:type="dxa"/>
        </w:tblCellMar>
      </w:tblPr>
      <w:tblGrid>
        <w:gridCol w:w="788"/>
        <w:gridCol w:w="692"/>
        <w:gridCol w:w="695"/>
        <w:gridCol w:w="288"/>
        <w:gridCol w:w="288"/>
        <w:gridCol w:w="684"/>
        <w:gridCol w:w="109"/>
        <w:gridCol w:w="109"/>
        <w:gridCol w:w="109"/>
        <w:gridCol w:w="323"/>
        <w:gridCol w:w="323"/>
        <w:gridCol w:w="899"/>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lease term (years)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paid for the Company’s lease agreements was $0.2 million and $0.1 million, respectively, for the three months ended March 31, 2026 and 2025.</w:t>
      </w:r>
    </w:p>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below table summarizes as of March 31, 2026, the (i) minimum lease payments over the next five years and thereafter, (ii) lease arrangement imputed interest, and (iii) present value of future lease payments, as follows:</w:t>
      </w:r>
    </w:p>
    <w:tbl>
      <w:tblPr>
        <w:tblW w:w="4413" w:type="dxa"/>
        <w:jc w:val="left"/>
        <w:tblInd w:w="0" w:type="dxa"/>
        <w:tblLayout w:type="fixed"/>
        <w:tblCellMar>
          <w:top w:w="28" w:type="dxa"/>
          <w:left w:w="28" w:type="dxa"/>
          <w:bottom w:w="28" w:type="dxa"/>
          <w:right w:w="28" w:type="dxa"/>
        </w:tblCellMar>
      </w:tblPr>
      <w:tblGrid>
        <w:gridCol w:w="1119"/>
        <w:gridCol w:w="984"/>
        <w:gridCol w:w="987"/>
        <w:gridCol w:w="109"/>
        <w:gridCol w:w="109"/>
        <w:gridCol w:w="109"/>
        <w:gridCol w:w="196"/>
        <w:gridCol w:w="64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Tenant improvement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operating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In-License Agreements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2023, a milestone of $4.0 million was achieved and paid to Elanco upon the first commercial sale of XDEMVY in the U.S. and in September 2024, a $5.0 million sales-based milestone obligation to Elanco was triggered for the achievement of reaching $100.0 million in net product sales of XDEMVY. These respective milestone payments were recorded to intangible assets, net in the accompanying Condensed Balance Sheets as of March 31, 2026 and December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make potential future cash payments to Elanco of $2.0 million under the Eye and Derm Elanco Agreement upon achievement of the last clinical milestone in the treatment of human skin diseases using lotilaner and a maximum of $70.0 million for various commercial and sales threshold milestones for the treatment of human skin diseases and the treatment of blepharitis in humans using lotilaner.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May 2025, Elanco sold and assigned its rights to receive certain future tiered royalties and commercial milestones under the Eye and Derm Elanco Agreement to an affiliate of Blackstone Private Credit Fund (“Blackstone”). Certain future payments under the Eye and Derm Elanco Agreement will be directed to Blackstone, with no modification to the Company’s obligations or the terms of the underlying agreement. The Company and Elanco amended the Eye and Derm Elanco Agreement to make certain conforming changes.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Company is obligated to pay tiered contractual royalties in the mid to high single digits of its product sales, net. If the Company receives certain types of payments from its sublicensees, it will be obligated to pay a variable percentage in the low to mid double-digits of such proceeds, until achievement of the first applicable regulatory approval of a product covered under the license, which occurred in July 2023 with the FDA approval of XDEMVY. The Company’s accrued royalties payable are recorded to cost of sales in the accompanying Condensed Statements of Operations and Comprehensive Loss for the three months ended March 31, 2026 and 2025, and other accrued liabilities in the accompanying Condensed Balance Sheets as of March 31, 2026 and December 31, 2025. Royalty expense for the three months ended March 31, 2026 and 2025, was $7.3 million and $3.9 million, respectively.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potential future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in the single digits of its product sales, net. If the Company receives certain types of payments from its sublicensees, it will also be obligated to pay a variable percentage in the low to mid double-digits of such proceeds, until achievement of the first applicable regulatory approval of a product covered under the license.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In-License Agreement for All Ophthalmic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executed a new in-license agreement from a third party for the exclusive worldwide rights to develop, manufacture, and commercialize a compound for all ophthalmic uses (the “October 2024 In-License Agreement”), and concurrently made an upfront payment of $2.5 million, which was recorded to research and development expense in the Statements of Operations and Comprehensive Loss for the year ended December 31, 2024. As of March 31, 2026, the Company is obligated to make potential future cash payments under the October 2024 In-License Agreement of $3.0 million upon the achievement of an event-based development milestone and up to $102.0 million for various commercial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sales threshold milestones. Future annual worldwide net sales of products developed from the compound, developed, manufactured, and commercialized via the October 2024 In-License Agreement, will also be subject to incremental royalty rates in the range of mid to high single digits.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In-License Agreements for All Diagnostic, Prophylactic, and Therapeutic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executed two new in-license agreements from a third party for the exclusive worldwide rights to develop, manufacture, and commercialize several compounds for all diagnostic, prophylactic, and therapeutic uses, except for a specific field carve-out for a small minority of the compounds to be retained by the licensor (collectively, the “February 2026 In-License Agreements”), and concurrently made an upfront payment of $2.0 million which was recorded to research and development expense in the Statements of Operations and Comprehensive Loss for the three months ended March 31, 2026. As of March 31, 2026, the Company is obligated to make potential future cash payments under the February 2026 In-License Agreements of $2.5 million upon the achievement of certain event-based development milestones, and up to $92.0 million for various commercial and sales threshold milestones. Future annual worldwide net sales of products developed, manufactured, and commercialized in conjunction with the February 2026 In-License Agreements will also be subject to incremental tiered royalty rates in the mid-single digits.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agreements, including severance and change in control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Contingencies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Indemnities and Guarantees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OUT-LICENSE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Out-License of TP-03 Commercial Rights in the China Territory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2021, the Company entered into the China Out-License agreement with LianBio for its exclusive development and commercialization rights of TP-03 (lotilaner ophthalmic solution) 0.25% in the China Territory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Prior to the March 2024 Novation Agreement to GrandPharma discussed in detail below,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assessment of the initial transaction price for the China Out-License included an analysis of amounts the Company expected to receive, which at contract inception consisted of: (i) a $15.0 million upfront cash payment; (ii) a $10.0 million second cash payment; (iii) a $10.0 million milestone that was determined to be within the control of the Company; and (iv) $1.2 million representing the initial fair value of equity warrants.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accounted for each performance obligation as follows: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Services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the Saturn-1 and Saturn-2 clinical trials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February 2024, LianBio announced its plan to wind down its operations. In March 2024, the Company executed an agreement with GrandPharma and LianBio to transition the rights to develop and commercialize TP-03 in China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from LianBio to GrandPharma (“the Novation Agreement”) and upon execution of the Novation Agreement, the China Out-License with LianBio was assigned to GrandPharma. The Novation Agreement also amended the $15.0 million future development milestone payable on China regulatory approval of the China Out-License with a combined condition of patent issuance related to TP-03 in China.</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2026, GrandPharma obtained regulatory approval of TP-03 in the People’s Republic of China (“PRC”), following a previous regulatory approval in Macau. The regulatory approval in the PRC, together with a previous patent issuance in the PRC relating to TP-03, triggered a $15.0 million milestone payment to the Company. The Company recognized the $15.0 million milestone achievement in full during the three months ended March 31, 2026, because the milestone related to a single performance obligation that was satisfied upon achievement of the regulatory and patent issuance conditions. The milestone payment was recorded as license fees and collaboration revenue in the accompanying Condensed Statement of Operations and Comprehensive Loss for the three months ended March 31, 2026, and as other receivables in the accompanying Condensed Balance Sheet as of March 31, 2026. GrandPharma is contractually required to pay $1.7 million of China withholding taxes associated with the milestone achievement, which was also recorded to license fees and collaboration revenue and is fully offset by foreign tax expense recorded to provision for income taxes (see </w:t>
      </w:r>
      <w:r>
        <w:rPr>
          <w:rFonts w:ascii="Times New Roman;serif" w:hAnsi="Times New Roman;serif"/>
          <w:b w:val="false"/>
          <w:i/>
          <w:color w:val="000000"/>
          <w:sz w:val="20"/>
        </w:rPr>
        <w:t>Note 11</w:t>
      </w:r>
      <w:r>
        <w:rPr>
          <w:rFonts w:ascii="Times New Roman;serif" w:hAnsi="Times New Roman;serif"/>
          <w:b w:val="false"/>
          <w:color w:val="000000"/>
          <w:sz w:val="20"/>
        </w:rPr>
        <w: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Through March 31, 2026, the Company received aggregate payments from the China Out-License totaling $86.1 million, comprised of (i) $15.0 million of initial consideration, (ii) $67.5 million for the achievement of specified milestones, and (iii) $3.6 million related to the transition of the China Out-License from LianBio to GrandPharma.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is eligible to receive further consideration from GrandPharma upon the achievement of additional TP-03 events, including: (i) additional regulatory approval and/or patent issuance milestones of up to an aggregate of $20.0 million (of which $15.0 million was triggered in March 2026 and the Company is awaiting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corresponding cash receipt); (ii) China-based TP-03 sales threshold milestone payments of up to an aggregate of $100.0 million; and (iii) tiered low-to-high-teen royalties for China Territory TP-03 product sales. The variable consideration related to the remaining milestone payments was fully constrained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CREDIT FACILITY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In April 2024, the Company executed the 2024 Credit Facility with Pharmakon, which matures in April 2029. The 2024 Credit Facility is collateralized by substantially all of the Company’s presently existing and subsequently acquired assets. Upon execution, the Company drew $75.0 million from the initial tranche of the 2024 Credit Facility, a portion of which was used to repay all outstanding indebtedness on the Credit Facility with Hercules and SVB, resulting in total net proceeds of</w:t>
      </w:r>
      <w:r>
        <w:rPr>
          <w:color w:val="000000"/>
        </w:rPr>
        <w:t xml:space="preserve"> </w:t>
      </w:r>
      <w:r>
        <w:rPr>
          <w:rFonts w:ascii="Times New Roman;serif" w:hAnsi="Times New Roman;serif"/>
          <w:b w:val="false"/>
          <w:color w:val="000000"/>
          <w:sz w:val="20"/>
        </w:rPr>
        <w:t xml:space="preserve">$39.6 million.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2024 Credit Facility </w:t>
      </w:r>
      <w:r>
        <w:rPr>
          <w:rFonts w:ascii="Times New Roman;serif" w:hAnsi="Times New Roman;serif"/>
          <w:b w:val="false"/>
          <w:color w:val="000000"/>
          <w:sz w:val="20"/>
          <w:shd w:fill="FFFFFF" w:val="clear"/>
        </w:rPr>
        <w:t xml:space="preserve">provided for three potential additional term loan tranches in principal amounts up to $25.0 million, $50.0 million, and $50.0 million, respectively. </w:t>
      </w:r>
      <w:r>
        <w:rPr>
          <w:rFonts w:ascii="Times New Roman;serif" w:hAnsi="Times New Roman;serif"/>
          <w:b w:val="false"/>
          <w:color w:val="000000"/>
          <w:sz w:val="20"/>
        </w:rPr>
        <w:t xml:space="preserve">The Company did not draw on any of the three additional tranches, each of which expired on December 31, 2024, June 30, 2025, and </w:t>
      </w:r>
      <w:r>
        <w:rPr>
          <w:rFonts w:ascii="Times New Roman;serif" w:hAnsi="Times New Roman;serif"/>
          <w:b w:val="false"/>
          <w:color w:val="000000"/>
          <w:sz w:val="20"/>
          <w:shd w:fill="FFFFFF" w:val="clear"/>
        </w:rPr>
        <w:t>December 31, 2025, respectively.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2024 Credit Facility, the outstanding principal draws accrue interest at a floating rate based upon the secured overnight financing rate (“SOFR”), plus a margin of 6.75% per annum. The SOFR is subject to a 3.75% floor.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and 2025, the effective interest rates for the full term of the 2024 Credit Facility was 11.75% and 12.32%, respectively. The Company recognized interest expense in the accompanying Condensed Statements of Operations and Comprehensive Loss in connection with the 2024 Credit Facility as follows:</w:t>
      </w:r>
    </w:p>
    <w:tbl>
      <w:tblPr>
        <w:tblW w:w="5515" w:type="dxa"/>
        <w:jc w:val="left"/>
        <w:tblInd w:w="0" w:type="dxa"/>
        <w:tblLayout w:type="fixed"/>
        <w:tblCellMar>
          <w:top w:w="28" w:type="dxa"/>
          <w:left w:w="28" w:type="dxa"/>
          <w:bottom w:w="28" w:type="dxa"/>
          <w:right w:w="28" w:type="dxa"/>
        </w:tblCellMar>
      </w:tblPr>
      <w:tblGrid>
        <w:gridCol w:w="957"/>
        <w:gridCol w:w="839"/>
        <w:gridCol w:w="843"/>
        <w:gridCol w:w="229"/>
        <w:gridCol w:w="651"/>
        <w:gridCol w:w="127"/>
        <w:gridCol w:w="127"/>
        <w:gridCol w:w="127"/>
        <w:gridCol w:w="127"/>
        <w:gridCol w:w="229"/>
        <w:gridCol w:w="651"/>
        <w:gridCol w:w="127"/>
        <w:gridCol w:w="109"/>
        <w:gridCol w:w="109"/>
        <w:gridCol w:w="109"/>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for long-term debt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value of the 2024 Credit Facility consists of principal outstanding less legal and administrative issuance costs that were recorded as a debt discount to the long-term debt, net and will continue to be accreted to interest expense using the effective interest method during its term. The principal balance of the 2024 Credit Facility and related accretion and amortization are reported on a combined basis as long-term debt, net in the accompanying Condensed Balance Sheets as follows:</w:t>
      </w:r>
    </w:p>
    <w:tbl>
      <w:tblPr>
        <w:tblW w:w="6686" w:type="dxa"/>
        <w:jc w:val="left"/>
        <w:tblInd w:w="0" w:type="dxa"/>
        <w:tblLayout w:type="fixed"/>
        <w:tblCellMar>
          <w:top w:w="28" w:type="dxa"/>
          <w:left w:w="28" w:type="dxa"/>
          <w:bottom w:w="28" w:type="dxa"/>
          <w:right w:w="28" w:type="dxa"/>
        </w:tblCellMar>
      </w:tblPr>
      <w:tblGrid>
        <w:gridCol w:w="1286"/>
        <w:gridCol w:w="1130"/>
        <w:gridCol w:w="1139"/>
        <w:gridCol w:w="259"/>
        <w:gridCol w:w="856"/>
        <w:gridCol w:w="144"/>
        <w:gridCol w:w="109"/>
        <w:gridCol w:w="109"/>
        <w:gridCol w:w="109"/>
        <w:gridCol w:w="304"/>
        <w:gridCol w:w="1002"/>
        <w:gridCol w:w="239"/>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gross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of debt issuance costs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net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Company recognized income tax expense of </w:t>
      </w:r>
      <w:r>
        <w:rPr>
          <w:rFonts w:ascii="Times New Roman;serif" w:hAnsi="Times New Roman;serif"/>
          <w:b w:val="false"/>
          <w:color w:val="000000"/>
          <w:sz w:val="20"/>
        </w:rPr>
        <w:t>$2.4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which was computed using the “discrete” (or “cut-off”) method. The Company did not recognize income tax expense for the </w:t>
      </w:r>
      <w:r>
        <w:rPr>
          <w:rFonts w:ascii="Times New Roman;serif" w:hAnsi="Times New Roman;serif"/>
          <w:b w:val="false"/>
          <w:color w:val="000000"/>
          <w:sz w:val="20"/>
        </w:rPr>
        <w:t xml:space="preserve">three months ended March 31, 2025. </w:t>
      </w:r>
      <w:r>
        <w:rPr>
          <w:rFonts w:ascii="Times New Roman;serif" w:hAnsi="Times New Roman;serif"/>
          <w:b w:val="false"/>
          <w:color w:val="000000"/>
          <w:sz w:val="20"/>
          <w:shd w:fill="FFFFFF" w:val="clear"/>
        </w:rPr>
        <w:t xml:space="preserve">The income tax expense for </w:t>
      </w:r>
      <w:r>
        <w:rPr>
          <w:rFonts w:ascii="Times New Roman;serif" w:hAnsi="Times New Roman;serif"/>
          <w:b w:val="false"/>
          <w:color w:val="000000"/>
          <w:sz w:val="20"/>
        </w:rPr>
        <w:t>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was primarily comprised of state income tax expense of </w:t>
      </w:r>
      <w:r>
        <w:rPr>
          <w:rFonts w:ascii="Times New Roman;serif" w:hAnsi="Times New Roman;serif"/>
          <w:b w:val="false"/>
          <w:color w:val="000000"/>
          <w:sz w:val="20"/>
        </w:rPr>
        <w:t>$0.7 million</w:t>
      </w:r>
      <w:r>
        <w:rPr>
          <w:color w:val="000000"/>
          <w:shd w:fill="FFFFFF" w:val="clear"/>
        </w:rPr>
        <w:t xml:space="preserve"> </w:t>
      </w:r>
      <w:r>
        <w:rPr>
          <w:rFonts w:ascii="Times New Roman;serif" w:hAnsi="Times New Roman;serif"/>
          <w:b w:val="false"/>
          <w:color w:val="000000"/>
          <w:sz w:val="20"/>
          <w:shd w:fill="FFFFFF" w:val="clear"/>
        </w:rPr>
        <w:t xml:space="preserve">and $1.7 million of foreign withholding tax expense in connection with the Company’s China Out-License and a milestone that was achieved during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Based on all available objective evidence, the Company believes that it is more likely than not that its deferred tax assets will not be fully realized. Accordingly, the Company maintains a valuation allowance against all of its deferred tax assets as of both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 will continue to maintain a full valuation allowance until there is sufficient evidence to support recoverability of its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Company had </w:t>
      </w:r>
      <w:r>
        <w:rPr>
          <w:rFonts w:ascii="Times New Roman;serif" w:hAnsi="Times New Roman;serif"/>
          <w:b w:val="false"/>
          <w:color w:val="000000"/>
          <w:sz w:val="20"/>
        </w:rPr>
        <w:t>$4.3 million</w:t>
      </w:r>
      <w:r>
        <w:rPr>
          <w:color w:val="000000"/>
          <w:shd w:fill="FFFFFF" w:val="clear"/>
        </w:rPr>
        <w:t xml:space="preserve"> </w:t>
      </w:r>
      <w:r>
        <w:rPr>
          <w:rFonts w:ascii="Times New Roman;serif" w:hAnsi="Times New Roman;serif"/>
          <w:b w:val="false"/>
          <w:color w:val="000000"/>
          <w:sz w:val="20"/>
          <w:shd w:fill="FFFFFF" w:val="clear"/>
        </w:rPr>
        <w:t xml:space="preserve">of unrecognized tax benefits at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none of which would affect the effective tax rate if recognized.</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had no accrual for interest and penalties related to unrecognized tax benefits recognized as part of the Company’s income tax provision in its condensed consolidated statements of operations. The statute of limitations remains open for all years since inception in the U.S. federal, state, and local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RELATED PARTY TRANSACTION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Investment in Privately-Held Eye Care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In April 2024, the Company </w:t>
      </w:r>
      <w:r>
        <w:rPr>
          <w:rFonts w:ascii="Times New Roman;serif" w:hAnsi="Times New Roman;serif"/>
          <w:b w:val="false"/>
          <w:color w:val="000000"/>
          <w:sz w:val="20"/>
        </w:rPr>
        <w:t>participated in an equity financing round of an early clinical-stage private eye care company. Pursuant to the terms of a Preferred Stock Purchase Agreement, the Company purchased</w:t>
      </w:r>
      <w:r>
        <w:rPr>
          <w:color w:val="000000"/>
          <w:shd w:fill="FFFFFF" w:val="clear"/>
        </w:rPr>
        <w:t xml:space="preserve">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rPr>
        <w:t>of preferred stock. In December 2025, pursuant to the terms of an Amended Preferred Stock Purchase Agreement, the Company purchased an additional $0.9 million of preferred stock, resulting in a total investment of $3.9 million and representing a small minority equity interest in this private company. Dr. Azamian, the Company’s CEO and Chair of the Board, and Dr. Link, a member of the Company’s Board of Directors, serve on the board of this private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and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continue to successfully commercialize XDEMVY</w:t>
      </w:r>
      <w:r>
        <w:rPr>
          <w:rFonts w:ascii="Times New Roman;serif" w:hAnsi="Times New Roman;serif"/>
          <w:b w:val="false"/>
          <w:color w:val="000000"/>
          <w:sz w:val="13"/>
        </w:rPr>
        <w:t>®</w:t>
      </w:r>
      <w:r>
        <w:rPr>
          <w:rFonts w:ascii="Times New Roman;serif" w:hAnsi="Times New Roman;serif"/>
          <w:b w:val="false"/>
          <w:color w:val="000000"/>
          <w:sz w:val="20"/>
        </w:rPr>
        <w:t xml:space="preserve">,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prevalence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the size of the market opportunity for XDEMVY;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shd w:fill="FFFFFF" w:val="clear"/>
        </w:rPr>
        <w:t>our plans related to the continued commercialization of XDEMVY and our product candidates, if approved, including commercialization timelines and sales strategy;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any statements regarding our ability to achieve distribution and patient access for XDEMVY and timing and breadth of payer coverage; our expectations of the potential market size, pricing, gross-to-net yields, eye care professional and patient acceptance of our product and product candidates, opportunity and patient populations for our product and product candidates, including XDEMVY;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timing or likelihood of regulatory filings and approval for our product candidates </w:t>
      </w:r>
      <w:r>
        <w:rPr>
          <w:rFonts w:ascii="Times New Roman;serif" w:hAnsi="Times New Roman;serif"/>
          <w:b w:val="false"/>
          <w:color w:val="000000"/>
          <w:sz w:val="20"/>
          <w:shd w:fill="FFFFFF" w:val="clear"/>
        </w:rPr>
        <w:t>and our ability to meet existing or future regulatory standards or comply with post-approval requirements</w:t>
      </w:r>
      <w:r>
        <w:rPr>
          <w:rFonts w:ascii="Times New Roman;serif" w:hAnsi="Times New Roman;serif"/>
          <w:b w:val="false"/>
          <w:color w:val="000000"/>
          <w:sz w:val="20"/>
        </w:rPr>
        <w: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 of health epidemics on our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 of unfavorable global and geopolitical economic conditions on our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our estimates of the number of patients in the United States (“U.S.”) or globally, as applicable,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ocular rosacea, Lyme disease and malaria and the number of patients that will enroll in our clinical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relating to the further development and manufacturing of our product and product candidates, including additional indications for which we may pursue;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existing regulations and regulatory developments in the U.S.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and ability to obtain, maintain, or protect intellectual property rights, including extensions of existing patent terms where available;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need to hire additional personnel and our ability to attract and retain such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competitive position;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March 2024 (the “March 2024 Public Offering”), and March 2025 (the “March 2025 Public Offering”), collectively the “Follow-On Public Offerings”, as well as proceeds from our sales agreement prospectus (the “2023 ATM Prospectus”), and drawdowns from our loan and security agreement (the “2024 Credit Facility”) with funds associated with Pharmakon Advisors, LP (“Pharmakon”).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References in this Quarterly Report on Form 10-Q to the terms, “Tarsus,” the “Company,” “we,” “our,” and “us” refer to Tarsus Pharmaceuticals, Inc., unless the context otherwise indicates.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are a commercial stage biopharmaceutical company focused on the development and commercialization of therapeutics, starting with eye care. </w:t>
      </w:r>
      <w:r>
        <w:rPr>
          <w:rFonts w:ascii="Times New Roman;serif" w:hAnsi="Times New Roman;serif"/>
          <w:b w:val="false"/>
          <w:color w:val="000000"/>
          <w:sz w:val="20"/>
          <w:shd w:fill="FFFFFF" w:val="clear"/>
        </w:rPr>
        <w:t>We launched XDEMVY</w:t>
      </w:r>
      <w:r>
        <w:rPr>
          <w:rFonts w:ascii="Times New Roman;serif" w:hAnsi="Times New Roman;serif"/>
          <w:b w:val="false"/>
          <w:color w:val="000000"/>
          <w:sz w:val="16"/>
        </w:rPr>
        <w:t>®</w:t>
      </w:r>
      <w:r>
        <w:rPr>
          <w:color w:val="000000"/>
          <w:shd w:fill="FFFFFF" w:val="clear"/>
        </w:rPr>
        <w:t xml:space="preserve"> </w:t>
      </w:r>
      <w:r>
        <w:rPr>
          <w:rFonts w:ascii="Times New Roman;serif" w:hAnsi="Times New Roman;serif"/>
          <w:b w:val="false"/>
          <w:color w:val="000000"/>
          <w:sz w:val="20"/>
          <w:shd w:fill="FFFFFF" w:val="clear"/>
        </w:rPr>
        <w:t xml:space="preserve">(lotilaner ophthalmic solution) 0.25%, formerly known as TP-03, for the treatment of </w:t>
      </w:r>
      <w:r>
        <w:rPr>
          <w:rFonts w:ascii="Times New Roman;serif" w:hAnsi="Times New Roman;serif"/>
          <w:b w:val="false"/>
          <w:i/>
          <w:color w:val="000000"/>
          <w:sz w:val="20"/>
          <w:shd w:fill="FFFFFF" w:val="clear"/>
        </w:rPr>
        <w:t xml:space="preserve">Demodex </w:t>
      </w:r>
      <w:r>
        <w:rPr>
          <w:rFonts w:ascii="Times New Roman;serif" w:hAnsi="Times New Roman;serif"/>
          <w:b w:val="false"/>
          <w:color w:val="000000"/>
          <w:sz w:val="20"/>
          <w:shd w:fill="FFFFFF" w:val="clear"/>
        </w:rPr>
        <w:t>blepharitis, in August 2023 after receiving U.S. Food and Drug Administration (“FDA”) approval in July 2023.</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shd w:fill="FFFFFF" w:val="clear"/>
        </w:rPr>
        <w:t>blepharitis is</w:t>
      </w:r>
      <w:r>
        <w:rPr>
          <w:color w:val="000000"/>
        </w:rPr>
        <w:t xml:space="preserve"> </w:t>
      </w:r>
      <w:r>
        <w:rPr>
          <w:rFonts w:ascii="Times New Roman;serif" w:hAnsi="Times New Roman;serif"/>
          <w:b w:val="false"/>
          <w:color w:val="000000"/>
          <w:sz w:val="20"/>
        </w:rPr>
        <w:t xml:space="preserve">caused by the infestation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Poorly controlled and progressive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can lead to corneal damage over time and, in extreme cases, blindness. There may be as many as approximately 25 million people in the U.S. who suffer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XDEMVY is the first and only therapeutic approved by the FDA and we believe is the definitive standard of care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targets and eradicates the root cause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GABA-Cl”) channels with no GABA-Cl inhibition in humans.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all of which met their primary, secondary and/or certain exploratory endpoints, with the drug well tolerated throughout each trial. We have also completed clinical trials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patients with Meibomian Gland Disease (“MGD”), including the Phase 2a clinical trial (the “Ersa Trial”), and a pilot clinical trial (the “Rhea Trial”) involving an XDEMVY vehicle.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intend to further advance our pipeline with, e.g., lotilaner API to address several diseases in human medicine, including eye care, and infectious disease prevention. We are investigating the development of our product candidates to address targeted diseases with high unmet medical needs, which currently include TP-04, an investigational sterile aqueous gel formulation of lotilaner for the potential treatment of ocular rosacea and TP-05, an investigational oral tablet formulation of lotilaner, for potential Lyme disease prophylaxis and community malaria reduction.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2025, we initiated a Phase 2 clinical trial (the “KORE Trial”) evaluating TP-04, a lotilaner-based sterile ophthalmic gel formulation for the potential treatment of ocular rosacea. The KORE Trial continues to progress, with topline results expected in the first half of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2026, we initiated a Phase 2 clinical trial (the “Calliope Trial”) evaluating TP-05, a novel investigational lotilaner-based oral prophylactic designed to kill ticks before potential disease transmission. Topline results are expected in the first half of 2027, which we believe will have the potential to support a Phase 3-ready package by the end of 2027.</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Business and Corporate Highlights</w:t>
      </w:r>
    </w:p>
    <w:p>
      <w:pPr>
        <w:pStyle w:val="TextBody"/>
        <w:bidi w:val="0"/>
        <w:spacing w:lineRule="auto" w:line="288" w:before="240" w:after="283"/>
        <w:jc w:val="left"/>
        <w:rPr/>
      </w:pPr>
      <w:r>
        <w:rPr>
          <w:rFonts w:ascii="Times New Roman;serif" w:hAnsi="Times New Roman;serif"/>
          <w:b/>
          <w:color w:val="000000"/>
          <w:sz w:val="20"/>
          <w:u w:val="single"/>
        </w:rPr>
        <w:t>XDEMVY</w:t>
      </w:r>
      <w:r>
        <w:rPr>
          <w:rFonts w:ascii="Times New Roman;serif" w:hAnsi="Times New Roman;serif"/>
          <w:b w:val="false"/>
          <w:color w:val="000000"/>
          <w:sz w:val="20"/>
        </w:rPr>
        <w: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XDEMVY continues to be one of the best-selling prescription eye drops.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During the first quarter of 2026, recognized $145.4 million in net product sales, a year-over-year increase of more than 85%.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Continued depth of prescribing as eye care professionals (“ECPs”) broaden screening and treatment across a wider range of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Direct-to-Consumer (“DTC”) campaign drove tremendous engagement and generated an increasingly positive and growing return on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Continued to drive millions of visitors to the XDEMVY website and certain increased high-value actions on the website by approximately 40% quarter-over-quarter reflecting strong patient activation and conversion.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 track to activate approximately 20 new Key Account Leaders by the third quarter of 2026 focusing on driving deeper utilization within high-opportunity eye care practices.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maintained strong engagement across key ophthalmology and optometry conferences in the first quarter of 2026, presenting numerous data sets that reinforce the clinical importance of diagnosing and treating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and expand how ECPs identify and treat the disease. </w:t>
      </w:r>
    </w:p>
    <w:p>
      <w:pPr>
        <w:pStyle w:val="TextBody"/>
        <w:bidi w:val="0"/>
        <w:spacing w:lineRule="auto" w:line="288" w:before="240" w:after="283"/>
        <w:jc w:val="left"/>
        <w:rPr/>
      </w:pPr>
      <w:r>
        <w:rPr>
          <w:rFonts w:ascii="Times New Roman;serif" w:hAnsi="Times New Roman;serif"/>
          <w:b/>
          <w:color w:val="000000"/>
          <w:sz w:val="20"/>
          <w:u w:val="single"/>
        </w:rPr>
        <w:t xml:space="preserve">TP-03 </w:t>
      </w:r>
      <w:r>
        <w:rPr>
          <w:rFonts w:ascii="Times New Roman;serif" w:hAnsi="Times New Roman;serif"/>
          <w:b/>
          <w:i/>
          <w:color w:val="000000"/>
          <w:sz w:val="20"/>
          <w:u w:val="single"/>
        </w:rPr>
        <w:t>Demodex</w:t>
      </w:r>
      <w:r>
        <w:rPr>
          <w:color w:val="000000"/>
          <w:u w:val="single"/>
        </w:rPr>
        <w:t xml:space="preserve"> </w:t>
      </w:r>
      <w:r>
        <w:rPr>
          <w:rFonts w:ascii="Times New Roman;serif" w:hAnsi="Times New Roman;serif"/>
          <w:b/>
          <w:color w:val="000000"/>
          <w:sz w:val="20"/>
          <w:u w:val="single"/>
        </w:rPr>
        <w:t>blepharitis in patients with MGD, Ersa and Rhea Trials: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we announced positive topline results of the Ersa Trial evaluating XDEMVY administered twice daily (“BID”) or three times a day (“TID”) for 6 weeks and 12 weeks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from the Ersa Trial as well as data from the Rhea Trial, a pilot study evaluating XDEMVY vehicle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at the American Academy of Optometry (“AAOpt”) Annual Meeting 2024, and in April 2025 at the American Society of Cataract and Refractive Surgery (“ASCRS”) Annual Meeting 2025. The Rhea Trial enrolled a similar patient population as the Ersa Trial, and evaluated the same outcomes, with the same dosing regimens, except the Rhea Trial participants received XDEMVY vehicle. Both the Ersa and Rhea Trials also assessed patient reported outcomes for some of the most commonly reported patient symptoms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namely fluctuating vision, itching, redness, and burning.</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The presentations, which combined the Ersa and Rhea Trials data in a pooled analysis, demonstrated that XDEMVY provided statistically significant and clinically meaningful improvements of the meibomian glands from baseline and when compared to vehicle, including at least three times more glands secreting normal or clear liquid in patients treated with XDEMVY compared to vehicle at day 43. These improvements were shown across three objective measures of MGD: i) the presence and quality of liquid secretion as measured by the Meibomian Gland Secretion Score; ii) the number of glands secreting normal or clear liquid; and iii)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our medical affairs team is continuing to move forward with sharing this data with ECPs.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TP-04 Rosacea for the Potential Treatment of Ocular Rosacea:</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are exploring the therapeutic potential of TP-04 as an investigational sterile aqueous gel formulation of lotilaner, for the treatment of ocular rosacea, a chronic eye disease characterized by prominent and visible blood vessels, or telangiectasia, as well as redness, flushing and inflammation of the eyelid margin and surrounding peri-ocular skin. Ocular rosacea is a highly prevalent disease, with approximately 15-18 million Americans impacted by ocular rosacea and there are currently no FDA-approved therapeutics to treat this disease. One of the potential root causes of ocular rosacea, similar to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is believed to be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February 2024, we announced positive topline results from the Galatea trial, a Phase 2a trial evaluating TP-04, an investigational sterile aqueous gel formulation of lotilaner, for the potential treatment of papulopustular rosacea, for which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mites is believed to be one of the root causes. The positive topline results demonstrated statistically significant improvements (p&lt;0.05) in inflammatory lesions and Investigator’s Global Assessment score (change in baseline and success rate) were observed compared to vehicle at week 12. TP-04 was generally well tolerated.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After review of the Galatea trial data with the FDA and key opinion leaders, we decided to pursue development of TP-04 for the potential treatment for ocular rosacea. In December 2025, we initiated the KORE Trial, evaluating TP-04 for the potential treatment of ocular rosacea with topline results expected in the first half of 2027.</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TP-05 for the Potential Prevention of Lyme Disease: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exploring the therapeutic potential of TP-05 as a novel investigational lotilaner-based oral prophylactic designed to kill ticks. There are approximately 80 million people in the U.S. at risk of Lyme disease exposure with nearly 30 million of which are moderate to high risk. Further, there are approximately 400,000 reported cases of Lyme disease in the U.S. each year, but it is believed that the actual number of cases could be much higher. We believe TP-05 is currently the only on-demand, oral tablet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w:t>
      </w:r>
      <w:r>
        <w:rPr>
          <w:color w:val="008080"/>
        </w:rPr>
        <w:t xml:space="preserve"> </w:t>
      </w:r>
      <w:r>
        <w:rPr>
          <w:rFonts w:ascii="Times New Roman;serif" w:hAnsi="Times New Roman;serif"/>
          <w:b w:val="false"/>
          <w:color w:val="000000"/>
          <w:sz w:val="20"/>
        </w:rPr>
        <w:t>February 2024, we announced positive topline results from the Carpo Trial, which demonstrated a statistically significant increase in tick mortality compared to vehicle (p&lt;0.001), regardless of treatment arm, and was well tolerated (the “Carpo Trial”). The Carpo Trial was designed to evaluate TP-05, an investigational oral systemic,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initiated the Calliope Trial evaluating TP-05, a novel investigational lotilaner-based oral prophylactic designed to kill ticks before potential disease transmission. Topline results are expected in the first half of 2027, which we believe will have the potential to support a Phase 3-ready package by the end of 2027.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FDA confirmed that a Phase 3 trial would require a disease prevention field study that would likely require the enrollment of thousands of patients. We continue to believe that partnering this program, following completion of the Calliope Trial, could be the best approach to potentially deliver this prophylactic therapy candidate to patients.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Additional Potential Growth Drivers in 2026 and Beyond: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2026, GrandPharma obtained regulatory approval of TP-03, in the People’s Republic of China (“PRC”), following a previous regulatory approval in Macau. The regulatory approval in the PRC, together with a previous patent issuance in the PRC relating to TP-03, triggered a $15.0 million milestone payment to us, which was recorded as license fees and collaboration revenue (see </w:t>
      </w:r>
      <w:r>
        <w:rPr>
          <w:rFonts w:ascii="Times New Roman;serif" w:hAnsi="Times New Roman;serif"/>
          <w:b w:val="false"/>
          <w:i/>
          <w:color w:val="000000"/>
          <w:sz w:val="20"/>
        </w:rPr>
        <w:t>Note 9</w:t>
      </w:r>
      <w:r>
        <w:rPr>
          <w:rFonts w:ascii="Times New Roman;serif" w:hAnsi="Times New Roman;serif"/>
          <w:b w:val="false"/>
          <w:color w:val="000000"/>
          <w:sz w:val="20"/>
        </w:rPr>
        <w:t>)</w:t>
      </w:r>
      <w:r>
        <w:rPr>
          <w:rFonts w:ascii="Times New Roman;serif" w:hAnsi="Times New Roman;serif"/>
          <w:b w:val="false"/>
          <w:i/>
          <w:color w:val="000000"/>
          <w:sz w:val="20"/>
        </w:rPr>
        <w:t>.</w:t>
      </w:r>
      <w:r>
        <w:rPr>
          <w:color w:val="000000"/>
        </w:rPr>
        <w:t xml:space="preserv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Europe, we believe we are on track to complete stability work of a preservative-free formulation in 2026 and continue to evaluate the path to approval of TP-03 for the potential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Ongoing discussions continue with regulatory authorities in Japan on a potential path to approval of TP-03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The Elara prevalence trial showed high prevalence and significant impact of </w:t>
      </w:r>
      <w:r>
        <w:rPr>
          <w:rFonts w:ascii="Times New Roman;serif" w:hAnsi="Times New Roman;serif"/>
          <w:b w:val="false"/>
          <w:i/>
          <w:color w:val="000000"/>
          <w:sz w:val="20"/>
          <w:shd w:fill="FFFFFF" w:val="clear"/>
        </w:rPr>
        <w:t xml:space="preserve">Demodex </w:t>
      </w:r>
      <w:r>
        <w:rPr>
          <w:rFonts w:ascii="Times New Roman;serif" w:hAnsi="Times New Roman;serif"/>
          <w:b w:val="false"/>
          <w:color w:val="000000"/>
          <w:sz w:val="20"/>
          <w:shd w:fill="FFFFFF" w:val="clear"/>
        </w:rPr>
        <w:t>blepharitis in Japan, consistent with U.S. findings.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Financial 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through private placements of preferred stock, convertible promissory notes, net proceeds from issuance of common stock in our IPO, our subsequent Follow-On Public Offerings and our 2023 ATM Prospectus, as well as proceeds from net product sales, our China Out-License, and drawdowns from the 2024 Credit Facility and the previous loan and security agreement with Hercules Capital, Inc. and Silicon Valley Bank, a division of First Citizens Bank &amp; Trust Company (the “2022 Credit Facility”, and collectively the “Credit Facilities”).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have incurred significant net operating losses (“NOLs”) in every year since our inception and expect to continue to incur significant operating expenses as we continue to commercialize XDEMVY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as we advance our other product candidates through clinical trials, regulatory submissions, and potential commercialization. Our net losses were $7.0 million and $25.1 million for the three months ended March 31, 2026 and 2025,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w:t>
      </w:r>
      <w:r>
        <w:rPr>
          <w:color w:val="000000"/>
        </w:rPr>
        <w:t xml:space="preserve"> </w:t>
      </w:r>
      <w:r>
        <w:rPr>
          <w:rFonts w:ascii="Times New Roman;serif" w:hAnsi="Times New Roman;serif"/>
          <w:b w:val="false"/>
          <w:color w:val="000000"/>
          <w:sz w:val="20"/>
        </w:rPr>
        <w:t>and our other product candidates for which we obtain regulatory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the clinical development of various pipeline programs, including TP-04 for the potential treatment of ocular rosacea and TP-05 for the potential Lyme disease prophylaxis;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hire additional staff, including clinical, scientific, technical, regulatory, marketing, sales, operations, financial, and other support personnel, to execute our business plan;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 information systems and personnel to support our product development and continued commercialization efforts, and to enable us to operate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began generating XDEMVY product sales in August 2023, following FDA approval in July 2023. Our reported revenue within license fees and collaboration revenue is from our China Out-License; we expect to report additional revenue under this caption in future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expect to finance our operations through existing capital balances, revenue from product sales,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As of March 31, 2026, our aggregate cash, cash equivalents and marketable securities was $388.7 million – see the section below titled “</w:t>
      </w:r>
      <w:r>
        <w:rPr>
          <w:rFonts w:ascii="Times New Roman;serif" w:hAnsi="Times New Roman;serif"/>
          <w:b w:val="false"/>
          <w:i/>
          <w:color w:val="000000"/>
          <w:sz w:val="20"/>
        </w:rPr>
        <w:t>Management’s Discussion and Analysis of Financial Condition and Results of Operations — 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the Macroeconomic Environment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Recent global economic conditions have been marked by significant volatility and heightened trade tensions. In addition, persistent inflationary pressures, a prolonged higher interest rate environment, energy supply disruptions in certain regions, evolving trade policies, including increased tariffs, regulatory uncertainty, and ongoing and emerging geopolitical conflicts, including war, have contributed to regional and global macroeconomic challenges. These conditions have created uncertainty in global markets and may continue to impact economic conditions for an extended period.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See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Item 1A of Part II of this Quarterly Report on Form 10-Q, for a further discussion of the potential adverse impact of unfavorable global and geopolitical economic conditions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w:t>
      </w:r>
    </w:p>
    <w:tbl>
      <w:tblPr>
        <w:tblW w:w="7545" w:type="dxa"/>
        <w:jc w:val="left"/>
        <w:tblInd w:w="0" w:type="dxa"/>
        <w:tblLayout w:type="fixed"/>
        <w:tblCellMar>
          <w:top w:w="28" w:type="dxa"/>
          <w:left w:w="28" w:type="dxa"/>
          <w:bottom w:w="28" w:type="dxa"/>
          <w:right w:w="28" w:type="dxa"/>
        </w:tblCellMar>
      </w:tblPr>
      <w:tblGrid>
        <w:gridCol w:w="1384"/>
        <w:gridCol w:w="1216"/>
        <w:gridCol w:w="1224"/>
        <w:gridCol w:w="196"/>
        <w:gridCol w:w="738"/>
        <w:gridCol w:w="109"/>
        <w:gridCol w:w="109"/>
        <w:gridCol w:w="109"/>
        <w:gridCol w:w="109"/>
        <w:gridCol w:w="196"/>
        <w:gridCol w:w="723"/>
        <w:gridCol w:w="109"/>
        <w:gridCol w:w="109"/>
        <w:gridCol w:w="109"/>
        <w:gridCol w:w="109"/>
        <w:gridCol w:w="196"/>
        <w:gridCol w:w="64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recognized revenue of $145.4 million and $78.3 million, respectively, from product sales, net of rebates, chargebacks, discounts, and other adjustments. This increase in revenue was driven by higher volume and improvement in the gross-to-net discounts.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Fees and Collaboration Revenue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For three months ended March 31, 2026, we recognized $16.7 million in license fees and collaboration revenue related to (i) a $15.0 million regulatory milestone achievement under the China Out-License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and (ii) $1.7 million of required China withholding tax payable by GrandPharma on the associated milestone (see </w:t>
      </w:r>
      <w:r>
        <w:rPr>
          <w:rFonts w:ascii="Times New Roman;serif" w:hAnsi="Times New Roman;serif"/>
          <w:b w:val="false"/>
          <w:i/>
          <w:color w:val="000000"/>
          <w:sz w:val="20"/>
        </w:rPr>
        <w:t>Note 11)</w:t>
      </w:r>
      <w:r>
        <w:rPr>
          <w:rFonts w:ascii="Times New Roman;serif" w:hAnsi="Times New Roman;serif"/>
          <w:b w:val="false"/>
          <w:color w:val="000000"/>
          <w:sz w:val="20"/>
        </w:rPr>
        <w:t>. The milestone payment was recorded on a gross basis, which increased license fees and collaboration revenue by $1.7 million, with an equal offsetting amount recorded as foreign tax expense within provision for income taxes. During the three months ended March 31, 2025, we did not recognize any license fees and collaboration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recognized $9.4 million and $5.2 million, respectively, in cost of sales for XDEMVY, and gross margins remained consistent at 94% and 93% for the respective periods. Cost of sales consists of direct and indirect costs related to the manufacturing and distribution of XDEMVY, including raw materials,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party manufacturing costs, packaging services, freight-in, third-party royalties payable on our product sales, net, and amortization of capitalized intangible assets associated with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893" w:type="dxa"/>
        <w:jc w:val="left"/>
        <w:tblInd w:w="0" w:type="dxa"/>
        <w:tblLayout w:type="fixed"/>
        <w:tblCellMar>
          <w:top w:w="28" w:type="dxa"/>
          <w:left w:w="28" w:type="dxa"/>
          <w:bottom w:w="28" w:type="dxa"/>
          <w:right w:w="28" w:type="dxa"/>
        </w:tblCellMar>
      </w:tblPr>
      <w:tblGrid>
        <w:gridCol w:w="1101"/>
        <w:gridCol w:w="971"/>
        <w:gridCol w:w="973"/>
        <w:gridCol w:w="211"/>
        <w:gridCol w:w="695"/>
        <w:gridCol w:w="117"/>
        <w:gridCol w:w="117"/>
        <w:gridCol w:w="117"/>
        <w:gridCol w:w="117"/>
        <w:gridCol w:w="211"/>
        <w:gridCol w:w="695"/>
        <w:gridCol w:w="117"/>
        <w:gridCol w:w="109"/>
        <w:gridCol w:w="109"/>
        <w:gridCol w:w="109"/>
        <w:gridCol w:w="196"/>
        <w:gridCol w:w="556"/>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Compensation and personnel-related </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 expenses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Research and development expenses increased by $7.9 million for the three months ended March 31, 2026, as compared to the prior year period. The increase was primarily due to (i) $3.7 million of increased payroll and personnel-related costs (including increased stock-based compensation expense of $1.5 million) related to employee additions to drive our product development initiatives, (ii) $2.0 million related to an upfront payment upon execution of a new in-license agreement (see </w:t>
      </w:r>
      <w:r>
        <w:rPr>
          <w:rFonts w:ascii="Times New Roman;serif" w:hAnsi="Times New Roman;serif"/>
          <w:b w:val="false"/>
          <w:i/>
          <w:color w:val="000000"/>
          <w:sz w:val="20"/>
        </w:rPr>
        <w:t xml:space="preserve">Note 8), </w:t>
      </w:r>
      <w:r>
        <w:rPr>
          <w:rFonts w:ascii="Times New Roman;serif" w:hAnsi="Times New Roman;serif"/>
          <w:b w:val="false"/>
          <w:color w:val="000000"/>
          <w:sz w:val="20"/>
        </w:rPr>
        <w:t>and (iii) $1.4 million of increased TP-05 program expenses related to our Calliope Trial that was initiated in March 2026. These increases were partially offset by a decrease of $0.3 million of TP-04 program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$51.4 million for the three months ended March 31, 2026, as compared to the prior year period. The increase was due to (i) $25.7 million of increased commercial and marketing costs, including DTC advertising costs, as we continue to expand our promotional efforts for XDEMVY’s commercial launch, (ii) $21.2 million of increased patient support functions, information technology, legal, and professional expenses, and (iii) $4.5 million of increased payroll and personnel-related costs (including increased stock-based compensation expense of $3.5 million) for commercial and corporate employee additions to support our business growth and commercial leadership hires for XDEMVY. We expect increased vendor expenses in 2026 due to further growth and expansion of our commercial activities for XDEMVY and other corporate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income (expense), net for the three months ended March 31, 2026 increased by $0.3 million primarily due to increased interest income earned on our cash, cash equivalents and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2025, the OBBB Act was enacted in the U.S., which contains a broad range of tax reform provisions affecting businesses, including permitting the immediate expensing of domestic research and development expenditures. Provision for income taxes was $2.4 million for the three months ended March 31, 2026, primarily due to (i) $0.7 million of state income tax expense resulting from states that do not conform to the OBBB Act and therefore continue to require the capitalization and amortization of domestic research and development expenditures and (ii) $1.7 million of foreign withholding tax expense in connection with our China Out-License and a milestone that was achieved during the three months ended March 31, 2026. There was no provision for income taxes recorded during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financed our operations substantially through private placements of preferred stock, convertible promissory notes, net proceeds from the issuance of common stock through our IPO, Follow-on Public Offerings, and the 2023 ATM Prospectus, as well as proceeds from net product sales, the China Out-License, and drawdowns from our Credit Facilities. As of March 31, 2026, we had cash, cash equivalents and marketable securities of $388.7 million.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an automatic shelf registration statement on Form S-3 ASR (the “2024 Shelf Registration Statement”). In March 2025, we completed an underwritten follow-on public offering under the 2024 Shelf Registration Statement pursuant to which we sold 2,808,988 shares of our common stock at a price to the public of $44.50 per share. We also granted the underwriters a 30-day option to purchase up to 421,348 additional shares of our common stock at the public offering price of $44.50 per share, which the underwriters exercised in full in March 2025. We received $134.8 million of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have received $86.1 million of total proceeds in connection with our China Out-License comprised of (i) $15.0 million of initial consideration, (ii) $67.5 million for the achievement of specified milestones, and (iii) $3.6 million related to the transition of the China Out-License from LianBio to GrandPharma.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are eligible to receive further consideration from GrandPharma upon the achievement of additional TP-03 events, including: (i) additional regulatory approval and/or patent issuance milestones and one-time payments of up to an aggregate of $20.0 million (of which $15.0 million was achieved in March 2026 and the Company is awaiting the corresponding cash receipt); (ii) China-based TP-03 sales threshold milestones of up to an aggregate of $100.0 million; and (iii) tiered low to high-teen royalties for China Territory TP-03 product sales.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April 2024, we executed the 2024 Credit Facility with Pharmakon with</w:t>
      </w:r>
      <w:r>
        <w:rPr>
          <w:color w:val="000000"/>
          <w:shd w:fill="FFFFFF" w:val="clear"/>
        </w:rPr>
        <w:t xml:space="preserve"> </w:t>
      </w:r>
      <w:r>
        <w:rPr>
          <w:rFonts w:ascii="Times New Roman;serif" w:hAnsi="Times New Roman;serif"/>
          <w:b w:val="false"/>
          <w:color w:val="000000"/>
          <w:sz w:val="20"/>
          <w:shd w:fill="FFFFFF" w:val="clear"/>
        </w:rPr>
        <w:t>maturity in April 2029</w:t>
      </w:r>
      <w:r>
        <w:rPr>
          <w:rFonts w:ascii="Times New Roman;serif" w:hAnsi="Times New Roman;serif"/>
          <w:b w:val="false"/>
          <w:color w:val="000000"/>
          <w:sz w:val="20"/>
        </w:rPr>
        <w:t xml:space="preserve">. The 2024 Credit Facility is collateralized by substantially all of our presently existing and subsequently acquired assets. </w:t>
      </w:r>
      <w:r>
        <w:rPr>
          <w:rFonts w:ascii="Times New Roman;serif" w:hAnsi="Times New Roman;serif"/>
          <w:b w:val="false"/>
          <w:color w:val="000000"/>
          <w:sz w:val="20"/>
          <w:shd w:fill="FFFFFF" w:val="clear"/>
        </w:rPr>
        <w:t>Upon execution, we made</w:t>
      </w:r>
      <w:r>
        <w:rPr>
          <w:color w:val="000000"/>
        </w:rPr>
        <w:t xml:space="preserve"> </w:t>
      </w:r>
      <w:r>
        <w:rPr>
          <w:rFonts w:ascii="Times New Roman;serif" w:hAnsi="Times New Roman;serif"/>
          <w:b w:val="false"/>
          <w:color w:val="000000"/>
          <w:sz w:val="20"/>
        </w:rPr>
        <w:t>a $75.0 million draw from the initial tranche, a portion of which was utilized to repay all outstanding indebtedness associated with the 2022 Credit Facility,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w:t>
      </w:r>
      <w:r>
        <w:rPr>
          <w:color w:val="000000"/>
        </w:rPr>
        <w:t xml:space="preserve"> </w:t>
      </w:r>
      <w:r>
        <w:rPr>
          <w:rFonts w:ascii="Times New Roman;serif" w:hAnsi="Times New Roman;serif"/>
          <w:b w:val="false"/>
          <w:color w:val="000000"/>
          <w:sz w:val="20"/>
        </w:rPr>
        <w:t xml:space="preserve">achieving minimum net sales milestones, which were met. We did not draw on any of the three additional tranches, each of which expired on December 31, 2024, June 30, 2025, and December 31, 2025. </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2024 Credit Facility bears interest at a floating rate based upon the secured overnight financing rate (“SOFR”), plus a margin of 6.75% per annum. The SOFR is subject to a 3.75% floor. </w:t>
      </w:r>
      <w:r>
        <w:rPr>
          <w:rFonts w:ascii="Times New Roman;serif" w:hAnsi="Times New Roman;serif"/>
          <w:b w:val="false"/>
          <w:color w:val="000000"/>
          <w:sz w:val="20"/>
        </w:rPr>
        <w:t xml:space="preserve">The 2024 Credit Facility contains representations and warranties, affirmative and negative covenants in each case. </w:t>
      </w:r>
      <w:r>
        <w:rPr>
          <w:rFonts w:ascii="Times New Roman;serif" w:hAnsi="Times New Roman;serif"/>
          <w:b w:val="false"/>
          <w:color w:val="000000"/>
          <w:sz w:val="20"/>
          <w:shd w:fill="FFFFFF" w:val="clear"/>
        </w:rPr>
        <w:t>There is also no warrant coverage to the lenders and no financial covenants associated with the financing.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$433.6 million and $426.6 million as of March 31,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marketable securities of $388.7 million as of March 31, 2026, is sufficient to fund our current and planned operations for at least the next twelve months from the date of filing this Quarterly Report on Form 10-Q.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Shelf Registration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November 2023, we filed a shelf registration statement on Form S-3 that was declared effective by the SEC on November 21, 2023, (the “2023 Shelf Registration Statement”), and as part of the 2023 Shelf Registration Statement, we concurrently filed the 2023 ATM Prospectus with Jefferies. The 2023 ATM Prospectus covers the sale of up to $100.0 million of our common stock pursuant to an Open Market Sales Agreement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Liquidity Risks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generated revenue from the launch of XDEMVY, we could incur operating losses in the future as we expand our clinical development programs for our other product candidates and continue to commercialize XDEMVY. We may also encounter unforeseen expenses, difficulties, complications, delays and other currently unknown factors that could adversely affect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achievement of milestones or occurrence of other developments that trigger payments under any collaboration agreements we might have at such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Statements of Cash Flows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cash equivalents and restricted cash for each of the periods presented below:</w:t>
      </w:r>
    </w:p>
    <w:tbl>
      <w:tblPr>
        <w:tblW w:w="7359" w:type="dxa"/>
        <w:jc w:val="center"/>
        <w:tblInd w:w="0" w:type="dxa"/>
        <w:tblLayout w:type="fixed"/>
        <w:tblCellMar>
          <w:top w:w="28" w:type="dxa"/>
          <w:left w:w="28" w:type="dxa"/>
          <w:bottom w:w="28" w:type="dxa"/>
          <w:right w:w="28" w:type="dxa"/>
        </w:tblCellMar>
      </w:tblPr>
      <w:tblGrid>
        <w:gridCol w:w="1786"/>
        <w:gridCol w:w="1564"/>
        <w:gridCol w:w="1585"/>
        <w:gridCol w:w="196"/>
        <w:gridCol w:w="721"/>
        <w:gridCol w:w="109"/>
        <w:gridCol w:w="109"/>
        <w:gridCol w:w="109"/>
        <w:gridCol w:w="109"/>
        <w:gridCol w:w="196"/>
        <w:gridCol w:w="721"/>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increase in cash, cash equivalents and restricted cash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$24.7 million for the three months ended March 31, 2026, which primarily consisted of a net loss of $7.0 million and a net decrease in operating assets and liabilities of $29.5 million, partially offset by non-cash charges of $11.8 million. Our cash outflows primarily related to: (i) $214.5 million of vendor payments, (ii) $36.4 million of personnel-related costs, and (iii) $9.1 million of royalty payments. These cash outflows were partially offset by cash receipts of $234.8 million related to XDEMVY net product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$20.7 million for the three months ended March 31, 2025, which primarily consisted of a net loss of $25.1 million and a net decrease in operating assets and liabilities of $1.9 million, partially offset by non-cash charges of $6.4 million. Our cash outflows primarily related to: (i) $108.4 million of vendor payments, (ii) $30.7 million of personnel-related costs, and (iii) $3.3 million of royalty payments. These cash outflows were partially offset by cash receipts of $122.8 million related to XDEMVY net product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$58.6 million for the three months ended March 31, 2026, and related to $126.8 million of purchased marketable securities and $5.8 million of purchased property and equipment, partially offset by $74.1 million of proceeds from maturities of marketable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$34.9 million for the three months ended March 31, 2025, and related to $125.6 million of purchased marketable securities and $0.6 million of purchased property and equipment, partially offset by $91.2 million of proceeds from maturities of marketable securities.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$1.2 million for the three months ended March 31, 2026, and related to proceeds from employee stock option exercises.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$136.6 million for the three months ended March 31, 2025, and related to $135.1 million of net proceeds from the issuance of common stock in the March 2025 Public Offering and $1.4 million of proceeds from employee stock option exercises.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Condensed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 A summary of our critical accounting policies is presented in our filed Annual Report on Form 10-K for the year ended December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the notes to our financial statements also included in this Quarterly Report on Form 10-Q, we believe this critical accounting policy is the most important to understanding and evaluating our reported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Rebates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are based on data received from our customers. The estimates for rebates under government programs are based on statutory discount rates and expected utilization as well as historical data we have accumulated since product launch. We calculate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description of recent accounting pronouncements that may potentially impact our financial position, results of operations or cash flows is disclosed in the notes to which they relate within these accompanying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risks during the three months ended March 31,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risk inherent in our financial instruments and in our financial position represents the potential loss arising from adverse changes in interest rates. As of March 31, 2026, we had cash, cash equivalents and marketable securities of $388.7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$75.0 million of debt principal outstanding. Our 2024 Credit Facility accrues interest at a floating rate based upon the secured overnight financing rate (“SOFR”), plus a margin of 6.75% per annum. The SOFR is subject to a 3.75% floor. As a result, we are exposed to risks related to our indebtedness from changes in interest rates. We do not believe that a hypothetical 100 basis point increase or decrease in the applicable interest rate would have had a significant impact on our interest expense for the three months ended March 31,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Conclusions Regarding the Effectiveness of Disclosure Controls and Procedures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Security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March 31, 2026. Based upon that evaluation, our Chief Executive Officer and Chief Financial Officer have concluded that, as of March 31, 2026, the Company’s disclosure controls and procedures were effective to provide reasonable assurance that information we are required to disclose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before="0" w:after="0"/>
        <w:ind w:left="0" w:right="0" w:firstLine="979"/>
        <w:jc w:val="left"/>
        <w:rPr/>
      </w:pPr>
      <w:r>
        <w:rPr/>
      </w:r>
    </w:p>
    <w:p>
      <w:pPr>
        <w:pStyle w:val="TextBody"/>
        <w:bidi w:val="0"/>
        <w:spacing w:lineRule="auto" w:line="276" w:before="0" w:after="0"/>
        <w:jc w:val="left"/>
        <w:rPr/>
      </w:pPr>
      <w:r>
        <w:rPr>
          <w:rFonts w:ascii="Times New Roman;serif" w:hAnsi="Times New Roman;serif"/>
          <w:b/>
          <w:i/>
          <w:color w:val="000000"/>
          <w:sz w:val="20"/>
        </w:rPr>
        <w:t>We are a commercial stage biopharmaceutical company with a limited operating history and a single product approved for commercial sale. While we have generated revenue from the launch of XDEMVY</w:t>
      </w:r>
      <w:r>
        <w:rPr>
          <w:rFonts w:ascii="null;sans-serif" w:hAnsi="null;sans-serif"/>
          <w:b/>
          <w:i/>
          <w:color w:val="000000"/>
          <w:sz w:val="20"/>
        </w:rPr>
        <w:t xml:space="preserve">® </w:t>
      </w:r>
      <w:r>
        <w:rPr>
          <w:rFonts w:ascii="Times New Roman;serif" w:hAnsi="Times New Roman;serif"/>
          <w:b/>
          <w:i/>
          <w:color w:val="000000"/>
          <w:sz w:val="20"/>
        </w:rPr>
        <w:t>(lotilaner ophthalmic solution) 0.25%, we have continued to incur losses and negative cash flows from operations since our inception and anticipate that we could continue to incur significant expenses and potential losses in the future.</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have one product, XDEMVY®, formerly known as TP-03, which obtained Food and Drug Administration (“FDA”) approval for the treatment of </w:t>
      </w:r>
      <w:r>
        <w:rPr>
          <w:rFonts w:ascii="Times New Roman;serif" w:hAnsi="Times New Roman;serif"/>
          <w:b w:val="false"/>
          <w:i/>
          <w:color w:val="000000"/>
          <w:sz w:val="20"/>
        </w:rPr>
        <w:t>Demode</w:t>
      </w:r>
      <w:r>
        <w:rPr>
          <w:rFonts w:ascii="Times New Roman;serif" w:hAnsi="Times New Roman;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2023 ATM Prospectus, as well as proceeds from product sales, net, our China Out-License and draws from our Credit Facilities. For the three months ended March 31, 2026 and 2025 our net losses were $7.0 million and $25.1 million, respectively. As of March 31, 2026 and December 31, 2025, we had an accumulated deficit of $433.6 million and $426.6 million, respectively. Additionally, the net losses we incur may fluctuate significantly from quarter to quarter such that a period-to-period comparison of our results of operations may not be a good indicator of our future performance. The size of potential future net losses will depend, in part, on the rate of future growth of our expenses and our ability to generate revenue. We initiated sales and marketing activities to commercialize XDEMVY in August 2023. We could potentially incur operating losses in the future until our revenue from product sales from XDEMVY and any other approved products exceeds expenses. We may never achieve profitability and, even if we do, we may not be able to sustain or increase our profitability. Our prior losses, combined with potential future losses, have had and could continue to have an adverse effect on our accumulated deficit and working capital.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continue incurring significant expenses and potential operating losses in the future. We expect that our expenses will increase substantially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prepare for and initiate additional preclinical, clinical and other studies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 or add additional manufacturers or suppliers, some of which may require additional permits or other governmental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are any third-party challenges to our intellectual property or we need to defend against any intellectual property-related claim.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our operational, financial and management controls, reporting systems and procedures.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continue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employees, consultants and advisors and to attract, retain and motivate qualified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contract manufacturing organizations (“CMOs”),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 attacks by malicious third parties (including the deployment of harmful malware, ransomware, denial-of-service attacks, social engineering and other means to affect service reliability and threaten the confidentiality, integrity and availability of information), including those arising from the use or misuse of AI or automated technologies, which may compromise our system infrastructure or lead to data leakage. Further, due to the political uncertainty involving Russia and Ukraine and conflict in the Middle East,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The increasing use of AI technologies, including by us and by third-party vendors, may further increase cybersecurity and data protection risks, including through the processing of sensitive or confidential information in ways that may be difficult to monitor, control, or fully secure. Our inability to use or access our information systems at critical points in time could adversely affect the timely and efficient operation of our business. As another example, any data integrity failure could impact our ability to disclose legally required information such, as for example, payments made under the federal Physician Payments Sunshine Act (or similar state or foreign law equivalents),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as of 2022), as well as information regarding ownership and investment interests held by physicians and their immediate family members, which could subject us to liability.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maintain specific coverage to mitigate losses associated with certain cybersecurity incidents that impact our or our third parties’ systems, networks, and technologies. However, such coverage may not be adequate to cover any liabilities that we incur.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inability or delay of our efforts to commercialize XDEMVY or any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demand for XDEMVY or any product candidates or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recalls, withdrawals or new labeling requirements, marketing or promotional restrictions;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Unfavorable global and geopolitical economic conditions, including tariffs, could adversely affect our business, financial condition or results of operations.</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We maintain a significant portfolio of investments disclosed as cash equivalents and marketable securities in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U.S. government has made statements and taken certain actions including the imposition of tariffs, that have led to changes in U.S. and international trade policies towards China and other countries. It remains unclear what additional actions, if any, will be taken by the U.S. or other governments with respect to international trade agreements, the imposition of tariffs on goods imported into the United States, tax policy related to international commerce, or other trade matters or whether the imposition of tariffs will be upheld by courts or other governmental bodies. For example, on February 20, 2026, the U.S. Supreme Court struck down the international tariffs imposed by President Trump in 2025. In response to the U.S. Supreme Court ruling, President Trump implemented a 150-day “global tariff” of 10% effective February 24, 2026, using presidential powers under the Trade Act of 1974, and indicated a desire to increase such tariffs to 15% and to seek to extend such tariffs under other statutes. Additionally, on April 2, 2026, President Trump issued a proclamation under Section 232 of the Trade Expansion Act (the “2026 Proclamation”) imposing additional tariffs of up to 100% ad valorem on imports of certain patented pharmaceuticals and associated pharmaceutical ingredients, with rates and effective dates varying by company status, country of origin, and onshoring or MFN pricing commitments. We are closely monitoring changes and developments in international trade policy and assessing the potential impact of these and other trade policy changes on our business operations and financial performance and these or other trade policy changes could significantly increase our cost of goods, disrupt supply chains, or adversely affect our gross margins.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capital controls or tariffs, or any countermeasures imposed in response thereto, may negatively affect the demand and competitive position of our product or future products to the extent any of our product candidates are approved for commercial sale, negatively affect our costs, or negatively impact our supply chain, among other potential negative impacts. If any tariffs are reinstated, any new tariffs, legislation and/or regulations are implemented, or if existing trade agreements are renegotiated or, in particular, if the U.S. government, or other governments take retaliatory trade actions due to the recent trade tensions, including U.S.-China trade tensions, such changes could have a materially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and clinical development timelines could be adversely affected by health epidemics in regions where we have concentrations of clinical trial sites or other business operations, and could cause significant disruption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experience disruptions that could severely impact our business, preclinical studies, and clinical trials,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and supply chain disruptions;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recruiting or retaining patients for our planned clinical trials if patients are affected by the disease outbreak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in the operations of the FDA which may impact review and approval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to our sourced discovery and clinical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lineRule="auto" w:line="288" w:before="240" w:after="283"/>
        <w:ind w:left="0" w:right="0" w:firstLine="979"/>
        <w:jc w:val="left"/>
        <w:rPr/>
      </w:pPr>
      <w:r>
        <w:rPr>
          <w:rFonts w:ascii="Times New Roman;serif" w:hAnsi="Times New Roman;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epidemic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Development and Commercialization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commercialization of XDEMVY becomes unsuccessful or any future approved product launches are unsuccessful, our ability to become or remain profitable may be unsuccessful.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received approval by the FDA for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Eye Care Professionals (“ECPs”) and third-party payers. Further, our commercial success is dependent on our ability to educate ECPs, patients and others in the medical community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If XDEMVY, or any other future approved product, does not achieve an adequate level of acceptance, coverage, pricing or reimbursement, we may not generate significant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product sales and we may not be profitable. Even if we continue to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lineRule="auto" w:line="288" w:before="240" w:after="283"/>
        <w:ind w:left="0" w:right="0" w:firstLine="979"/>
        <w:jc w:val="left"/>
        <w:rPr/>
      </w:pPr>
      <w:r>
        <w:rPr>
          <w:rFonts w:ascii="Times New Roman;serif" w:hAnsi="Times New Roman;serif"/>
          <w:b w:val="false"/>
          <w:color w:val="000000"/>
          <w:sz w:val="20"/>
        </w:rPr>
        <w:t>If we are unsuccessful in accomplishing our objectives, or if our commercialization efforts do not continue to develop as planned, we may not be able to continue to successfully commercialize XDEMVY or any future approved products, we may require significant additional capital and financial resources, we may not become or remain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dependent on the continued successful commercialization of XDEMVY and the successful development, regulatory approvals, and commercialization of our current and future product candidates.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currently have one product approved for commercial sale, XDEMVY, which was approved by the FDA in July 2023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in the U.S. The success of our business, including our ability to generate revenue from product sales in the future, will primarily depend on the continued successful commercialization of XDEMVY and the successful development, regulatory approvals and commercialization of our product candidates in one or more jurisdictions. Our ability to continue to generate revenue and potentially achieve profitability or remain profitable depends significantly on our ability, or any future collaborator’s ability, to achieve a number of challenging objectives,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and timely completion of preclinical and clinical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successfully educating ECPs about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related diagnosis;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commercial acceptance of XDEMVY and any of our other product candidates by patients, the medical community and third-party payers, including our direct-to-consumer (“DTC”) television advertising campaign;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relationships with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 IND prior to commencing clinical trials in the U.S. for drug for a particular indication, such as TP-04 for the potential treatment of ocular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protecting our rights in our intellectual property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defending against third-party opposition, re-examination, interference or infringement claims,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ultimately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the only other treatments included over-the-counter and off-label remedies such as tea tree oil, lid wipes and artificial tears, as well as off-label prescription products. Efforts to educate the medical community, patients and third-party payers on the benefits of XDEMVY and our other product candidates has required and may continue to require significant resources and we may not ultimately be successful.</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Although XDEMVY is approved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we have been able to successfully commercialize XDEMVY up to this point, ECPs and potential patients may not ultimately have sufficient information about, or recognize the need for a treatment specifically targeting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It is possible that some ECPs may continue to rely on other treatments for treating symptoms consistent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 key tenet of our continued commercialization strategy is to educate ECPs 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how to diagnose it with a simple slit lamp examination as well as raise patient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However, our efforts may prove to be unsuccessful, and we may not be able to completely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because of the possibility that the disease will recur despite mite eradication, or after adoption fail to continue to use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perception by patients or physicians that the diseases we are targeting, including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requirements and potential additional restrictions by the FDA or other regulatory authorities on direct-to-consumer advertising;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restrictions on the use of our products, if approved, together with other medications.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sales, marketing, and distribution of XDEMVY or any future approved products may be unsuccessful or less successful than anticipated. If we are unable to establish sales and marketing capabilities for any of our future approved products or enter into agreements with third parties to sell and market XDEMVY or any future approved products on acceptable terms, we may be unable to continue to successfully commercialize XDEMVY or successfully commercialize any future approved products.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our first product, XDEMVY, in the U.S. in August 2023. The success of our continued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substantially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negatively affect the success of our commercialization efforts and business. For example, the commercialization of XDEMVY may not continue to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or continue to develop as planned, we may require significant additional capital and financial resources, we may not become profitable, and we may not be able to compete against more established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in order to continue to successfully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sizes of the market opportunities for our product or product candidates, particularly XDEMVY for the treatment of Demodex 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face significant potential competition in the future,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development and commercialization of new drug products is highly competitive. We may face potential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For example, we are aware that Glaukos Corp. and Aperta Biosciences have initiated Phase 2 trials and Atticus Medical is also performing a clinical trial for the potential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Additionally, while XDEMVY is approved for the treatment of blepharitis 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products, including XDEMVY, outside of the U.S., we will need to comply with additional onerous and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continue to successfully commercialize XDEMVY or successfully commercialize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reputation may suffer and there may be resulting harm to physician or patient acceptance of our product.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erif" w:hAnsi="Times New Roman;serif"/>
          <w:b w:val="false"/>
          <w:color w:val="000000"/>
          <w:sz w:val="20"/>
        </w:rPr>
        <w:t>CMS could also decide to terminate our Medicaid Drug Rebate Program, in which case federal payments may not be available under Medicaid or Medicare Part B for our covered outpatient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Affordable Care Act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Certain pharmacy benefit managers (“PBM”) “accumulator” and “maximizer” programs that attempted to implement these regulations were invalidated by a court, but such programs may continue to negatively affect us in other ways. Our failure to comply with these price reporting and rebate payment options, as well as PBM “accumulator” and “maximizer” programs, could negatively impact our financial results.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the Inflation Reduction Act (“IRA”) established a Medicare Part D inflation rebate scheme, with the first rebate period taking place in the fourth quarter of 2022 through the third quarter of 2023, and a drug price negotiation program, under which the prices for Medicare units of certain high Medicare spend drugs and biologics without generic or biosimilar competition will be capped by reference to, among other things, a specified Non-FAMP, with the first negotiated prices to take effect in 2026. It also makes several changes to the Medicare Part D benefit, including the creation of a new Manufacturer Discount Program (“MDP”) in place of the current coverage gap discount program (which began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accrue rebates for contractually agreed-upon discounts with commercial insurance companies and mandated discounts under government programs such as the Medicaid Drug Rebate Program, Medicare Part D, and other government health care programs in the U.S. Our estimates for expected utilization of commercial insurance rebates are based on data received from its customers. Our estimates for rebates under government programs are based on statutory discount rates and expected utilization as well as historical data it has accumulated since product launch. Our rebate calculations may require estimates, including estimates of customer mix, to determine which product sales will be subject to rebates and the amount of such rebates. We update our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we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must prioritize our research programs and will need to focus our product candidates on the potential treatment of certain indications. Our resource allocation decisions may cause us to fail to capitalize on the most viable commercial products or profitable market opportunities. Our spending on current and future research and development programs for our product candidates may not yield any commercially viable products. If we do not accurately evaluate the commercial potential or target market for our product, indications, and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 Moreover, our business relating to our ability to educate consumers and ECPs about our products including XDEMVY could be adversely affected if regulatory authorities and/or third party media vendors further restrict, or no longer allow pharmaceutical DTC campaigns, including but not limited to television, social media, and/or other media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i/>
          <w:color w:val="000000"/>
          <w:sz w:val="20"/>
        </w:rPr>
        <w:t>If XDEMVY</w:t>
      </w:r>
      <w:r>
        <w:rPr>
          <w:color w:val="000000"/>
        </w:rPr>
        <w:t xml:space="preserve"> </w:t>
      </w:r>
      <w:r>
        <w:rPr>
          <w:rFonts w:ascii="Times New Roman;serif" w:hAnsi="Times New Roman;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we are not permitted to promote XDEMVY for any other uses, unless and until such uses are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replicate the safety and efficacy results of our Phase 2b/3 clinical trials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have the product removed from the market after obtaining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are early in our development efforts for our product candidates and indications, including TP-04 for the treatment of ocular rosacea and TP-05 for potential Lyme disease prophylaxis and community malaria reduction, among others.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to satisfy the preclinical study requirements for TP-04 and TP-05 and other indications. For rosacea, we conducted the Phase 1 Galatea trial with TP-04 and initiated the Phase 2a Galatea trial, for the potential treatment of papulopustular rosacea in March 2023. In February 2024 we announced positive topline results, and after review of the Galatea trial data with the FDA and KOLs, we decided to pursue development of TP-04 for the potential treatment for ocular rosacea. In December 2025, we initiated the KORE Phase 2 trial for the potential treatment of ocular rosacea with topline results expected in the first half of 2027. With respect to Lyme disease, in December 2022 we announced positive topline results from the completed Callisto trial and enrollment of the first patient in the Carpo trial. The Carpo trial evaluated TP-05, an investigational oral systemic,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After discussions with the FDA about our Lyme disease program, they agreed to our proposed approach for a Phase 2 clinical trial of TP-05 which would include several hundred subjects. In March 2026, we initiated a Phase 2 clinical trial (the “Calliope trial”) of TP-05, a novel investigational lotilaner-based oral prophylactic tablet designed to kill ticks before potential disease transmission. Topline results are expected in the first half of 2027, which we believe will have the potential to support a Phase 3-ready package by the end of 2027. Additionally, the FDA confirmed that a Phase 3 clinical trial would require a disease prevention field study that would likely require the enrollment of thousands of patients.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FDA may reject our use of data from TP-03 preclinical studies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experienced delays related to our Carpo Trial with topline results being pushed to February 2024 as a result of patient enrollment delays. The enrollment of patients depends on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completion.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demonstrate efficacy of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In March 2026, GrandPharma obtained regulatory approval of TP-03 in the PRC, following a previous regulatory approval in Macau. The regulatory approval in the PRC, together with a previous patent issuance in the PRC relating to TP-03, triggered a $15.0 million milestone payment to the Company, which was recorded as license fees and collaboration revenue in the accompanying Condensed Statement of Operations and Comprehensive Loss for the three months ended March 31, 2026, and as other receivables in the accompanying Condensed Balance Sheet as of March 31, 2026. As of the date of this filing, it is uncertain if and when we will receive any additional future milestone consideration under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further example of comprehensive and evolving regulatory requirements is data privacy regulations surrounding personal data and protected health information including the EU’s General Data Protection Regulation (“ GDPR”), which imposes strict requirements on controllers and processors of personal data, including special protections for “special category data,” which includes health, biometric and genetic information of data subjects located in the European Economic Area (“EEA”) and the United Kingdom (“UK”). Further, the GDPR provides a broad right for EEA Member States to create supplemental national laws, such as laws relating to the processing of health, genetic and biometric data, which could further limit our ability to use and share such data or could cause our costs to increase, and harm our business and financial condition. Furthermore, there are evolving European privacy laws on electronic marketing and cookies.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obtain reimbursement or pricing approval in some countries, we may be required to conduct a clinical trial that compares the cost-effectiveness of our product candidate to other available therapies. Moreover, policies such as, for example, MFN pricing policies being considered in the U.S. to set pharmaceutical product prices equal to or lower than those paid in other developed nations, could impact whether or not we will continue to pursue development and commercialization of our products and product candidates outside the U.S., potentially adversely affecting the global market potential of our products or product candidates. If reimbursement of our products is unavailable or limited in scope or amount, or if pricing is set at unsatisfactory levels, our business could be harmed, possibly materially.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conducted a number of our completed clinical trials and may conduct ongoing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four in-license agreements including: (i) a license agreement with Elanco Tiergesundheit AG (“Elanco”) for exclusive worldwide rights to certain intellectual property for the development and commercialization of lotilaner in the treatment or cure of any eye or skin disease or condition in humans, as amended in June 2022 and May 2025 (the “Eye and Derm Elanco Agreement”),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and with the Eye and Derm Elanco Agreement, the “Elanco Agreements”), (iii) a license agreement entered into in October 2024 with a third party for the exclusive worldwide rights to develop, manufacture, and commercialize a compound for all ophthalmic uses, and (iv) two license agreements entered into in February 2026 with a third party for the exclusive worldwide rights to develop, manufacture, and commercialize several compounds for all diagnostic, prophylactic, and therapeutic uses, except for a specific field carve-out for a small minority of the compounds to be retained by the licensor. We also entered into the China Out-License as discussed elsewhere herein. We have also entered into and may in the future enter into in-license or out-license agreements with multiple licensors and strategic agreements, which, subject us to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limited operating history may make it difficult for you to evaluate the success of our business to date and to assess our future viability.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longer-term planning for commercialization efforts of XDEMVY and our other potential product candidates, and commercializing XDEMVY.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net product sales, our China Out-License, and draws on our Credit Facilities. We expect our expenses to continue to increase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cash equivalents and marketable securities of $388.7 million as of March 31, 2026 and expected sales of XDEMVY is sufficient to fund our current and planned operations for at least the next twelve months from the date of filing this Quarterly Report on Form 10-Q.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need to raise additional capital to complete the development and commercialization of XDEMVY and our other product candidates through one or more of: equity or debt financings,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manufacturing development and commercial manufacturing activities and our ability to scale them up;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finance our cash needs through existing capital balances, revenue from our net product sales, possible combinations of equity and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March 2024, and March 2025, we completed the Follow-On Public Offerings, in which we received total net proceeds of $74.2 million, $99.3 million, $107.7 million, and $134.8 million, respectively (after deducting underwriting discounts, commissions and other estimated offering-related expenses) through the issuance of 5,889,832 shares of our common stock in the May 2022 Public Offering, 6,069,449 shares of our common stock in the August 2023 Public Offering, 3,281,250 shares of our common stock and, in lieu of common stock to a certain investor, pre-funded warrants to purchase 312,500 shares of our common stock in the March 2024 Public Offering, and 3,230,336 shares of our common stock in the March 2025 Public Offering. Debt financing, if available, may involve agreements that include covenants limiting or restricting our ability to take specific actions. For example, the 2024 Credit Facility with Pharmakon, which provided, among other things, a $75.0 million initial term loan which was drawn in April 2024, restricts our ability to pursue certain transactions that we may believe to be in our best interests without the prior written consent of Pharmakon, including but not limited to: disposing of certain properties or assets, incurring additional indebtedness, granting liens, 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SVB was subsequently transferred into a new entity, Silicon Valley Bridge Bank (“SVBB”)which First Citizens Bank then assumed.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currently maintain cash held on deposit at financial institutions in the U.S.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financial institutions credit agreements and arrangements, and third parties such as beneficiaries of letters of credit (among others), may experience direct impacts from financial institutions in the future and uncertainty remains over liquidity concerns in the broader financial services industry.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existing indebtedness may limit our flexibility in financing and operating our business and adversely affect our business,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2024 we entered into the 2024 Credit Facility with Pharmakon. The 2024 Credit Facility provided a $75.0 million initial term loan which was drawn in April 2024, a portion of which was utilized to repay all outstanding indebtedness,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which were met. We did not draw on any of the three additional tranches of $25.0 million, $50.0 million, and $50.0 million, respectively, each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expired on December 31, 2024, June 30, 2025, and December 31, 2025. The 2024 Credit Facility contains representations and warranties, affirmative and negative covenants in each case, which is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engage in acquisitions or strategic partnerships that could disrupt our business, cause dilution to our stockholders, reduce our financial resources, cause us to incur debt or assume contingent liabilities, and subject us to other risks.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future, we may enter into transactions to acquire other businesses, product candidates,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experienced ownership changes in the past due to several offerings of our common stock and, prior to our IPO, preferred stock. However, we do not believe that these ownership changes will significantly limit our ability to use our pre-change tax attributes. We may experience ownership changes in the future as a result of subsequent shifts in our stock. Similar provisions of state tax law may also apply to limit our use of accumulated state tax attributes. In addition, the use of Federal NOLs generated after the enactment of the Tax Cuts and Jobs Act of 2017 is subject to limitations based on taxable income.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 For example, the Internal Revenue Code tax capitalization rules operative beginning in 2022 required that domestically incurred research and development expenses be capitalized and amortized over a 5-year period for tax purposes. However, The One Big Beautiful Bill Act (the “OBBB Act”), enacted in July 2025, features several tax reforms, including permitting taxpayers to permanently deduct domestic research and development expenses for amounts paid or incurred in tax years beginning after December 31, 2024. The primary impact of the OBBB Act on our U.S. Federal tax provision 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accelerated expensing of domestic R&amp;D activities which reduces our deferred tax assets and valuation allowance. At the state level, domestic R&amp;D expenditure continues to be capitalized and amortized in jurisdictions that do not conform to the federal provisions of the OBBB Act, which results in an increase in our state tax provision.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contract with third parties for the commercial manufacture of XDEMVY and for the manufacture of our product candidates for preclinical studies, clinical trials and eventual commercialization. In some instances, we or our third-party contract manufacturers rely on single source suppliers for certain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If the third parties we engage with are unable to supply us with sufficient quantities of XDEMVY or our product candidates, and we are unable to timely establish an alternate supply from one or more third-party manufacturers, we will experience delays in our commercialization and development efforts as we seek to locate and qualify new manufacturers. In particular, any replacement of our third-party manufacturers could require significant effort and expertise because there may be a limited number of qualified replacements or capacity could be limited at each of the qualified replacements. We currently have limited manufacturing arrangements and expect that XDEMVY and each of our product candidates will only be covered by third-party manufacturers, which exacerbates these and other related risks for us. Additionally, we and our third-party contract manufacturers rely, and we expect that we will continue to rely, on single source suppliers for certain materials for our products and product candidates for the foreseeable future. For example, we purchase our API for XDEMVY, lotilaner, from a single source supplier. This reliance on third parties, including single source suppliers, increases the risk that we will not have sufficient quantities of XDEMVY or our product candidates or any future approved products, or such quantities at an acceptable cost or quality, which could delay, prevent or impair our commercialization or development efforts. If current or future suppliers are delayed or unable to supply sufficient materials to manufacture our products and product candidates, we may experience delays in our commercialization and development efforts, which would have an adverse effect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requirements to cease development or to recall batches of XDEMVY or our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the cooperation of an existing or future collaborator, including by Elanco and under the Elanco Agreements;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continue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development and commercialization of our product, or our product candidates, including XDEMVY for the treatment of Demodex blepharitis, TP-04 for the potential treatment of ocular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XDEMVY, TP-03, TP-04 and TP-05 in any country where the license is terminated and could subject us to claims of breach of contract and patent infringement by Elanco if any continued research, development, manufacture or commercialization of XDEMVY,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with a combined condition of patent issuance related to TP-03 in China. In March 2026, GrandPharma obtained regulatory approval of TP-03 in the PRC, following a previous regulatory approval in Macau. The regulatory approval in the PRC, together with a previous patent issuance in the PRC relating to TP-03, triggered a $15.0 million milestone payment to the Company, which was recorded as license fees and collaboration revenue in the accompanying Condensed Statement of Operations and Comprehensive Loss for the three months ended March 31,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other receivables in the accompanying Condensed Balance Sheet as of March 31, 2026. Although we achieved the associated milestone, if the commercialization of TP-03 is unsuccessful in the China Territory this could adversely affect our business.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For example, one of our European patents relating to TP-03 is currently being challenged by third parties in an ongoing opposition proceeding before the European Patent Office.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or inadequate payments of fees based on proper entity status,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commercialization of XDEMVY and the development and potential commercialization of our product candidates will require substantial additional capital to fund expenses. In 2019 and 2020, we entered into the Eye and Derm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Elanco Agreement and the All Human Uses Elanco Agreement, respectively. We have utilized these license rights in developing and marketing XDEMVY, and our TP-03,TP-04 and TP-05 product candidates. We currently are, and also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industry and market conditions generally.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collaborators may not pursue commercialization of any product or product candidates that achieve marketing approval or may elect not to continue or renew commercialization programs based on results of clinical trials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licensing agreement,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 related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have pending U.S. and foreign patent applications in our portfolio, we cannot predict: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For example, as noted above one of our European patents relating to TP-03 is currently being challenged by third parties in an ongoing opposition proceeding before the European Patent Office.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candidates. In the event of litigation or administrative proceedings, we cannot be certain that the claims in any of our issued patents will be considered valid by courts in the U.S. or foreign countries.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for any product candidates we may develop, our business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and other intellectual property rights, which could be expensive, time-consuming and unsuccessful.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of the expense and uncertainty of litigation, we may not be in a position to enforce our intellectual property rights against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or the improper use of artificial intelligences or automated tools) of our trade secrets or proprietary information could enable competitors to duplicate or surpass our technological achievements, thus eroding our competitive position in our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increasing use of artificial intelligence (“AI”) technologies, including generative AI tools, by us, our employees, and third-party vendors may create additional risks to our trade secrets and proprietary information. AI tools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involve the processing, storage, or transmission of data in ways that are not fully transparent and, if used improperly or outside of approved controls, could result in the unintended disclosure, loss, or misuse of confidential or proprietary information. In addition, the use of AI by third parties with whom we share data or collaborate may increase the risk that our trade secrets or proprietary know-how are exposed, incorporated into training data, or otherwise used in ways that could impair our ability to protect or enforce our intellectual property rights.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AI technologies continue to evolve and regulatory and legal standards governing their use remain unsettled, our ability to identify, prevent, or remedy AI-related misuse or misappropriation of our proprietary information may be limited, which could harm our business, financial condition, and competitive position.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it is possible that our pending patent applications will not lead to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ACA substantially changed the way healthcare is financed by both the government and private insurers, and significantly impacted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to 70%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erif" w:hAnsi="Times New Roman;serif"/>
          <w:b w:val="false"/>
          <w:color w:val="000000"/>
          <w:sz w:val="20"/>
        </w:rPr>
        <w:t xml:space="preserve">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 This or any other legislative change could impact the market conditions for our products.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is also pursuing policies intended to, among other things, lower prescription drug prices and enhance drug price transparency. These actions, such as those directed by executive orders, may propose policy changes that create additional uncertainty for our business. For example, on April 15, 2025, the presidential administration released an executive order entitled, “Lower Drug Prices by Once Again Putting Americans First,” which among other things, included multiple directives to various agencies aimed at lowering prescription drug prices. Additionally, on September 30, 2025, the presidential administration announced the first agreement with a major pharmaceutical company that requires the drug manufacturer to offer, through a direct-to-consumer platform, U.S. patients and Medicaid programs prescription drug MFN pricing equal to or lower than those paid in other developed nations, with additional mandates for direct-to-patient discounts and repatriation of foreign revenues. Other recent actions and proposals include, for example, (1) rescinding a Biden administration executive order tasking the Center for Medicare and Medicaid Innovation to consider new payment and healthcare models to limit drug spending and eliminating the Biden administration’s executive order that directed the Department of Health and Human Services (“HHS”) to establishing an AI task force and developing a strategic plan; (2) directing HHS and other agencies to lower prescription drug costs for Medicare through a variety of initiatives, including by improving upon the Medicare Drug Price Negotiation Program and establishing MFN pricing for pharmaceutical products; and (3) directing certain federal agencies to enforce existing law regarding hospital and price plan price transparency and by standardizing prices across hospitals and health plans.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direct-to-consumer marketing and telehealth pilot program may be subject to increased regulatory scrutiny.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September 2025, following the issuance of a presidential memorandum, the FDA issued a large wave of untitled letters to numerous pharmaceutical companies across a wide range of products. These letters warned of increased scrutiny of benefit/risk presentations and claims to promote compliance with “fair balance” guidelines in promotional materials, including DTC campaigns, and stated that the FDA intends to take aggressive action to ensure conformity with the law going forward. In addition, the FDA also issued a number of “cease-and-desist” letters to various companies, alleging false or misleading presentations and misbranding, and requiring rapid remedial action. While we have not received such a “cease-and-desist” letter, the increase in enforcement efforts by the FDA could lead us to modify, pause, or withdraw ads, and could delay campaigns, increase compliance costs, or adversely affect demand for our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FDA has also specifically targeted DTC television advertisements. Recent enforcement actions against TV ads have cited misleading efficacy claims and presentations that fail to convey a truthful, non-misleading net impression, even where risk information is present. While we believe that our ads are compliant with the FDA’s requirements, if the FDA were to determine that any of our ads are misleading or unbalanced, we could receive untitled or warning letters and be required to cease dissemination of such ads, undertake corrective advertising, or face other penalties, any of which could harm our reputation and commercial performance.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TV ads must comply with the FDA’s “clear, conspicuous, and neutral” (“CCN”) standards. The final rule was issued on November 21, 2023 and became effective on May 20, 2024, with compliance required as of November 20, 2024. The FDA’s Office of Prescription Drug Promotion (“OPDP”) reviews draft DTC TV ads for CCN compliance, and the agency has emphasized the industry’s obligation to bring ads into compliance. Failure to meet these standards, for example, by using distracting visuals and audio, overly technical wording, or insufficient prominence, could result in enforcement by the FDA, required changes to our ads, or campaign delays.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we have recently entered into an agreement with a third party telemedicine platform vendor, pursuant to which the vendor’s own telemedicine healthcare providers may prescribe our product or other products in their medical discretion to potential customers via telehealth. Telemedicine faces particularly intense scrutiny from regulators due to numerous cases of companies failing to operate in this space with a properly functioning regulatory and compliance infrastructure and we cannot guarantee that we will be able to establish or maintain relationships with telemedicine platform vendors now or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Regulatory expectations and enforcement priorities are evolving and may continue to evolve in the future. If our interpretation of applicable requirements differs from the FDA’s, or if guidance changes, we may incur additional review cycles, production costs, and operational burden (e.g., corrective messaging), and our commercialization plans and revenues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 sell and distribute our products. As a biopharmaceutical company, federal and state healthcare laws and regulations pertaining to fraud and abuse are applicable to our business and may affect our ability to operate.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products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Although a recent government shutdown occurred from October 1, 2025 through November 12, 2025, it is always uncertain how long any such government shutdown will last or whether another shutdown will occur.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100"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101"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lineRule="auto" w:line="288" w:before="240" w:after="283"/>
        <w:ind w:left="0" w:right="0" w:firstLine="979"/>
        <w:jc w:val="left"/>
        <w:rPr/>
      </w:pPr>
      <w:r>
        <w:rPr>
          <w:rFonts w:ascii="Times New Roman;serif" w:hAnsi="Times New Roman;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erif" w:hAnsi="Times New Roman;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102"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UK, as well as other jurisdictions where we may in the future operate, have adopted data protection laws and regulations, which impose significant compliance obligations. For example, the EU General Data Protection Regulation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 and the European Data Protection Board that compliance with EU data transfer obligations involves conducting transfer impact assessments, which includes documenting detailed analyses of data access and protection laws in the countries in which data importers are located,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103"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can be costly and time-consuming.</w:t>
      </w:r>
      <w:r>
        <w:rPr>
          <w:color w:val="000000"/>
        </w:rPr>
        <w:t xml:space="preserve"> </w:t>
      </w:r>
      <w:r>
        <w:rPr>
          <w:rFonts w:ascii="Times New Roman;serif" w:hAnsi="Times New Roman;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stock price of our common stock may be volatile or may decline regardless of our operating performance and you could lose all or part of your investment.</w:t>
      </w:r>
    </w:p>
    <w:p>
      <w:pPr>
        <w:pStyle w:val="TextBody"/>
        <w:bidi w:val="0"/>
        <w:spacing w:lineRule="auto" w:line="288" w:before="240" w:after="283"/>
        <w:ind w:left="0" w:right="0" w:firstLine="979"/>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rPr>
        <w:t>our failure to achieve product development or commercialization goals or regulatory approval milestones in the timeframe we announce;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expenses related to future product candidates or clinical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685"/>
                <wp:effectExtent l="0" t="0" r="0" b="0"/>
                <wp:wrapNone/>
                <wp:docPr id="104"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other factors discussed in this report.</w:t>
      </w:r>
      <w:r>
        <w:rPr>
          <w:color w:val="000000"/>
          <w:shd w:fill="FFFFFF" w:val="clear"/>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the price of our common stock to fall.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2026, we had 43,021,312 shares of common stock outstanding. Shares held by directors, executive officers and other affiliates will be subject to volume limitations under Rule 144 under the Securities Act of 1933, as amended, (the “Securities Act”) and various vesting agreements.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685"/>
                <wp:effectExtent l="0" t="0" r="0" b="0"/>
                <wp:wrapNone/>
                <wp:docPr id="105"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common stock, including pursuant to our 2023 ATM Prospectus, convertible securities or other equity securities in one or more transactions at prices and in a manner we determine from time to time. For example, in March 2025, we completed a follow-on public offering of approximately 3.2 million shares of our common stock at a public offering price of $44.50 per share, for aggregate net proceeds of approximately $134.8 million (after deducting underwriting discounts, commissions and other estimated offering-related expenses). In 2023 we raised approximately $19.2 million, after deducting broker commissions and fees, through sales under our 2023 ATM Prospectus.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officers, directors and holders of more than 5% of our outstanding common stock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Requirements associated with being a public company will increase our costs significantly, as well as divert significant company resources and management attention.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106"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erif" w:hAnsi="Times New Roman;serif"/>
          <w:b w:val="false"/>
          <w:color w:val="000000"/>
          <w:sz w:val="20"/>
          <w:shd w:fill="FFFFFF" w:val="clear"/>
        </w:rPr>
        <w:t xml:space="preserve">Our 2024 Credit Facility also contains a negative covenant that prohibits us from paying dividends subject to limited exceptions. </w:t>
      </w:r>
      <w:r>
        <w:rPr>
          <w:rFonts w:ascii="Times New Roman;serif" w:hAnsi="Times New Roman;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changing and volatile U.S., EU and global economic environments, including the impact of current or future health pandemics;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685"/>
                <wp:effectExtent l="0" t="0" r="0" b="0"/>
                <wp:wrapNone/>
                <wp:docPr id="107"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3685"/>
                <wp:effectExtent l="0" t="0" r="0" b="0"/>
                <wp:wrapNone/>
                <wp:docPr id="108"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 2026, Katherine Goodrich, a member of our Board of Directors, adopted a Rule 10b5-1 trading plan to satisfy the affirmative defense of Rule 10b5-1(c) under the Exchange Act. The plan provides for the sale of up to 5,187 shares of common stock held by Ms. Goodrich between June 12, 2026 and June 2, 2027.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our other officers or directors, as defined in Rule 16a-1(f), informed us of an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685"/>
                <wp:effectExtent l="0" t="0" r="0" b="0"/>
                <wp:wrapNone/>
                <wp:docPr id="109"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240" w:after="283"/>
        <w:ind w:left="0" w:right="0" w:firstLine="99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2"/>
        <w:gridCol w:w="233"/>
        <w:gridCol w:w="109"/>
        <w:gridCol w:w="109"/>
        <w:gridCol w:w="109"/>
        <w:gridCol w:w="1649"/>
        <w:gridCol w:w="1649"/>
        <w:gridCol w:w="1665"/>
        <w:gridCol w:w="170"/>
        <w:gridCol w:w="170"/>
        <w:gridCol w:w="171"/>
        <w:gridCol w:w="259"/>
        <w:gridCol w:w="259"/>
        <w:gridCol w:w="260"/>
        <w:gridCol w:w="500"/>
        <w:gridCol w:w="500"/>
        <w:gridCol w:w="501"/>
        <w:gridCol w:w="150"/>
        <w:gridCol w:w="150"/>
        <w:gridCol w:w="151"/>
        <w:gridCol w:w="275"/>
        <w:gridCol w:w="275"/>
        <w:gridCol w:w="396"/>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Exhibit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33126.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33126.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33126.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33126.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With Embedded Linkbase Documents.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dcd5d84523304c33a5e5f63b61dd8f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rPr/>
      </w:pPr>
      <w:r>
        <w:rPr/>
      </w:r>
    </w:p>
    <w:tbl>
      <w:tblPr>
        <w:tblW w:w="749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379"/>
        <w:gridCol w:w="379"/>
        <w:gridCol w:w="381"/>
        <w:gridCol w:w="109"/>
        <w:gridCol w:w="109"/>
        <w:gridCol w:w="109"/>
        <w:gridCol w:w="546"/>
        <w:gridCol w:w="546"/>
        <w:gridCol w:w="546"/>
        <w:gridCol w:w="546"/>
        <w:gridCol w:w="546"/>
        <w:gridCol w:w="546"/>
        <w:gridCol w:w="546"/>
        <w:gridCol w:w="546"/>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before="240" w:after="283"/>
        <w:ind w:left="0" w:right="0" w:firstLine="990"/>
        <w:jc w:val="righ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685"/>
                <wp:effectExtent l="0" t="0" r="0" b="0"/>
                <wp:wrapNone/>
                <wp:docPr id="111" name="Frame1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284" w:type="dxa"/>
        <w:jc w:val="left"/>
        <w:tblInd w:w="0" w:type="dxa"/>
        <w:tblLayout w:type="fixed"/>
        <w:tblCellMar>
          <w:top w:w="28" w:type="dxa"/>
          <w:left w:w="28" w:type="dxa"/>
          <w:bottom w:w="28" w:type="dxa"/>
          <w:right w:w="28" w:type="dxa"/>
        </w:tblCellMar>
      </w:tblPr>
      <w:tblGrid>
        <w:gridCol w:w="205"/>
        <w:gridCol w:w="181"/>
        <w:gridCol w:w="181"/>
        <w:gridCol w:w="181"/>
        <w:gridCol w:w="181"/>
        <w:gridCol w:w="181"/>
        <w:gridCol w:w="181"/>
        <w:gridCol w:w="181"/>
        <w:gridCol w:w="181"/>
        <w:gridCol w:w="109"/>
        <w:gridCol w:w="109"/>
        <w:gridCol w:w="109"/>
        <w:gridCol w:w="109"/>
        <w:gridCol w:w="109"/>
        <w:gridCol w:w="109"/>
        <w:gridCol w:w="109"/>
        <w:gridCol w:w="109"/>
        <w:gridCol w:w="109"/>
        <w:gridCol w:w="494"/>
        <w:gridCol w:w="494"/>
        <w:gridCol w:w="494"/>
        <w:gridCol w:w="494"/>
        <w:gridCol w:w="494"/>
        <w:gridCol w:w="494"/>
        <w:gridCol w:w="494"/>
        <w:gridCol w:w="494"/>
        <w:gridCol w:w="698"/>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16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Bobak Azamian, M.D., Ph.D.</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p>
            <w:pPr>
              <w:pStyle w:val="TableContents"/>
              <w:bidi w:val="0"/>
              <w:spacing w:lineRule="auto" w:line="276" w:before="0" w:after="0"/>
              <w:ind w:left="0" w:right="0" w:firstLine="18"/>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Jeffrey Farrow,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962" w:type="dxa"/>
        <w:jc w:val="left"/>
        <w:tblInd w:w="0" w:type="dxa"/>
        <w:tblLayout w:type="fixed"/>
        <w:tblCellMar>
          <w:top w:w="28" w:type="dxa"/>
          <w:left w:w="28" w:type="dxa"/>
          <w:bottom w:w="28" w:type="dxa"/>
          <w:right w:w="28" w:type="dxa"/>
        </w:tblCellMar>
      </w:tblPr>
      <w:tblGrid>
        <w:gridCol w:w="205"/>
        <w:gridCol w:w="181"/>
        <w:gridCol w:w="181"/>
        <w:gridCol w:w="181"/>
        <w:gridCol w:w="181"/>
        <w:gridCol w:w="181"/>
        <w:gridCol w:w="181"/>
        <w:gridCol w:w="181"/>
        <w:gridCol w:w="181"/>
        <w:gridCol w:w="109"/>
        <w:gridCol w:w="109"/>
        <w:gridCol w:w="109"/>
        <w:gridCol w:w="109"/>
        <w:gridCol w:w="109"/>
        <w:gridCol w:w="109"/>
        <w:gridCol w:w="109"/>
        <w:gridCol w:w="109"/>
        <w:gridCol w:w="109"/>
        <w:gridCol w:w="566"/>
        <w:gridCol w:w="566"/>
        <w:gridCol w:w="566"/>
        <w:gridCol w:w="566"/>
        <w:gridCol w:w="566"/>
        <w:gridCol w:w="566"/>
        <w:gridCol w:w="566"/>
        <w:gridCol w:w="566"/>
        <w:gridCol w:w="800"/>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16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Jeffrey Farrow</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p>
            <w:pPr>
              <w:pStyle w:val="TableContents"/>
              <w:bidi w:val="0"/>
              <w:spacing w:lineRule="auto" w:line="276" w:before="0" w:after="0"/>
              <w:ind w:left="0" w:right="0" w:firstLine="18"/>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March 31, 2026 as filed with the Securities and Exchange Commission on the date hereof (the “Report”), I, Bobak Azamian,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0"/>
        <w:ind w:left="0" w:right="0" w:firstLine="641"/>
        <w:jc w:val="left"/>
        <w:rPr/>
      </w:pPr>
      <w:r>
        <w:rPr/>
      </w:r>
    </w:p>
    <w:tbl>
      <w:tblPr>
        <w:tblW w:w="7266" w:type="dxa"/>
        <w:jc w:val="left"/>
        <w:tblInd w:w="0" w:type="dxa"/>
        <w:tblLayout w:type="fixed"/>
        <w:tblCellMar>
          <w:top w:w="28" w:type="dxa"/>
          <w:left w:w="28" w:type="dxa"/>
          <w:bottom w:w="28" w:type="dxa"/>
          <w:right w:w="28" w:type="dxa"/>
        </w:tblCellMar>
      </w:tblPr>
      <w:tblGrid>
        <w:gridCol w:w="206"/>
        <w:gridCol w:w="181"/>
        <w:gridCol w:w="181"/>
        <w:gridCol w:w="181"/>
        <w:gridCol w:w="181"/>
        <w:gridCol w:w="181"/>
        <w:gridCol w:w="181"/>
        <w:gridCol w:w="181"/>
        <w:gridCol w:w="181"/>
        <w:gridCol w:w="109"/>
        <w:gridCol w:w="109"/>
        <w:gridCol w:w="109"/>
        <w:gridCol w:w="109"/>
        <w:gridCol w:w="109"/>
        <w:gridCol w:w="109"/>
        <w:gridCol w:w="109"/>
        <w:gridCol w:w="109"/>
        <w:gridCol w:w="109"/>
        <w:gridCol w:w="718"/>
        <w:gridCol w:w="718"/>
        <w:gridCol w:w="718"/>
        <w:gridCol w:w="718"/>
        <w:gridCol w:w="718"/>
        <w:gridCol w:w="1041"/>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March 31, 2026 as filed with the Securities and Exchange Commission on the date hereof (the “Report”), I, Jeffrey Farrow,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7945" w:type="dxa"/>
        <w:jc w:val="left"/>
        <w:tblInd w:w="0" w:type="dxa"/>
        <w:tblLayout w:type="fixed"/>
        <w:tblCellMar>
          <w:top w:w="28" w:type="dxa"/>
          <w:left w:w="28" w:type="dxa"/>
          <w:bottom w:w="28" w:type="dxa"/>
          <w:right w:w="28" w:type="dxa"/>
        </w:tblCellMar>
      </w:tblPr>
      <w:tblGrid>
        <w:gridCol w:w="206"/>
        <w:gridCol w:w="181"/>
        <w:gridCol w:w="181"/>
        <w:gridCol w:w="181"/>
        <w:gridCol w:w="181"/>
        <w:gridCol w:w="181"/>
        <w:gridCol w:w="181"/>
        <w:gridCol w:w="181"/>
        <w:gridCol w:w="181"/>
        <w:gridCol w:w="109"/>
        <w:gridCol w:w="109"/>
        <w:gridCol w:w="109"/>
        <w:gridCol w:w="109"/>
        <w:gridCol w:w="109"/>
        <w:gridCol w:w="109"/>
        <w:gridCol w:w="109"/>
        <w:gridCol w:w="109"/>
        <w:gridCol w:w="109"/>
        <w:gridCol w:w="827"/>
        <w:gridCol w:w="827"/>
        <w:gridCol w:w="827"/>
        <w:gridCol w:w="827"/>
        <w:gridCol w:w="827"/>
        <w:gridCol w:w="1175"/>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16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74904</Words>
  <Characters>423634</Characters>
  <CharactersWithSpaces>496484</CharactersWithSpaces>
  <Paragraphs>2848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