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Neervannan Seshadri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Tarsus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9" w:lineRule="exact"/>
        <w:rPr>
          <w:sz w:val="24"/>
          <w:szCs w:val="24"/>
          <w:color w:val="auto"/>
        </w:rPr>
      </w:pPr>
    </w:p>
    <w:p>
      <w:pPr>
        <w:sectPr>
          <w:pgSz w:w="11900" w:h="16838" w:orient="portrait"/>
          <w:cols w:equalWidth="0" w:num="3">
            <w:col w:w="3440" w:space="46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92618</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5,097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56,934</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03/16/2023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357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13.43</w:t>
            </w:r>
          </w:p>
        </w:tc>
        <w:tc>
          <w:tcPr>
            <w:tcW w:w="120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56,577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5,097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03/15/2023</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5,097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15,291</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862 shares acquired under the Issuer's employee stock purchase plan on December 31, 2021, and includes 1,111 shares acquired under the Issuer's employee stock purchase plan on June 30, 2022.</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granted on March 9, 2022, under the Tarsus Pharmaceuticals, Inc. 2020 Stock Plan. 25% of the RSUs will vest on March 15th of each of 2023, 2024, 2025, and 2026,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Leonard M. Greenstein,</w:t>
            </w:r>
          </w:p>
        </w:tc>
        <w:tc>
          <w:tcPr>
            <w:tcW w:w="3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03/17/2023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584"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2023-03-17T19:40:19Z</dcterms:created>
  <dcterms:modified xsi:type="dcterms:W3CDTF">2023-03-17T19:40:19Z</dcterms:modified>
</cp:coreProperties>
</file>