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Wahl Bryan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11" w:lineRule="auto"/>
        <w:rPr>
          <w:sz w:val="20"/>
          <w:szCs w:val="20"/>
          <w:color w:val="auto"/>
        </w:rPr>
      </w:pPr>
      <w:r>
        <w:rPr>
          <w:rFonts w:ascii="Times New Roman" w:cs="Times New Roman" w:eastAsia="Times New Roman" w:hAnsi="Times New Roman"/>
          <w:sz w:val="17"/>
          <w:szCs w:val="17"/>
          <w:color w:val="0000FF"/>
        </w:rPr>
        <w:t>C/O TARSUS PHARMACEUTICALS, INC. 15440 LAGUNA CANYON ROAD, SUITE 160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Tarsus 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TARS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03/17/2023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005"/>
        <w:spacing w:after="0"/>
        <w:rPr>
          <w:sz w:val="20"/>
          <w:szCs w:val="20"/>
          <w:color w:val="auto"/>
        </w:rPr>
      </w:pPr>
      <w:r>
        <w:rPr>
          <w:rFonts w:ascii="Times New Roman" w:cs="Times New Roman" w:eastAsia="Times New Roman" w:hAnsi="Times New Roman"/>
          <w:sz w:val="17"/>
          <w:szCs w:val="17"/>
          <w:color w:val="0000FF"/>
        </w:rPr>
        <w:t>General Counsel</w:t>
      </w:r>
    </w:p>
    <w:p>
      <w:pPr>
        <w:spacing w:after="0" w:line="445" w:lineRule="exact"/>
        <w:rPr>
          <w:sz w:val="24"/>
          <w:szCs w:val="24"/>
          <w:color w:val="auto"/>
        </w:rPr>
      </w:pPr>
    </w:p>
    <w:p>
      <w:pPr>
        <w:sectPr>
          <w:pgSz w:w="11900" w:h="16838" w:orient="portrait"/>
          <w:cols w:equalWidth="0" w:num="3">
            <w:col w:w="3540" w:space="380"/>
            <w:col w:w="3160" w:space="65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3540" w:type="dxa"/>
            <w:vAlign w:val="bottom"/>
            <w:gridSpan w:val="6"/>
          </w:tcPr>
          <w:p>
            <w:pPr>
              <w:jc w:val="right"/>
              <w:spacing w:after="0" w:line="114" w:lineRule="exact"/>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2"/>
                <w:szCs w:val="12"/>
                <w:color w:val="auto"/>
              </w:rPr>
            </w:pPr>
          </w:p>
        </w:tc>
        <w:tc>
          <w:tcPr>
            <w:tcW w:w="3560" w:type="dxa"/>
            <w:vAlign w:val="bottom"/>
            <w:gridSpan w:val="10"/>
          </w:tcPr>
          <w:p>
            <w:pPr>
              <w:ind w:left="220"/>
              <w:spacing w:after="0" w:line="11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4"/>
          </w:tcPr>
          <w:p>
            <w:pPr>
              <w:jc w:val="right"/>
              <w:ind w:right="338"/>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IRVINE</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92618</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3"/>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03/17/2023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339</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13.28</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17,837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03/20/2023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357</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12.61</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17,480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Restricted Stock Units. The sale is mandated by the Issuer's election to require the satisfaction of tax withholding obligations to be funded by a "sell to cover" transaction and does not represent a discretionary transaction by the Reporting Person.</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Leonard M. Greenstein,</w:t>
            </w:r>
          </w:p>
        </w:tc>
        <w:tc>
          <w:tcPr>
            <w:tcW w:w="2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03/21/2023</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41401"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2023-03-21T18:16:24Z</dcterms:created>
  <dcterms:modified xsi:type="dcterms:W3CDTF">2023-03-21T18:16:24Z</dcterms:modified>
</cp:coreProperties>
</file>