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2,352,960.00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2,352,960.00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2,352,960.00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2,352,960.00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2,352,960.00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2,352,960.00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5.60 %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2,352,960.00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2,352,960.00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2,352,960.00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499"/>
        <w:spacing w:after="0"/>
        <w:rPr>
          <w:sz w:val="20"/>
          <w:szCs w:val="20"/>
          <w:color w:val="auto"/>
        </w:rPr>
      </w:pPr>
      <w:r>
        <w:rPr>
          <w:rFonts w:ascii="Times New Roman" w:cs="Times New Roman" w:eastAsia="Times New Roman" w:hAnsi="Times New Roman"/>
          <w:sz w:val="22"/>
          <w:szCs w:val="22"/>
          <w:color w:val="auto"/>
        </w:rPr>
        <w:t>15440 Laguna Canyon Road, Suite 160, Irvine, California, 92618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1920"/>
        <w:spacing w:after="0" w:line="309"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31"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20" w:firstLine="6"/>
        <w:spacing w:after="0" w:line="256" w:lineRule="auto"/>
        <w:tabs>
          <w:tab w:leader="none" w:pos="11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87650L103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2,352,960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2,352,960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2,352,960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0980"/>
          </w:cols>
          <w:pgMar w:left="360" w:top="355" w:right="559" w:bottom="0" w:gutter="0" w:footer="0" w:header="0"/>
        </w:sectPr>
      </w:pPr>
    </w:p>
    <w:bookmarkStart w:id="4" w:name="page5"/>
    <w:bookmarkEnd w:id="4"/>
    <w:p>
      <w:pPr>
        <w:ind w:left="920" w:right="460" w:hanging="917"/>
        <w:spacing w:after="0" w:line="256" w:lineRule="auto"/>
        <w:tabs>
          <w:tab w:leader="none" w:pos="90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jc w:val="both"/>
        <w:ind w:left="9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07/28/2025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07/28/2025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July 28, 2025, is incorporated by reference to items (5) - (9) and (11) of the cover page of the respective Reporting Person The amount beneficially owned by each Reporting Person is determined based on 42,014,237 Common Stock outstanding as of April 24, 2025, according to the issuer's 10-Q filed with the SEC on May 1,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July 28, 2025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2025-07-28T16:08:49Z</dcterms:created>
  <dcterms:modified xsi:type="dcterms:W3CDTF">2025-07-28T16:08:49Z</dcterms:modified>
</cp:coreProperties>
</file>