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February 29, 2024</w:t>
      </w:r>
    </w:p>
    <w:p>
      <w:pPr>
        <w:spacing w:after="0" w:line="28" w:lineRule="exact"/>
        <w:rPr>
          <w:sz w:val="24"/>
          <w:szCs w:val="24"/>
          <w:color w:val="auto"/>
        </w:rPr>
      </w:pPr>
    </w:p>
    <w:p>
      <w:pPr>
        <w:ind w:left="918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8"/>
          <w:szCs w:val="38"/>
          <w:b w:val="1"/>
          <w:bCs w:val="1"/>
          <w:color w:val="auto"/>
        </w:rPr>
        <w:t>Tarsus Pharmaceuticals, Inc.</w:t>
      </w:r>
    </w:p>
    <w:p>
      <w:pPr>
        <w:spacing w:after="0" w:line="4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6" w:lineRule="exact"/>
        <w:rPr>
          <w:sz w:val="24"/>
          <w:szCs w:val="24"/>
          <w:color w:val="auto"/>
        </w:rPr>
      </w:pPr>
    </w:p>
    <w:tbl>
      <w:tblPr>
        <w:tblLayout w:type="fixed"/>
        <w:tblInd w:w="1960" w:type="dxa"/>
        <w:tblCellMar>
          <w:top w:w="0" w:type="dxa"/>
          <w:left w:w="0" w:type="dxa"/>
          <w:bottom w:w="0" w:type="dxa"/>
          <w:right w:w="0" w:type="dxa"/>
        </w:tblCellMar>
      </w:tblPr>
      <w:tr>
        <w:trPr>
          <w:trHeight w:val="194"/>
        </w:trPr>
        <w:tc>
          <w:tcPr>
            <w:tcW w:w="3840" w:type="dxa"/>
            <w:vAlign w:val="bottom"/>
          </w:tcPr>
          <w:p>
            <w:pPr>
              <w:jc w:val="center"/>
              <w:ind w:right="1885"/>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380" w:type="dxa"/>
            <w:vAlign w:val="bottom"/>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rPr>
              <w:t>81-4717861</w:t>
            </w:r>
          </w:p>
        </w:tc>
      </w:tr>
      <w:tr>
        <w:trPr>
          <w:trHeight w:val="148"/>
        </w:trPr>
        <w:tc>
          <w:tcPr>
            <w:tcW w:w="3840" w:type="dxa"/>
            <w:vAlign w:val="bottom"/>
          </w:tcPr>
          <w:p>
            <w:pPr>
              <w:jc w:val="center"/>
              <w:ind w:right="1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3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15440 Laguna Canyon Road, Suite 160</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Irvine, California 92618</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(949) 409-9820</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Bobak Azamian, M.D., Ph.D.</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President, Chief Executive Officer and Chairman</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15440 Laguna Canyon Road, Suite 160</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Irvine, California 92618</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(949) 409-9820</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3" w:lineRule="exact"/>
        <w:rPr>
          <w:sz w:val="24"/>
          <w:szCs w:val="24"/>
          <w:color w:val="auto"/>
        </w:rPr>
      </w:pPr>
    </w:p>
    <w:tbl>
      <w:tblPr>
        <w:tblLayout w:type="fixed"/>
        <w:tblInd w:w="156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5440" w:type="dxa"/>
            <w:vAlign w:val="bottom"/>
          </w:tcPr>
          <w:p>
            <w:pPr>
              <w:ind w:left="52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260"/>
        </w:trPr>
        <w:tc>
          <w:tcPr>
            <w:tcW w:w="3200" w:type="dxa"/>
            <w:vAlign w:val="bottom"/>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Ryan J. Gunderson</w:t>
            </w:r>
          </w:p>
        </w:tc>
        <w:tc>
          <w:tcPr>
            <w:tcW w:w="544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rPr>
              <w:t>Jeffrey Farrow</w:t>
            </w:r>
          </w:p>
        </w:tc>
      </w:tr>
      <w:tr>
        <w:trPr>
          <w:trHeight w:val="203"/>
        </w:trPr>
        <w:tc>
          <w:tcPr>
            <w:tcW w:w="3200" w:type="dxa"/>
            <w:vAlign w:val="bottom"/>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Leanne A. Gould</w:t>
            </w:r>
          </w:p>
        </w:tc>
        <w:tc>
          <w:tcPr>
            <w:tcW w:w="544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rPr>
              <w:t>Chief Financial Officer and Chief Strategy Officer</w:t>
            </w:r>
          </w:p>
        </w:tc>
      </w:tr>
      <w:tr>
        <w:trPr>
          <w:trHeight w:val="203"/>
        </w:trPr>
        <w:tc>
          <w:tcPr>
            <w:tcW w:w="3200" w:type="dxa"/>
            <w:vAlign w:val="bottom"/>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Daniel Reichert</w:t>
            </w:r>
          </w:p>
        </w:tc>
        <w:tc>
          <w:tcPr>
            <w:tcW w:w="544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w w:val="99"/>
              </w:rPr>
              <w:t>Bryan Wahl</w:t>
            </w:r>
          </w:p>
        </w:tc>
      </w:tr>
      <w:tr>
        <w:trPr>
          <w:trHeight w:val="203"/>
        </w:trPr>
        <w:tc>
          <w:tcPr>
            <w:tcW w:w="3200" w:type="dxa"/>
            <w:vAlign w:val="bottom"/>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Gunderson Dettmer Stough Villeneuve</w:t>
            </w:r>
          </w:p>
        </w:tc>
        <w:tc>
          <w:tcPr>
            <w:tcW w:w="544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rPr>
              <w:t>General Counsel</w:t>
            </w:r>
          </w:p>
        </w:tc>
      </w:tr>
      <w:tr>
        <w:trPr>
          <w:trHeight w:val="203"/>
        </w:trPr>
        <w:tc>
          <w:tcPr>
            <w:tcW w:w="3200" w:type="dxa"/>
            <w:vAlign w:val="bottom"/>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Franklin &amp; Hachigian, LLP</w:t>
            </w:r>
          </w:p>
        </w:tc>
        <w:tc>
          <w:tcPr>
            <w:tcW w:w="544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rPr>
              <w:t>Tarsus Pharmaceuticals, Inc.</w:t>
            </w:r>
          </w:p>
        </w:tc>
      </w:tr>
      <w:tr>
        <w:trPr>
          <w:trHeight w:val="203"/>
        </w:trPr>
        <w:tc>
          <w:tcPr>
            <w:tcW w:w="3200" w:type="dxa"/>
            <w:vAlign w:val="bottom"/>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3570 Carmel Mountain Rd., Suite 200</w:t>
            </w:r>
          </w:p>
        </w:tc>
        <w:tc>
          <w:tcPr>
            <w:tcW w:w="544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rPr>
              <w:t>15440 Laguna Canyon Road, Suite 160</w:t>
            </w:r>
          </w:p>
        </w:tc>
      </w:tr>
      <w:tr>
        <w:trPr>
          <w:trHeight w:val="203"/>
        </w:trPr>
        <w:tc>
          <w:tcPr>
            <w:tcW w:w="3200" w:type="dxa"/>
            <w:vAlign w:val="bottom"/>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San Diego, CA 92130</w:t>
            </w:r>
          </w:p>
        </w:tc>
        <w:tc>
          <w:tcPr>
            <w:tcW w:w="5440" w:type="dxa"/>
            <w:vAlign w:val="bottom"/>
          </w:tcPr>
          <w:p>
            <w:pPr>
              <w:jc w:val="center"/>
              <w:ind w:left="1859"/>
              <w:spacing w:after="0"/>
              <w:rPr>
                <w:sz w:val="20"/>
                <w:szCs w:val="20"/>
                <w:color w:val="auto"/>
              </w:rPr>
            </w:pPr>
            <w:r>
              <w:rPr>
                <w:rFonts w:ascii="Times New Roman" w:cs="Times New Roman" w:eastAsia="Times New Roman" w:hAnsi="Times New Roman"/>
                <w:sz w:val="16"/>
                <w:szCs w:val="16"/>
                <w:b w:val="1"/>
                <w:bCs w:val="1"/>
                <w:color w:val="auto"/>
              </w:rPr>
              <w:t>Irvine, California 92618</w:t>
            </w:r>
          </w:p>
        </w:tc>
      </w:tr>
      <w:tr>
        <w:trPr>
          <w:trHeight w:val="212"/>
        </w:trPr>
        <w:tc>
          <w:tcPr>
            <w:tcW w:w="3200" w:type="dxa"/>
            <w:vAlign w:val="bottom"/>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w w:val="99"/>
              </w:rPr>
              <w:t>(858) 436-8000</w:t>
            </w:r>
          </w:p>
        </w:tc>
        <w:tc>
          <w:tcPr>
            <w:tcW w:w="5440" w:type="dxa"/>
            <w:vAlign w:val="bottom"/>
          </w:tcPr>
          <w:p>
            <w:pPr>
              <w:jc w:val="center"/>
              <w:ind w:left="1879"/>
              <w:spacing w:after="0"/>
              <w:rPr>
                <w:sz w:val="20"/>
                <w:szCs w:val="20"/>
                <w:color w:val="auto"/>
              </w:rPr>
            </w:pPr>
            <w:r>
              <w:rPr>
                <w:rFonts w:ascii="Times New Roman" w:cs="Times New Roman" w:eastAsia="Times New Roman" w:hAnsi="Times New Roman"/>
                <w:sz w:val="16"/>
                <w:szCs w:val="16"/>
                <w:b w:val="1"/>
                <w:bCs w:val="1"/>
                <w:color w:val="auto"/>
                <w:w w:val="99"/>
              </w:rPr>
              <w:t>(949) 409-9820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123825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 Statement.</w:t>
      </w:r>
    </w:p>
    <w:p>
      <w:pPr>
        <w:spacing w:after="0" w:line="39" w:lineRule="exact"/>
        <w:rPr>
          <w:sz w:val="24"/>
          <w:szCs w:val="24"/>
          <w:color w:val="auto"/>
        </w:rPr>
      </w:pPr>
    </w:p>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09" w:lineRule="exact"/>
        <w:rPr>
          <w:sz w:val="24"/>
          <w:szCs w:val="24"/>
          <w:color w:val="auto"/>
        </w:rPr>
      </w:pPr>
    </w:p>
    <w:p>
      <w:pPr>
        <w:ind w:left="120"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left="12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left="120" w:right="12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left="120"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left="120"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left="120" w:right="4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229"/>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p>
    <w:p>
      <w:pPr>
        <w:ind w:left="120" w:right="3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21590</wp:posOffset>
            </wp:positionV>
            <wp:extent cx="2040255" cy="1379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025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187325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20" w:right="280" w:firstLine="440"/>
        <w:spacing w:after="0" w:line="298" w:lineRule="auto"/>
        <w:rPr>
          <w:sz w:val="20"/>
          <w:szCs w:val="20"/>
          <w:color w:val="auto"/>
        </w:rPr>
      </w:pPr>
      <w:r>
        <w:rPr>
          <w:rFonts w:ascii="Times New Roman" w:cs="Times New Roman" w:eastAsia="Times New Roman" w:hAnsi="Times New Roman"/>
          <w:sz w:val="16"/>
          <w:szCs w:val="16"/>
          <w:color w:val="auto"/>
        </w:rPr>
        <w:t>We may offer and sell from time to time, in one or more series or issuances and on terms that we will determine at the time of the offering, our common stock, preferred stock, debt securities, warrants, units or any combination of these securities.</w:t>
      </w:r>
    </w:p>
    <w:p>
      <w:pPr>
        <w:spacing w:after="0" w:line="97"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6"/>
          <w:szCs w:val="16"/>
          <w:color w:val="auto"/>
        </w:rPr>
        <w:t>This prospectus provides you with a general description of the securities we may offer hereunder. We will provide specific terms of any offering in a prospectus supplement to this prospectus. Any prospectus supplement and any related free writing prospectus may also add, update, or change information contained in this prospectus. You should carefully read this prospectus and the applicable prospectus supplement and any related free writing prospectus relating to a particular offering as well as the documents incorporated or deemed to be incorporated by reference in this prospectus before you purchase any of the securities offered hereby.</w:t>
      </w:r>
    </w:p>
    <w:p>
      <w:pPr>
        <w:spacing w:after="0" w:line="102"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6"/>
          <w:szCs w:val="16"/>
          <w:color w:val="auto"/>
        </w:rPr>
        <w:t>We may offer and sell these securities in the same offering or in separate offerings; to or through one or more underwriters, dealers and agents; or directly to purchasers, or through a combination of these methods on a continuous or delayed basis. The names of any underwriters, dealers, or agents involved in the sale of our securities, their compensation and any over-allotment options held by them will be described in the applicable prospectus supplement. None of our securities may be sold without delivery of the applicable prospectus supplement describing the method and terms of the offering of those securities. See “Plan of Distribution.”</w:t>
      </w:r>
    </w:p>
    <w:p>
      <w:pPr>
        <w:spacing w:after="0" w:line="115" w:lineRule="exact"/>
        <w:rPr>
          <w:sz w:val="20"/>
          <w:szCs w:val="20"/>
          <w:color w:val="auto"/>
        </w:rPr>
      </w:pPr>
    </w:p>
    <w:p>
      <w:pPr>
        <w:ind w:left="120" w:right="60" w:firstLine="440"/>
        <w:spacing w:after="0" w:line="298" w:lineRule="auto"/>
        <w:rPr>
          <w:sz w:val="20"/>
          <w:szCs w:val="20"/>
          <w:color w:val="auto"/>
        </w:rPr>
      </w:pPr>
      <w:r>
        <w:rPr>
          <w:rFonts w:ascii="Times New Roman" w:cs="Times New Roman" w:eastAsia="Times New Roman" w:hAnsi="Times New Roman"/>
          <w:sz w:val="16"/>
          <w:szCs w:val="16"/>
          <w:color w:val="auto"/>
        </w:rPr>
        <w:t>Our common stock is listed on the Nasdaq Global Select Market, or Nasdaq, under the symbol “TARS.” On February 28, 2024, the last reported sale price for our common stock was $37.87 per share. This prospectus may not be used to consummate a sale of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4" w:lineRule="exact"/>
        <w:rPr>
          <w:sz w:val="20"/>
          <w:szCs w:val="20"/>
          <w:color w:val="auto"/>
        </w:rPr>
      </w:pPr>
    </w:p>
    <w:p>
      <w:pPr>
        <w:ind w:left="120" w:right="40" w:firstLine="440"/>
        <w:spacing w:after="0" w:line="247" w:lineRule="auto"/>
        <w:rPr>
          <w:sz w:val="20"/>
          <w:szCs w:val="20"/>
          <w:color w:val="auto"/>
        </w:rPr>
      </w:pPr>
      <w:r>
        <w:rPr>
          <w:rFonts w:ascii="Times New Roman" w:cs="Times New Roman" w:eastAsia="Times New Roman" w:hAnsi="Times New Roman"/>
          <w:sz w:val="20"/>
          <w:szCs w:val="20"/>
          <w:b w:val="1"/>
          <w:bCs w:val="1"/>
          <w:color w:val="auto"/>
        </w:rPr>
        <w:t>INVESTING IN OUR SECURITIES INVOLVES SIGNIFICANT RISKS. SEE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5 OF THIS PROSPECTUS AND ANY SIMILAR SECTION CONTAINED IN THE APPLICABLE PROSPECTUS SUPPLEMENT AS WELL AS THE RISK FACTORS THAT ARE INCORPORATED BY REFERENCE INTO THIS PROSPECTUS AND ANY PROSPECTUS SUPPLEMENT FROM OUR FILINGS WITH THE SECURITIES AND EXCHANGE COMMISSION, BEFORE INVESTING IN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146685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The date of this prospectus is February 28, 2024.</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660" w:type="dxa"/>
            <w:vAlign w:val="bottom"/>
            <w:gridSpan w:val="16"/>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2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8440" w:type="dxa"/>
            <w:vAlign w:val="bottom"/>
            <w:gridSpan w:val="8"/>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58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1"/>
          </w:tcPr>
          <w:p>
            <w:pPr>
              <w:spacing w:after="0"/>
              <w:rPr>
                <w:sz w:val="17"/>
                <w:szCs w:val="17"/>
                <w:color w:val="auto"/>
              </w:rPr>
            </w:pPr>
          </w:p>
        </w:tc>
        <w:tc>
          <w:tcPr>
            <w:tcW w:w="5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6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1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864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76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62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800" w:type="dxa"/>
            <w:vAlign w:val="bottom"/>
            <w:gridSpan w:val="1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66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on Form S-3 that we filed with the United States Securities and Exchange Commission, or the SEC, as a “well-known seasoned issuer” as defined in Rule 405 under the Securities Act of 1933, as amended, or the Securities Act, using a “shelf” registration process. Under this shelf registration process, we may, from time to time, offer and sell any combination of the securities described in this prospectus in one or more offerings.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include a discussion of any risk factors or other special considerations that apply to those securities. The prospectus supplement may also add to, update or change information contained in the prospectus and, accordingly, to the extent inconsistent, information in this prospectus is superseded by the information in the prospectus supplement.</w:t>
      </w:r>
    </w:p>
    <w:p>
      <w:pPr>
        <w:spacing w:after="0" w:line="183"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prospectus supplement to be attached to the front of this prospectus may describe, as applicable: the terms of the securities offered; the initial or secondary public offering price; the price paid for the securities; net proceeds; and the other specific terms related to the offering of the securities.</w:t>
      </w:r>
    </w:p>
    <w:p>
      <w:pPr>
        <w:spacing w:after="0" w:line="14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give any information or make any representations in connection with this offering other than those contained or incorporated by reference in this prospectus, any accompanying prospectus supplement and any related free writing prospectus in connection with the offering described herein and therein. We take no responsibility for, and can provide no assurance as to the reliability of, any information that others may give you. Neither this prospectus nor any prospectus supplement nor any related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You should read the entire prospectus and any accompanying prospectus supplement and any related free writing prospectus, as well as the documents incorporated by reference before making an investment decision. Neither the delivery of this prospectus or any prospectus supplement or any related free writing prospectus nor any sale made hereunder shall under any circumstances imply that the information contained or incorporated by reference herein or in any prospectus supplement or related free writing prospectus is correct as of any date subsequent to the date hereof or of such prospectus supplement or related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70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description about us and our business highlights selected information contained elsewhere in this prospectus or incorporated in this prospectus by reference. This summary does not contain all of the information you should consider before buying securities in this offering. You should carefully read this entire prospectus and any applicable prospectus supplement, including each of the documents incorporated herein or therein by reference, before making an investment decision. As used in this prospectus, “we,” “us,” “Tarsus,” the “Company,” and “our” refer to Tarsus Pharmaceuticals, Inc., a Delaware corporation.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 w:firstLine="426"/>
        <w:spacing w:after="0" w:line="233"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development and commercialization of therapeutics, starting with eye care. Our lead commercial product, XDEMVY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(lotilaner ophthalmic solution) 0.25%, formerly known as TP-03, was approved by the U.S. Food and Drug Administration, or the FDA, on July 24, 2023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 eyelid margin disease characterized by inflammation, redness and ocular irritation. There are an estimated 25 million people in the U.S. who suffer from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XDEMVY is the first and only FDA-approved therapeutic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we believe it is the definitive standard of care.</w:t>
      </w:r>
    </w:p>
    <w:p>
      <w:pPr>
        <w:spacing w:after="0" w:line="202"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We intend to further advance our pipeline with the lotilaner API to address several diseases in human medicine, including eye care, dermatology, and infectious disease prevention. We are investigating the development of our product candidates to address targeted diseases with high unmet medical needs, which currently include TP-03 for the potential treatment of MGD, TP-04, a novel gel formulation of lotilaner for the potential treatment of rosacea, and TP-05, a novel investigative oral formulation of lotilaner, for potential Lyme disease prophylaxis and community malaria reduction.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November 17, 2016. Our principal executive offices are located at 15440 Laguna Canyon Road, Suite 160, Irvine, California 92618. Our main telephone number is (949) 409-9820. Our website is www.tarsusrx.com. The information on, or that can be accessed through, our website address is an inactive textual reference and is not part of this prospectus and is not incorporated by reference herein.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300" w:right="140" w:firstLine="426"/>
        <w:spacing w:after="0" w:line="233" w:lineRule="auto"/>
        <w:rPr>
          <w:sz w:val="20"/>
          <w:szCs w:val="20"/>
          <w:color w:val="auto"/>
        </w:rPr>
      </w:pPr>
      <w:r>
        <w:rPr>
          <w:rFonts w:ascii="Times New Roman" w:cs="Times New Roman" w:eastAsia="Times New Roman" w:hAnsi="Times New Roman"/>
          <w:sz w:val="18"/>
          <w:szCs w:val="18"/>
          <w:color w:val="auto"/>
        </w:rPr>
        <w:t xml:space="preserve">Tarsus Pharmaceuticals, Tarsus, and our logo are some of our tradenames used in this prospectus and in the documents incorporated by reference in this prospectus. This prospectus also includes trademarks, tradenames, and service marks that are the property of other organizations. Solely for convenience, our trademarks and tradenames referred to in this prospectus or in the documents incorporated by reference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 but those references are not intended to indicate, in any way, that we will not assert, to the fullest extent under applicable law, our rights, or the right of the applicable licensor to these trademarks and tradenames.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We are an Emerging Growth Company</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currently are an “emerging growth company” as defined in the Jumpstart Our Business Startups Act of 2012, as amended, or JOBS Act.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$1.235 billion in annual revenue; (ii) the date we qualify as a “large accelerated filer,” as defined in Rule 12b-2 under the Exchange Act, with at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least $700 million of equity securities held by non-affiliates; (iii) the issuance, in any three-year period, by us of more than $1.0 billion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non-convertible debt securities; and (iv) the last day of the fiscal year ending after the fifth</w:t>
      </w: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70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anniversary of our initial public offering. As a result of this status, we have taken advantage of reduced reporting requirements in this prospectus that are applicable to other publicly-traded entities that are not emerging growth companies and may elect to take advantage of other exemptions from reporting requirements in our future filings with the SEC. In addition, Section 107 of the JOBS Act provides that an emerging growth company may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this prospectus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jc w:val="both"/>
        <w:ind w:left="300" w:right="380" w:firstLine="426"/>
        <w:spacing w:after="0" w:line="289" w:lineRule="auto"/>
        <w:rPr>
          <w:sz w:val="20"/>
          <w:szCs w:val="20"/>
          <w:color w:val="auto"/>
        </w:rPr>
      </w:pPr>
      <w:r>
        <w:rPr>
          <w:rFonts w:ascii="Times New Roman" w:cs="Times New Roman" w:eastAsia="Times New Roman" w:hAnsi="Times New Roman"/>
          <w:sz w:val="17"/>
          <w:szCs w:val="17"/>
          <w:color w:val="auto"/>
        </w:rPr>
        <w:t>We may offer common stock, preferred stock, debt securities and warrants in one or more offerings and in any combination, including in units from time to time. This prospectus provides you with a general description of the securities that may be offered hereunder. A prospectus supplement, which we will provide each time we offer securities, will describe the specific amounts, prices and terms of these securities.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to be voted upon by the stockholders, and there are no cumulative rights. Subject to any preferential rights of any outstanding preferred stock, holders of our common stock are entitled to receive ratably the dividends, if any, as may be declared from time to time by the board of directors out of funds legally available therefor. If there is a liquidation, dissolution or winding up of our company, holders of our common stock would be entitled to share in our assets remaining after the payment of liabilities and any preferential rights of any outstanding preferred stock. Our common stock is described in greater detail in this prospectus under “Description of Capital Stock — Common Stock.”</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0" w:lineRule="exact"/>
        <w:rPr>
          <w:sz w:val="20"/>
          <w:szCs w:val="20"/>
          <w:color w:val="auto"/>
        </w:rPr>
      </w:pPr>
    </w:p>
    <w:p>
      <w:pPr>
        <w:ind w:left="300" w:right="280" w:firstLine="426"/>
        <w:spacing w:after="0" w:line="261" w:lineRule="auto"/>
        <w:rPr>
          <w:sz w:val="20"/>
          <w:szCs w:val="20"/>
          <w:color w:val="auto"/>
        </w:rPr>
      </w:pPr>
      <w:r>
        <w:rPr>
          <w:rFonts w:ascii="Times New Roman" w:cs="Times New Roman" w:eastAsia="Times New Roman" w:hAnsi="Times New Roman"/>
          <w:sz w:val="18"/>
          <w:szCs w:val="18"/>
          <w:color w:val="auto"/>
        </w:rPr>
        <w:t>Each series of preferred stock, if issued, will be more fully described in the particular prospectus supplement that will accompany this prospectus, including redemption provisions, rights in the event of our liquidation, dissolution or winding up, voting rights and rights to convert into common stock. We have no present plans to issue any shares of preferred stock, nor are any shares of our preferred stock presently outstanding. Preferred stock is described in greater detail in this prospectus under “Description of Capital Stock — Preferred Stock.”</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119" w:lineRule="exact"/>
        <w:rPr>
          <w:sz w:val="20"/>
          <w:szCs w:val="20"/>
          <w:color w:val="auto"/>
        </w:rPr>
      </w:pPr>
    </w:p>
    <w:p>
      <w:pPr>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The debt securities may be senior or subordinated in right of payment. For any particular debt securities we offer, the applicable prospectus supplement or term sheet will describe the title and series of the debt securities, the aggregate principal amount and the original issue price; the ranking, whether senior or subordinated; the</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253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32531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stated maturity; the redemption terms, if any; the rate or manner of calculating the rate and the payment dates for interest; the amount or manner of calculating the amount payable at maturity and whether that amount may be paid by delivering cash, securities or other property; the terms on which the debt securities may be convertible into or exchangeable for common stock or other securities of Tarsus, or any other entity, if any; and any other specific terms. We will issue the debt securities under an indenture, as described in “Description of Debt Securities.”</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left="300" w:right="540" w:firstLine="426"/>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or debt securities. We may issue warrants independently or together with other securities.</w:t>
      </w:r>
    </w:p>
    <w:p>
      <w:pPr>
        <w:spacing w:after="0" w:line="162"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The warrants will be evidenced by warrant certificates issued under one or more warrant agreements, which are contracts between us and an agent for the holders of the warrants. In this prospectus, we have summarized certain general features of the warrants under “Description of Warrants.” We urge you, however, to read the prospectus supplements and any free writing prospectus that we may authorize to be provided to you related to the series of warrants being offered, as well as the complete warrant agreements and warrant certificates that contain the terms of the warrants. Specific warrant agreements will contain additional important terms and provisions and will be incorporated by reference as an exhibit to the registration statement which includes this prospectus.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Units</w:t>
      </w:r>
    </w:p>
    <w:p>
      <w:pPr>
        <w:spacing w:after="0" w:line="119"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We may issue units comprised of one or more of the other classes of securities issued by us as described in this prospectus in any combination. Each unit will be issued so that the holder of the unit is also the holder of each security included in the unit. Units are described in greater detail in this prospectus under “Description of Units.”</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320" w:top="455" w:right="6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 investment in our securities involves significant risks.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most recent Annual Report on Form 10-K and in our Quarterly Reports on Form 10-Q filed subsequent to such Annual Report on Form 10-K, as well as any amendments thereto, all of which are incorporated herein by reference, and may be amended, supplemented or superseded from time to time by other reports we file with the SEC in the future and by information contained in any prospectus supplement related to a particular offering. The risks and uncertainties we have described are not the only ones we face. Additional risks and uncertainties not presently known to us or that we currently deem immaterial may also affect our business, results of operations and financial conditions and could result in a partial or complete loss of your investment.</w:t>
      </w:r>
    </w:p>
    <w:p>
      <w:pPr>
        <w:spacing w:after="0" w:line="1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455"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contains and may contain certain statements that constitute “forward-looking statements” within the meaning of Section 27A of the Securities Act of 1933 and Section 21E of the Securities Exchange Act of 1934.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0"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the applicable prospectus supplement, together with all of the other information contained in or incorporated by reference into the prospectus supplement or appearing or incorporated by reference into this prospectus.</w:t>
      </w:r>
    </w:p>
    <w:p>
      <w:pPr>
        <w:spacing w:after="0" w:line="17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the net proceeds from the sale by us of the securities will be used for general corporate purposes, which may include working capital, sales and marketing activities, research and development, general and administrative matters, and capital expenditures.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455" w:right="5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following information describes our common stock and preferred stock, as well as certain provisions of our amended and restated certificate of incorporation and amended and restated bylaws. This description is only a summary. You should also refer to our amended and restated certificate of incorporation and amended and restated bylaws, which have been incorporated by reference as exhibits to our registration statement, of which this prospectus forms a part.</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with a $0.0001 par value per share and 10,000,000 shares of preferred stock, with a $0.0001 par value per share, all of which shares of preferred stock are undesignated. Our board of directors may establish the rights and preferences of the preferred stock from time to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on all matters to be voted upon by the stockholders. The holders of common stock are entitled to receive ratably such dividends, if any, as may be declared from time to time by the board of directors out of funds legally available, subject to preferences that may be applicable to preferred stock, if any, then outstanding.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w:t>
      </w:r>
    </w:p>
    <w:p>
      <w:pPr>
        <w:spacing w:after="0" w:line="187"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the holders of our common stock are subject to, and may be adversely affected by, the rights of the holders of shares of any series of preferred stock that we may designate and issue in the future.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“TARS.” The transfer agent and registrar for our common stock is ComputerShare Trust Company, N.A. Its address is 462 South 4th Street, Suite 1600, Louisville, KY 40202.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our amended and restated certificate of incorporation and the certificate of designation relating to any series. The rights, preferences, privileges and restrictions of the preferred stock of each series will be fixed by the certificate of designation relating to that series. The prospectus supplement also will contain a description of certain United States federal income tax consequences relating to the purchase and ownership of the series of preferred stock that is described in the prospectus supplement.</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There are no restrictions presently on the repurchase or redemption of any shares of our preferred stock.</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for a series of preferred stock will specify:</w:t>
      </w:r>
    </w:p>
    <w:p>
      <w:pPr>
        <w:spacing w:after="0" w:line="131"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shares;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dividend rate, if any, whether the dividend rate is fixed or variable, the date or dates on which dividends will accrue, the dividend payment dates, and whether dividends will be cumulative;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the terms and conditions for redemption, if any, including redemption at our option or at the option of the holders, including the time period for redemption, and any accumulated dividends or premiums;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if any, and any accumulated dividends upon the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similar provision, and, if so, the terms and provisions relating to the purpose and operation of the fund;</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and</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other preferences and relative, participating, optional or other special rights, privileges or qualifications, limitations or restrictions.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The effects of issuing preferred stock could include one or more of the following:</w:t>
      </w:r>
    </w:p>
    <w:p>
      <w:pPr>
        <w:spacing w:after="0" w:line="8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dividends on the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the common stock;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preventing changes in control or management of our company.</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have no present plans to issue any shares of preferred stock nor are any shares of our preferred stock presently outstanding. Preferred stock will be fully paid and nonassessable upon issuance.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issue debt securities in one or more distinct series. This section summarizes the material terms of the debt securities that are expected to be common to all series. Most of the financial terms and other specific material terms, as well as any material U.S. federal income tax consequences, of any series of debt securities that we offer will be described in a prospectus supplement or term sheet to be attached to this prospectus. Since the terms of specific debt securities may differ from the general information provided below, you should read both this prospectus and the relevant prospectus supplement or term sheet and rely on information in the prospectus supplement or term sheet that supersedes any contrary or inconsistent information below.</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debt securities will be governed by a document called an “indenture.” An indenture is a contract between us and a financial institution acting as trustee on your behalf. The trustee has two main roles. First, the trustee can enforce your rights against us if we default. There are some limitations on the extent to which the trustee acts on your behalf, described in the second paragraph under “Events of Default.” Second, the trustee performs certain administrative duties for us.</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Senior or subordinated debt securities will be issued by us under an indenture or indentures, as supplemented from time to time, between us, as issuer, and the trustee identified in the relevant prospectus supplement, or the trustee. The debt securities may be guaranteed by one or more of our subsidiaries.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indenture will be subject to and governed by the Trust Indenture Act of 1939, as amended, or the TIA. The terms “we,” “our” and “us,” when used to refer to an issuer of securities, means Tarsus Pharmaceuticals, Inc.</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or in the relevant prospectus supplement, but for the rest you will need to read the indenture. See “Where You Can Find More Information” for information on how to locate the indenture and any supplemental indentures that may be filed.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Provisions of the Indenture</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or term sheet for a particular series, the debt securities covered by this prospectus will be direct, unsecured obligations of Tarsus. Any senior securities will be unsecured and will rank equally with all other unsecured and unsubordinated indebtedness of Tarsus. Any subordinated securities will be unsecured and will be subordinated in right of payment to the prior payment in full of the senior indebtedness of Tarsus, as more fully described in a prospectus supplement or term sheet.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an attached prospectus supplement or term sheet (“offered debt securities”) and any debt securities issuable upon the exercise of debt warrants or upon conversion or exchange of other offered securities (“underlying debt securities”), as well as other debt securities, may be issued under the indenture in one or more series. Any secured indebtedness of ours will rank ahead of the debt securities to the extent of the value of the assets securing such indebtedness.</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You should read the prospectus supplement or term sheet for the material terms of the offered debt securities and any underlying debt securities, including the following:</w:t>
      </w:r>
    </w:p>
    <w:p>
      <w:pPr>
        <w:spacing w:after="0" w:line="67"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 debt securities will be senior securities or subordinated securities of Tarsus;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 of the series and any limit on such total principal amount;</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the principal amount of the debt securities, the portion of the principal amount payable upon acceleration of the maturity of the debt securities or how this portion will be determined;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how the date or dates will be determined or may be extended, when the principal of the debt securities will be payable;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that the debt securities will bear, if any, or how the rate or rates will be determined, the date or dates from which any interest will accrue or how the date or dates will be determined, the interest payment dates, any record dates for these payments, whether payments of interest will be made in cash or in kind and the basis upon which interest will be calculated if other than that of a 360-day year of twelve 30-day months;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in which we will issue the debt securities and whether we will have the option of issuing debt securities in “certificated”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or currencies in which the debt securities are denominated and/or payable;</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the debt securities will be determined with reference to an index, formula or other method (which index, formula or method may be based, without limitation,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City of New York, of payment, transfer, conversion and/or exchange of the debt securities;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$2,000 or any integral multiple of $1,000 above the minimum denomination in the case of registered securities issued in certificated form, the denominations in which the offered debt securities will be issued;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provisions of Article Fourteen of the indenture described under “defeasance” are not applicable and any provisions in modification of, in addition to or in lieu of any of these provisions;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as contemplated by Section 1010 of the indenture, in respect of any tax, assessment or governmental charge and, if so, whether we will have the option to redeem the debt securities rather than pay the additional amounts (and the terms of this option);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subordinated and the terms of such subordination;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the holders of the debt securities upon the occurrence of specified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Events of Default or covenants contained in the applicable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convertible into or exchangeable for any other securities and the applicable terms and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guaranteed;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the debt securities will include additional amounts if required by the terms of the debt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we repurchase a significant amount of equity or effect a recapitalization, or we are acquired by another entity.</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refer you to the applicable prospectus supplement or term sheet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Any additional indenture securities, together with all other outstanding indenture securities of that series, will constitute a single series of indenture securities under the indenture.</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or term sheet, the debt securities will be denominated in U.S. dollars and all payments on the debt securities will be made in U.S. dollars.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Payment of the purchase price of the debt securities must be made in immediately available funds.</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authorized denominations of debt securities denominated in U.S. dollars will be a minimum denomination of $2,000 and integral multiples of $1,000 above the minimum denomination. The authorized denominations of foreign currency notes will be set forth in the applicable prospectus supplement or term sheet.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and Interest Rates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Each debt security will begin to accrue interest from the date it is originally issued. The related prospectus supplement or term sheet will describe the method of determining the interest rate.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trustee’s records as the owner of the debt security at the close of business on a particular day in advance of each regularly scheduled date for interest, even if that person no longer owns the debt security on the interest due date. That day, typically set at a date approximately two weeks prior to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Payments on Global Securities</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will make payments on a global security in accordance with the applicable policies of the depositary as in effect from time to time. Under those policies, we will make payments directly to the depositary, or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nominee, and not to any indirect holders who own beneficial interests in the global security. An indirect holder’s right to those payments will be governed by the rules and practices of the depositary and its participants.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Payments on Certificated Debt Securities</w:t>
      </w:r>
    </w:p>
    <w:p>
      <w:pPr>
        <w:spacing w:after="0" w:line="11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payments of principal and premium, if any, duly and punctually to the office of the trustee.</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Alternatively, if the holder asks us to do so, we may pay any amount that becomes due on the debt security by wire transfer of immediately available funds to an account at a bank in New York City, on the due date. To request payment by wire, the holder must give the trustee or other paying agent appropriate transfer instructions at least 15 calendar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In addition, see the description under “Interest and Interest Rates.”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Covenants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prospectus supplement or term sheet relating to a particular series of debt securities that we offer will describe the material covenants included in the indenture and will be subject to negotiation between the holder and us. Such material covenants may include covenants with respect to payments of principal, premium (if any) and interest and limitations or restrictions with respect to a consolidation, merger sale or conveyance of us, restrictions on liens, or other covenants, limitations or restrictions on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with respect to the debt securities of any series is defined in the indenture as:</w:t>
      </w:r>
    </w:p>
    <w:p>
      <w:pPr>
        <w:spacing w:after="0" w:line="131" w:lineRule="exact"/>
        <w:rPr>
          <w:sz w:val="20"/>
          <w:szCs w:val="20"/>
          <w:color w:val="auto"/>
        </w:rPr>
      </w:pPr>
    </w:p>
    <w:p>
      <w:pPr>
        <w:ind w:left="1540" w:hanging="439"/>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payment of any interest on the debt securities of such series when it becomes due and payable;</w:t>
      </w:r>
    </w:p>
    <w:p>
      <w:pPr>
        <w:spacing w:after="0" w:line="130" w:lineRule="exact"/>
        <w:rPr>
          <w:rFonts w:ascii="Times New Roman" w:cs="Times New Roman" w:eastAsia="Times New Roman" w:hAnsi="Times New Roman"/>
          <w:sz w:val="18"/>
          <w:szCs w:val="18"/>
          <w:color w:val="auto"/>
        </w:rPr>
      </w:pPr>
    </w:p>
    <w:p>
      <w:pPr>
        <w:ind w:left="1540" w:right="40" w:hanging="439"/>
        <w:spacing w:after="0" w:line="28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principal of or any premium on the debt securities of such series at maturity or upon redemption or repayment when the same becomes due and payable;</w:t>
      </w:r>
    </w:p>
    <w:p>
      <w:pPr>
        <w:spacing w:after="0" w:line="67" w:lineRule="exact"/>
        <w:rPr>
          <w:rFonts w:ascii="Times New Roman" w:cs="Times New Roman" w:eastAsia="Times New Roman" w:hAnsi="Times New Roman"/>
          <w:sz w:val="18"/>
          <w:szCs w:val="18"/>
          <w:color w:val="auto"/>
        </w:rPr>
      </w:pPr>
    </w:p>
    <w:p>
      <w:pPr>
        <w:ind w:left="1540" w:right="20" w:hanging="439"/>
        <w:spacing w:after="0" w:line="312" w:lineRule="auto"/>
        <w:tabs>
          <w:tab w:leader="none" w:pos="15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by us in the performance of any other covenant contained in the applicable indenture for the benefit of the debt securities of such series that has not been remedied by the end of a specified period of time after notice is given as specified in the indenture; and</w:t>
      </w:r>
    </w:p>
    <w:p>
      <w:pPr>
        <w:spacing w:after="0" w:line="45" w:lineRule="exact"/>
        <w:rPr>
          <w:rFonts w:ascii="Times New Roman" w:cs="Times New Roman" w:eastAsia="Times New Roman" w:hAnsi="Times New Roman"/>
          <w:sz w:val="17"/>
          <w:szCs w:val="17"/>
          <w:color w:val="auto"/>
        </w:rPr>
      </w:pPr>
    </w:p>
    <w:p>
      <w:pPr>
        <w:ind w:left="1540" w:hanging="439"/>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and reorganization of Tarsus.</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or term sheet relating to a particular series of debt securities that we offer will describe the events of default included in the indenture and will be subject to negotiation between the holder and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without the consent of the holders of the debt securities issued under such indenture, enter into supplemental indentures for, among others, one or more of the following purposes:</w:t>
      </w:r>
    </w:p>
    <w:p>
      <w:pPr>
        <w:spacing w:after="0" w:line="67" w:lineRule="exact"/>
        <w:rPr>
          <w:sz w:val="20"/>
          <w:szCs w:val="20"/>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of its obligations under the indenture and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of Tarsus or surrender any of its rights, or add any rights for the benefit of the holders of debt securities;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 in such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other series of debt securities, including any subordinated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maintain the qualification of the indenture under the Trust Indenture Act;</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the acceptance of any successor trustee with respect to the debt securities or one or more other series of debt securities under the indenture or to facilitate the administration of the trusts thereunder by one or more trustees in accordance with the indenture;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additional events of default;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of the provisions of the indentures in respect of one or more series of debt securities, provided that any such addition, change or elimination, shall become effective only when there is no security outstanding of any series created prior to the adoption of such addition, change or elimination;</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provisions with respect to the optional conversion rights of holders, including providing for the conversion of the debt securities into any other security or securities of ours, provided that such provisions are not adverse to the interests of the holders of any debt securities then outstanding;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guarantee of one or more series of the debt securities;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 indenture to such extent as shall be necessary to permit or facilitate the defeasance and discharge of any series of debt securities pursuant to the indenture; provided that any such action shall not adversely affect the interests of the holders of debt securities of such series and any related coupons or any other series of securities in any material respect.</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With certain exceptions, the indenture or the rights of the holders of the debt securities may be modified by us and the trustee with the consent of the holders of a majority in aggregate principal amount of the debt securities then outstanding affected thereby, but no such modification may be made without the consent of the holder of each outstanding note affected thereby that would:</w:t>
      </w:r>
    </w:p>
    <w:p>
      <w:pPr>
        <w:spacing w:after="0" w:line="81" w:lineRule="exact"/>
        <w:rPr>
          <w:sz w:val="20"/>
          <w:szCs w:val="20"/>
          <w:color w:val="auto"/>
        </w:rPr>
      </w:pPr>
    </w:p>
    <w:p>
      <w:pPr>
        <w:ind w:left="1080" w:right="100" w:hanging="424"/>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maturity of the principal of, or any premium on, or any installment of principal of or interest on any debt securities, or reduce the principal amount or any premium or the rate or manner of calculating interest or any premium payable upon redemption or repayment of any debt securities, or change the dates or periods for any redemption or repayment or change any place of payment where, or the coin or currency in which, any principal, premium or interest is payable, or impair the right to institute suit for the enforcement of any such payment on or after the maturity thereof (or, in the case of redemption or repayment, on or after the redemption or repayment date);</w:t>
      </w:r>
    </w:p>
    <w:p>
      <w:pPr>
        <w:spacing w:after="0" w:line="88"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debt securities, the consent whose holders is required for any such modification, or the consent of whose holders is required for any waiver of compliance with certain provisions of the indenture or certain defaults thereunder and their consequences provided for in the indenture; or</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of the outstanding debt securities affected thereby.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or term sheet that the provisions of covenant defeasance and full defeasance will not be applicable to that series.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current United States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In order to achieve covenant defeasance, we must do the following:</w:t>
      </w:r>
    </w:p>
    <w:p>
      <w:pPr>
        <w:spacing w:after="0" w:line="85" w:lineRule="exact"/>
        <w:rPr>
          <w:sz w:val="20"/>
          <w:szCs w:val="20"/>
          <w:color w:val="auto"/>
        </w:rPr>
      </w:pPr>
    </w:p>
    <w:p>
      <w:pPr>
        <w:ind w:left="1080" w:right="1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in trust for the benefit of all holders of such debt securities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w:t>
      </w:r>
    </w:p>
    <w:p>
      <w:pPr>
        <w:spacing w:after="0" w:line="81"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a legal opinion of our counsel confirming that, under current United States federal income tax law, we may make the above deposit without causing you to be taxed on the debt securities of such series any differently than if we did not make the deposit and just repaid such debt securities ourselves at maturity.</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Full Defeasance</w:t>
      </w:r>
    </w:p>
    <w:p>
      <w:pPr>
        <w:spacing w:after="0" w:line="119"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If there is a change in United States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5" w:lineRule="exact"/>
        <w:rPr>
          <w:sz w:val="20"/>
          <w:szCs w:val="20"/>
          <w:color w:val="auto"/>
        </w:rPr>
      </w:pPr>
    </w:p>
    <w:p>
      <w:pPr>
        <w:ind w:left="1080" w:right="36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deposit in trust for the benefit of all holders of the debt securities of such series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w:t>
      </w:r>
    </w:p>
    <w:p>
      <w:pPr>
        <w:spacing w:after="0" w:line="81"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in current United States federal tax law or an Internal Revenue Service ruling that allows us to make the above deposit without causing you to be taxed on the debt securities of such series any differently than if we did not make the deposit and just repaid such debt securities ourselves at maturity. Under current United States federal tax law, the deposit and our legal release from the debt securities of such series would be treated as though we paid you your share of the cash and debt securities or bonds at the time the cash and debt securities or bonds were deposited in trust in exchange for your debt securities and you would recognize gain or loss on your debt securities at the time of the deposit.</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ever did accomplish full defeasance, as described above, you would have to rely solely on the trust deposit for repayment of the debt securities of such series. You could not look to us for repayment in the unlikely event of any shortfall. Conversely, the trust deposit would most likely be protected from claims of our lenders and other creditors if we ever became bankrupt or insolvent.</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Covenant defeasance and full defeasance are both subject to certain conditions, such as no default or event of default occurring and continuing, and no breach of any material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 of the Indenture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may satisfy and discharge our obligations under the indenture by delivering to the trustee for cancellation all outstanding debt securities or by depositing with the trustee or the paying agent after the debt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securities have become due and payable, whether at stated maturity, or any redemption or repayment date, or otherwise, cash sufficient to pay all of the outstanding debt securities and paying all other sums payable under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 recourse for the payment of the principal of or premium, if any, or interest on any debt security or any coupons appertaining thereto, or for any claim based thereon or otherwise in respect thereof, and no recourse under or upon any obligation, covenant or agreement of ours in the indenture or in any supplemental indenture, or in any debt security or any coupons appertaining thereto, or because of the creation of any indebtedness represented thereby, shall be had against any director, officer, employee, or stockholder as such, past, present or future, of ours or any of our affiliates or any successor person, either directly or through us or any of our affiliates or any successor person,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the indenture and the issue of the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law will govern the indenture and the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Debt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registered debt securities cease to be issued in book-entry form, they will be issued:</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 fully registered certificated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interest coupons,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or term sheet, in a minimum denomination of $2,000 and amounts above the minimum denomination that are integral multiples of $1,000.</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debt securities at the office of the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we have designated additional transfer agents for your debt security, they will be named in the applicable prospectus supplement or term sheet. We may appoint additional transfer agents or cancel the appointment of any particular transfer agent. We may also approve a change in the office through which any transfer agent acts.</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any certificated debt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debt securities selected for redemption, except that we will continue to permit transfers and exchanges of the unredeemed portion of any debt security that will be partially redeemed.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trustee may resign or be removed at any time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The trustee may be one of a number of banks with which we maintain ordinary banking relationships and from which we may obtain credit facilities and lines of credit in the future. The trustee may also serve as trustee under other indentures under which we are the obligor in the future.</w:t>
      </w:r>
    </w:p>
    <w:p>
      <w:pPr>
        <w:spacing w:after="0" w:line="7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00"/>
          </w:cols>
          <w:pgMar w:left="320" w:top="455" w:right="7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We may issue warrants for the purchase of our preferred stock, common stock, debt securities or any combination thereof. Warrants may be issued independently or together with our preferred stock, common stock or debt securities and may be attached to or separate from any offered securities. Any series of warrants may be issued under a separate warrant agreement to be entered into between us and a bank or trust company, as warrant agent. Any such warrant agent will act solely as our agent in connection with the warrants and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7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warrants to purchase such securities will describe the terms of the warrants, including the following:</w:t>
      </w:r>
    </w:p>
    <w:p>
      <w:pPr>
        <w:spacing w:after="0" w:line="6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securities that may be purchased upon exercise of the warrants;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basic terms of the securities that may be purchased upon exercise of a warrant and the exercise price for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warrants upon a change in control or similar event; and</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equity warrants will not be entitled:</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 of us.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Holders of warrants to purchase debt securities will not be entitled to payments of principal of, or any premium or interest on, the debt securities purchasable on exercise, or to exercise any of the rights of the holders of such debt securities until such warrant is exercised.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Holders of the warrants may exercise the warrants by delivering the warrant certificate representing the warrants to be exercised together with specified information, and paying the required amount to us or the warrant agent, if any, in immediately available funds, as provided in the applicable prospectus supplement. We will set forth on the reverse side of the warrant certificate and in the applicable prospectus supplement the information that the holder of the warrant will be required to deliver to us or the warrant agent.</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if any, or any other office, including ours,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applicable,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any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legal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recognize an indirect holder as a holder of securities and instead deal only with the depositary that holds the global security.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 We and any applicable trustee have no responsibility for any aspect of the depositary’s actions or for its records of ownership interests in the global security. We and the trustee also do not supervise the depositary in any way;</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global security will terminate when the following special situations occur:</w:t>
      </w:r>
    </w:p>
    <w:p>
      <w:pPr>
        <w:spacing w:after="0" w:line="131" w:lineRule="exact"/>
        <w:rPr>
          <w:sz w:val="20"/>
          <w:szCs w:val="20"/>
          <w:color w:val="auto"/>
        </w:rPr>
      </w:pPr>
    </w:p>
    <w:p>
      <w:pPr>
        <w:ind w:left="1080" w:right="2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in primary offerings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85"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through underwriters or dealers</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spacing w:after="0" w:line="194"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 sales and sales through agents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Delayed delivery contracts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Market making, stabilization and other transactions</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Any underwriter may also engage in stabilizing transactions, syndicate covering transactions and penalty bids in accordance with Rule 104 under the Securities Exchange Act of 1934, as amended.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Derivative transactions and hedging</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Electronic auctions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present to each bidder, on a so-called “real-time” basis, relevant information to assist in making a bid, such as the clearing spread at which the offering would be sold, based on the bids submitted, and whether a bidder’s individual bids would be accepted, prorated or rejected.</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information</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entered into with us, to indemnification by us against certain liabilities, including liabilities under the Securities Act.</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320" w:top="455" w:right="6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securities offered by this prospectus will be passed upon by Gunderson Dettmer Stough Villeneuve Franklin &amp; Hachigian, LLP, San Diego, California. Certain partners and certain investment partnerships comprised of partners of Gunderson Dettmer Stough Villeneuve Franklin &amp; Hachigian, LLP own an interest representing less than one percent of the shares of our common stock. Additional legal matters may be passed upon for us or any underwriters, dealers or agents, by counsel that we will name in the applicable prospectus supplement.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financial statements included in our Annual Report on Form 10-K for the year ended December 31, 2023,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w:t>
      </w:r>
    </w:p>
    <w:p>
      <w:pPr>
        <w:spacing w:after="0" w:line="183" w:lineRule="exact"/>
        <w:rPr>
          <w:sz w:val="20"/>
          <w:szCs w:val="20"/>
          <w:color w:val="auto"/>
        </w:rPr>
      </w:pPr>
    </w:p>
    <w:p>
      <w:pPr>
        <w:jc w:val="both"/>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of 1933 relating to the offering of these securities. The registration statement, including the attached exhibits, contains additional relevant information about us and the securities. This prospectus does not contain all of the information set forth in the registration statement. The registration statement and the documents referred to below under “Information Incorporated by Reference” are also available on our website, www.tarsusrx.com. We have not incorporated by reference into this prospectus the information on our website, and you should not consider it to be a part of this prospectus.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certain information we file with it, which means that we can disclose important information by referring you to those documents. The information incorporated by reference is considered to be a part of this prospectus, and information that we file later with the SEC will automatically update and supersede information contained in this prospectus and any accompanying prospectus supplement. We incorporate by reference the documents listed below that we have previously filed with the SEC (excluding any portions of any Form 8-K that are not deemed “filed” pursuant to the General Instructions of Form 8-K):</w:t>
      </w:r>
    </w:p>
    <w:p>
      <w:pPr>
        <w:spacing w:after="0" w:line="89"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2023, filed with the SEC on </w:t>
      </w:r>
      <w:hyperlink r:id="rId56">
        <w:r>
          <w:rPr>
            <w:rFonts w:ascii="Times New Roman" w:cs="Times New Roman" w:eastAsia="Times New Roman" w:hAnsi="Times New Roman"/>
            <w:sz w:val="18"/>
            <w:szCs w:val="18"/>
            <w:u w:val="single" w:color="auto"/>
            <w:color w:val="0000EE"/>
          </w:rPr>
          <w:t>February 27,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57">
        <w:r>
          <w:rPr>
            <w:rFonts w:ascii="Times New Roman" w:cs="Times New Roman" w:eastAsia="Times New Roman" w:hAnsi="Times New Roman"/>
            <w:sz w:val="18"/>
            <w:szCs w:val="18"/>
            <w:u w:val="single" w:color="auto"/>
            <w:color w:val="0000EE"/>
          </w:rPr>
          <w:t>January 18,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extent filed and not furnished);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filed with the SEC on October 13, 2020 pursuant to Section 12(b) of the Exchange Act, as updated by </w:t>
      </w:r>
      <w:hyperlink r:id="rId59">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2021,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7"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may contain information that updates, modifies or is contrary to information in one or more of the documents incorporated by reference in this prospectus. 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w:t>
      </w:r>
    </w:p>
    <w:p>
      <w:pPr>
        <w:spacing w:after="0" w:line="180" w:lineRule="exact"/>
        <w:rPr>
          <w:rFonts w:ascii="Times New Roman" w:cs="Times New Roman" w:eastAsia="Times New Roman" w:hAnsi="Times New Roman"/>
          <w:sz w:val="18"/>
          <w:szCs w:val="18"/>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this prospectus is delivered, upon written or oral request, at no cost to the requester, a copy of any and all of the information that is incorporated by reference in this prospectus.</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direct any requests for documents to:</w:t>
      </w:r>
    </w:p>
    <w:p>
      <w:pPr>
        <w:spacing w:after="0" w:line="11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15440 Laguna Canyon Road, Suite 160</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Irvine, California 92618</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(949) 409-9820</w:t>
      </w:r>
    </w:p>
    <w:p>
      <w:pPr>
        <w:spacing w:after="0" w:line="207" w:lineRule="exact"/>
        <w:rPr>
          <w:rFonts w:ascii="Times New Roman" w:cs="Times New Roman" w:eastAsia="Times New Roman" w:hAnsi="Times New Roman"/>
          <w:sz w:val="18"/>
          <w:szCs w:val="18"/>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reports and documents incorporated by reference herein may also be found in the “Investors &amp; News” section of our website at www.tarsusrx.com. Our website and the information contained in it or connected to it shall not be in this prospectus through our website at www.tarsusrx.com. Except for the specific incorporated documents listed above, the information on, or that can be accessed through, our website shall not be deemed to be incorporated by reference in this prospectus or the registration statement of which it forms a part.</w:t>
      </w:r>
    </w:p>
    <w:p>
      <w:pPr>
        <w:spacing w:after="0" w:line="11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1510030</wp:posOffset>
            </wp:positionV>
            <wp:extent cx="2040255" cy="13798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040255" cy="13798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Preferred Stock</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859790</wp:posOffset>
            </wp:positionV>
            <wp:extent cx="1474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February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1211580</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1280160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costs and expenses, other than underwriting discounts and commissions, payable by the registrant in connection with the sale of the securities being registered.</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76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of the Securities Act, we are deferring payment of the registration fee for the securities offered.</w:t>
      </w:r>
    </w:p>
    <w:p>
      <w:pPr>
        <w:spacing w:after="0" w:line="27" w:lineRule="exact"/>
        <w:rPr>
          <w:sz w:val="20"/>
          <w:szCs w:val="20"/>
          <w:color w:val="auto"/>
        </w:rPr>
      </w:pPr>
    </w:p>
    <w:p>
      <w:pPr>
        <w:ind w:left="540" w:right="140" w:hanging="424"/>
        <w:spacing w:after="0" w:line="290"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Cannot be estimated at this time, as they are calculated based on the securities offered and the number of issuances. An estimate of the aggregate expenses in connection with the sale and distribution of the securities being offered will be included in the applicable prospectus supplement.</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Section 145(a) of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enterprise, against expenses (including attorneys’ fees), judgments, fines and amounts paid in settlement actually and reasonably incurred by such person in connection with such action, suit or proceeding if he or she acted in good faith and in a manner he or she reasonably believed to be in or not opposed to the best interests of the corporation, and, with respect to any criminal action or proceeding, had no cause to believe his or her conduct was unlawful.</w:t>
      </w:r>
    </w:p>
    <w:p>
      <w:pPr>
        <w:spacing w:after="0" w:line="18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such person in connection with the defense or settlement of such action or suit if he or she acted under similar standards, except that no indemnification may be made in respect of any claim, issue or matter as to which such person shall have been adjudged to be liable to the corporation unless and only to the extent that the court in which such action or suit was brought shall determine that, despite the adjudication of liability but in view of all the circumstances of the case, such person is fairly and reasonably entitled to be indemnified for such expenses which the court shall deem proper.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Section 145 of the DGCL further provides that: (i) to the extent that a former or present director or officer of a corporation has been successful in the defense of any action, suit or proceeding referred to in subsections (a) and (b) or in the defense of any claim, issue or matter therein, such person shall be indemnified against expenses (including attorneys’ fees) actually and reasonably incurred by him or her in connection therewith;</w:t>
      </w:r>
    </w:p>
    <w:p>
      <w:pPr>
        <w:spacing w:after="0" w:line="1" w:lineRule="exact"/>
        <w:rPr>
          <w:sz w:val="20"/>
          <w:szCs w:val="20"/>
          <w:color w:val="auto"/>
        </w:rPr>
      </w:pPr>
    </w:p>
    <w:p>
      <w:pPr>
        <w:ind w:left="380" w:hanging="264"/>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provided for by Section 145 shall not be deemed exclusive of any other rights to which the indemnified party may be entitled; and</w:t>
      </w:r>
    </w:p>
    <w:p>
      <w:pPr>
        <w:spacing w:after="0" w:line="9" w:lineRule="exact"/>
        <w:rPr>
          <w:rFonts w:ascii="Times New Roman" w:cs="Times New Roman" w:eastAsia="Times New Roman" w:hAnsi="Times New Roman"/>
          <w:sz w:val="18"/>
          <w:szCs w:val="18"/>
          <w:color w:val="auto"/>
        </w:rPr>
      </w:pPr>
    </w:p>
    <w:p>
      <w:pPr>
        <w:jc w:val="both"/>
        <w:ind w:left="120" w:right="20" w:hanging="4"/>
        <w:spacing w:after="0" w:line="253" w:lineRule="auto"/>
        <w:tabs>
          <w:tab w:leader="none" w:pos="4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purchase and maintain insurance on behalf of any present or former director, officer, employee or agent of the corporation or any person who at the request of the corporation was serving in such capacity for another entity against any liability asserted against such person and incurred by him or her in any such capacity or arising out of his or her status as such, whether or not the corporation would have the power to indemnify him or her against such liabilities under Section 145.</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specifies that a director of the Company shall not be personally liable to the Company or to any stockholders for monetary damages for breach of fiduciary duties as a director, except to the extent such exemption from liability or limitation thereof is not permitted under the DGCL. Further, the Company’s Amended and Restated Certificate of Incorporation also provides that if Delaware law is amended to authorize corporation action further eliminating or limiting the personal liability of directors, then the liability of the Company’s directors will be eliminated or limited to the fullest extent permitted by Delaware law.</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Amended and Restated Bylaws provide that the Company shall indemnify its directors and officers to the fullest extent permitted by Delaware law, as it now exists or may in the future be amended, against all expenses and liabilities reasonably incurred in connection with their service for or on the Company’s behalf. The Company’s amended and restated bylaws provide that the Company shall advance the expenses incurred by a director or officer in advance of the final disposition of an action or proceeding, and permit the Company to secure insurance on behalf of any director, officer, employee, or other enterprise agent for any liability arising out of his or her action in that capacity, whether or not Delaware law would otherwise permit indemnification..</w:t>
      </w:r>
    </w:p>
    <w:p>
      <w:pPr>
        <w:spacing w:after="0" w:line="18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officers and certain other key employees. Subject to certain limited exceptions, under these agreements, the Company will be obligated to indemnify each of its directors, executive officers and other key employees against any and all expenses incurred by that director, executive officer, or other key employee because of his or her status as one of the Company’s directors, executive officers, or other key employees, to the fullest extent permitted by Delaware law, the Company’s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also maintains liability insurance for its directors and officers in order to limit its exposure to liability for indemnification of such persons.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any underwriting agreement the Company enters into in connection with the sale of the common stock being registered hereby, the underwriters may agree to indemnify, under certain conditions, the Company, its directors, its officers and persons who control the Company within the meaning of the Securities Act of 1933, as amended, or the Securities Act, against certain liabilities.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also the undertakings set out in response to Item 17 herein.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48"/>
        </w:trPr>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40" w:type="dxa"/>
            <w:vAlign w:val="bottom"/>
            <w:gridSpan w:val="6"/>
            <w:vMerge w:val="restart"/>
          </w:tcPr>
          <w:p>
            <w:pPr>
              <w:ind w:left="2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vMerge w:val="restart"/>
          </w:tcPr>
          <w:p>
            <w:pPr>
              <w:spacing w:after="0"/>
              <w:rPr>
                <w:sz w:val="12"/>
                <w:szCs w:val="12"/>
                <w:color w:val="auto"/>
              </w:rPr>
            </w:pP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80" w:type="dxa"/>
            <w:vAlign w:val="bottom"/>
            <w:vMerge w:val="restart"/>
          </w:tcPr>
          <w:p>
            <w:pPr>
              <w:spacing w:after="0"/>
              <w:rPr>
                <w:sz w:val="12"/>
                <w:szCs w:val="12"/>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 w:type="dxa"/>
            <w:vAlign w:val="bottom"/>
            <w:vMerge w:val="restart"/>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by Reference</w:t>
            </w:r>
          </w:p>
        </w:tc>
        <w:tc>
          <w:tcPr>
            <w:tcW w:w="8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80" w:type="dxa"/>
            <w:vAlign w:val="bottom"/>
            <w:vMerge w:val="restart"/>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20" w:type="dxa"/>
            <w:vAlign w:val="bottom"/>
          </w:tcPr>
          <w:p>
            <w:pPr>
              <w:spacing w:after="0"/>
              <w:rPr>
                <w:sz w:val="15"/>
                <w:szCs w:val="15"/>
                <w:color w:val="auto"/>
              </w:rPr>
            </w:pPr>
          </w:p>
        </w:tc>
        <w:tc>
          <w:tcPr>
            <w:tcW w:w="5240" w:type="dxa"/>
            <w:vAlign w:val="bottom"/>
            <w:tcBorders>
              <w:bottom w:val="single" w:sz="8" w:color="auto"/>
            </w:tcBorders>
            <w:gridSpan w:val="6"/>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220" w:type="dxa"/>
            <w:vAlign w:val="bottom"/>
          </w:tcPr>
          <w:p>
            <w:pPr>
              <w:spacing w:after="0"/>
              <w:rPr>
                <w:sz w:val="24"/>
                <w:szCs w:val="24"/>
                <w:color w:val="auto"/>
              </w:rPr>
            </w:pPr>
          </w:p>
        </w:tc>
        <w:tc>
          <w:tcPr>
            <w:tcW w:w="54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220" w:type="dxa"/>
            <w:vAlign w:val="bottom"/>
          </w:tcPr>
          <w:p>
            <w:pPr>
              <w:spacing w:after="0"/>
              <w:rPr>
                <w:sz w:val="24"/>
                <w:szCs w:val="24"/>
                <w:color w:val="auto"/>
              </w:rPr>
            </w:pPr>
          </w:p>
        </w:tc>
        <w:tc>
          <w:tcPr>
            <w:tcW w:w="5460" w:type="dxa"/>
            <w:vAlign w:val="bottom"/>
            <w:gridSpan w:val="7"/>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Amended and Restated Certificate of Incorporation of Registrant.</w:t>
              </w:r>
            </w:hyperlink>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001-39614</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10/20/2020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220" w:type="dxa"/>
            <w:vAlign w:val="bottom"/>
          </w:tcPr>
          <w:p>
            <w:pPr>
              <w:spacing w:after="0"/>
              <w:rPr>
                <w:sz w:val="24"/>
                <w:szCs w:val="24"/>
                <w:color w:val="auto"/>
              </w:rPr>
            </w:pPr>
          </w:p>
        </w:tc>
        <w:tc>
          <w:tcPr>
            <w:tcW w:w="47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Amended and Restated Bylaws of Registrant.</w:t>
              </w:r>
            </w:hyperlink>
          </w:p>
        </w:tc>
        <w:tc>
          <w:tcPr>
            <w:tcW w:w="760" w:type="dxa"/>
            <w:vAlign w:val="bottom"/>
            <w:gridSpan w:val="4"/>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001-39614</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10/20/2020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220" w:type="dxa"/>
            <w:vAlign w:val="bottom"/>
          </w:tcPr>
          <w:p>
            <w:pPr>
              <w:spacing w:after="0"/>
              <w:rPr>
                <w:sz w:val="24"/>
                <w:szCs w:val="24"/>
                <w:color w:val="auto"/>
              </w:rPr>
            </w:pPr>
          </w:p>
        </w:tc>
        <w:tc>
          <w:tcPr>
            <w:tcW w:w="5460" w:type="dxa"/>
            <w:vAlign w:val="bottom"/>
            <w:gridSpan w:val="7"/>
          </w:tcPr>
          <w:p>
            <w:pPr>
              <w:spacing w:after="0"/>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Registrant’s common stock certificate.</w:t>
              </w:r>
            </w:hyperlink>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333-249076</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10/09/2020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220" w:type="dxa"/>
            <w:vAlign w:val="bottom"/>
          </w:tcPr>
          <w:p>
            <w:pPr>
              <w:spacing w:after="0"/>
              <w:rPr>
                <w:sz w:val="24"/>
                <w:szCs w:val="24"/>
                <w:color w:val="auto"/>
              </w:rPr>
            </w:pPr>
          </w:p>
        </w:tc>
        <w:tc>
          <w:tcPr>
            <w:tcW w:w="51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Amended and Restated Investors’ Rights Agreement, dated September</w:t>
              </w:r>
            </w:hyperlink>
          </w:p>
        </w:tc>
        <w:tc>
          <w:tcPr>
            <w:tcW w:w="34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24, 2020, by and among the Registrant and the other parties thereto.</w:t>
              </w:r>
            </w:hyperlink>
          </w:p>
        </w:tc>
        <w:tc>
          <w:tcPr>
            <w:tcW w:w="580" w:type="dxa"/>
            <w:vAlign w:val="bottom"/>
            <w:gridSpan w:val="3"/>
          </w:tcPr>
          <w:p>
            <w:pPr>
              <w:spacing w:after="0"/>
              <w:rPr>
                <w:sz w:val="17"/>
                <w:szCs w:val="17"/>
                <w:color w:val="auto"/>
              </w:rPr>
            </w:pPr>
          </w:p>
        </w:tc>
        <w:tc>
          <w:tcPr>
            <w:tcW w:w="76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333-249076</w:t>
            </w:r>
          </w:p>
        </w:tc>
        <w:tc>
          <w:tcPr>
            <w:tcW w:w="10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1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10/09/2020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840" w:right="5340" w:hanging="724"/>
        <w:spacing w:after="0" w:line="282" w:lineRule="auto"/>
        <w:tabs>
          <w:tab w:leader="none" w:pos="2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Certificate of designation, preferences and rights with respect to any preferred stock issued hereunder.</w:t>
      </w:r>
    </w:p>
    <w:p>
      <w:pPr>
        <w:spacing w:after="0" w:line="53" w:lineRule="exact"/>
        <w:rPr>
          <w:rFonts w:ascii="Times New Roman" w:cs="Times New Roman" w:eastAsia="Times New Roman" w:hAnsi="Times New Roman"/>
          <w:sz w:val="18"/>
          <w:szCs w:val="18"/>
          <w:color w:val="auto"/>
        </w:rPr>
      </w:pPr>
    </w:p>
    <w:p>
      <w:pPr>
        <w:ind w:left="200" w:hanging="84"/>
        <w:spacing w:after="0"/>
        <w:tabs>
          <w:tab w:leader="none" w:pos="2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    Form of Warrant with respect to each warrant issued hereunder.</w:t>
      </w:r>
    </w:p>
    <w:p>
      <w:pPr>
        <w:spacing w:after="0" w:line="140" w:lineRule="exact"/>
        <w:rPr>
          <w:sz w:val="20"/>
          <w:szCs w:val="20"/>
          <w:color w:val="auto"/>
        </w:rPr>
      </w:pPr>
    </w:p>
    <w:p>
      <w:pPr>
        <w:ind w:left="120"/>
        <w:spacing w:after="0"/>
        <w:tabs>
          <w:tab w:leader="none" w:pos="820" w:val="left"/>
          <w:tab w:leader="none" w:pos="10920" w:val="left"/>
        </w:tabs>
        <w:rPr>
          <w:sz w:val="20"/>
          <w:szCs w:val="20"/>
          <w:color w:val="auto"/>
        </w:rPr>
      </w:pPr>
      <w:r>
        <w:rPr>
          <w:rFonts w:ascii="Times New Roman" w:cs="Times New Roman" w:eastAsia="Times New Roman" w:hAnsi="Times New Roman"/>
          <w:sz w:val="18"/>
          <w:szCs w:val="18"/>
          <w:color w:val="auto"/>
        </w:rPr>
        <w:t>  4.5</w:t>
      </w:r>
      <w:r>
        <w:rPr>
          <w:sz w:val="20"/>
          <w:szCs w:val="20"/>
          <w:color w:val="auto"/>
        </w:rPr>
        <w:tab/>
      </w:r>
      <w:r>
        <w:rPr>
          <w:rFonts w:ascii="Times New Roman" w:cs="Times New Roman" w:eastAsia="Times New Roman" w:hAnsi="Times New Roman"/>
          <w:sz w:val="18"/>
          <w:szCs w:val="18"/>
          <w:u w:val="single" w:color="auto"/>
          <w:color w:val="0000EE"/>
        </w:rPr>
        <w:t>Form of Indenture with respect to the Securities.</w:t>
      </w:r>
      <w:r>
        <w:rPr>
          <w:sz w:val="20"/>
          <w:szCs w:val="20"/>
          <w:color w:val="auto"/>
        </w:rPr>
        <w:tab/>
      </w:r>
      <w:r>
        <w:rPr>
          <w:rFonts w:ascii="Times New Roman" w:cs="Times New Roman" w:eastAsia="Times New Roman" w:hAnsi="Times New Roman"/>
          <w:sz w:val="18"/>
          <w:szCs w:val="18"/>
          <w:color w:val="auto"/>
        </w:rPr>
        <w:t>X</w:t>
      </w:r>
    </w:p>
    <w:p>
      <w:pPr>
        <w:spacing w:after="0" w:line="117" w:lineRule="exact"/>
        <w:rPr>
          <w:sz w:val="20"/>
          <w:szCs w:val="20"/>
          <w:color w:val="auto"/>
        </w:rPr>
      </w:pPr>
    </w:p>
    <w:p>
      <w:pPr>
        <w:ind w:left="200" w:hanging="84"/>
        <w:spacing w:after="0"/>
        <w:tabs>
          <w:tab w:leader="none" w:pos="2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4.6*    Form of Note.</w:t>
      </w:r>
    </w:p>
    <w:p>
      <w:pPr>
        <w:spacing w:after="0" w:line="140"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4.7*    Form of Unit Agreement.</w:t>
      </w:r>
    </w:p>
    <w:p>
      <w:pPr>
        <w:spacing w:after="0" w:line="140"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Gunderson Dettmer Stough Villeneuve Franklin &amp;</w:t>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76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Hachigian, LLP.</w:t>
            </w:r>
          </w:p>
        </w:tc>
        <w:tc>
          <w:tcPr>
            <w:tcW w:w="260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7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3280" w:type="dxa"/>
            <w:vAlign w:val="bottom"/>
            <w:gridSpan w:val="2"/>
          </w:tcPr>
          <w:p>
            <w:pPr>
              <w:spacing w:after="0"/>
              <w:rPr>
                <w:sz w:val="24"/>
                <w:szCs w:val="24"/>
                <w:color w:val="auto"/>
              </w:rPr>
            </w:pPr>
          </w:p>
        </w:tc>
        <w:tc>
          <w:tcPr>
            <w:tcW w:w="260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1"/>
              </w:rPr>
              <w:t>X</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76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Gunderson Dettmer Stough Villeneuve Franklin &amp;</w:t>
            </w:r>
          </w:p>
        </w:tc>
        <w:tc>
          <w:tcPr>
            <w:tcW w:w="260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Hachigian, LLP (included in Exhibit 5.1).</w:t>
            </w:r>
          </w:p>
        </w:tc>
        <w:tc>
          <w:tcPr>
            <w:tcW w:w="1460" w:type="dxa"/>
            <w:vAlign w:val="bottom"/>
            <w:tcBorders>
              <w:top w:val="single" w:sz="8" w:color="0000EE"/>
            </w:tcBorders>
            <w:gridSpan w:val="3"/>
          </w:tcPr>
          <w:p>
            <w:pPr>
              <w:spacing w:after="0"/>
              <w:rPr>
                <w:sz w:val="17"/>
                <w:szCs w:val="17"/>
                <w:color w:val="auto"/>
              </w:rPr>
            </w:pPr>
          </w:p>
        </w:tc>
        <w:tc>
          <w:tcPr>
            <w:tcW w:w="3180" w:type="dxa"/>
            <w:vAlign w:val="bottom"/>
          </w:tcPr>
          <w:p>
            <w:pPr>
              <w:spacing w:after="0"/>
              <w:rPr>
                <w:sz w:val="17"/>
                <w:szCs w:val="17"/>
                <w:color w:val="auto"/>
              </w:rPr>
            </w:pPr>
          </w:p>
        </w:tc>
        <w:tc>
          <w:tcPr>
            <w:tcW w:w="2600" w:type="dxa"/>
            <w:vAlign w:val="bottom"/>
          </w:tcPr>
          <w:p>
            <w:pPr>
              <w:ind w:left="246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w:t>
            </w:r>
          </w:p>
        </w:tc>
        <w:tc>
          <w:tcPr>
            <w:tcW w:w="4160" w:type="dxa"/>
            <w:vAlign w:val="bottom"/>
            <w:gridSpan w:val="3"/>
          </w:tcPr>
          <w:p>
            <w:pPr>
              <w:spacing w:after="0"/>
              <w:rPr>
                <w:sz w:val="24"/>
                <w:szCs w:val="24"/>
                <w:color w:val="auto"/>
              </w:rPr>
            </w:pPr>
          </w:p>
        </w:tc>
        <w:tc>
          <w:tcPr>
            <w:tcW w:w="260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1"/>
              </w:rPr>
              <w:t>X</w:t>
            </w:r>
          </w:p>
        </w:tc>
      </w:tr>
      <w:tr>
        <w:trPr>
          <w:trHeight w:val="32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7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Statement of Eligibility on Form T-1 under the Trust Indenture Act</w:t>
            </w:r>
          </w:p>
        </w:tc>
        <w:tc>
          <w:tcPr>
            <w:tcW w:w="260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7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1939, as amended, of the Trustee under the Indenture will be</w:t>
            </w:r>
          </w:p>
        </w:tc>
        <w:tc>
          <w:tcPr>
            <w:tcW w:w="260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7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incorporated herein by reference from a subsequent filing in accordance</w:t>
            </w:r>
          </w:p>
        </w:tc>
        <w:tc>
          <w:tcPr>
            <w:tcW w:w="260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7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 Section 305(b)(2) of the Trust Indenture Act of 1939.</w:t>
            </w:r>
          </w:p>
        </w:tc>
        <w:tc>
          <w:tcPr>
            <w:tcW w:w="2600" w:type="dxa"/>
            <w:vAlign w:val="bottom"/>
          </w:tcPr>
          <w:p>
            <w:pPr>
              <w:spacing w:after="0"/>
              <w:rPr>
                <w:sz w:val="20"/>
                <w:szCs w:val="20"/>
                <w:color w:val="auto"/>
              </w:rPr>
            </w:pPr>
          </w:p>
        </w:tc>
      </w:t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6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260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7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252" w:lineRule="exact"/>
        <w:rPr>
          <w:sz w:val="20"/>
          <w:szCs w:val="20"/>
          <w:color w:val="auto"/>
        </w:rPr>
      </w:pPr>
    </w:p>
    <w:p>
      <w:pPr>
        <w:ind w:left="540" w:right="80" w:hanging="424"/>
        <w:spacing w:after="0" w:line="261"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applicable, by amendment or as an exhibit to a report pursuant to Section 13(a) or 15(d) of the Securities Exchange Act of 1934, as amended, and incorporated herein by reference.</w:t>
      </w:r>
    </w:p>
    <w:p>
      <w:pPr>
        <w:ind w:left="5480" w:right="2000" w:hanging="5364"/>
        <w:spacing w:after="0" w:line="433" w:lineRule="auto"/>
        <w:tabs>
          <w:tab w:leader="none" w:pos="53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applicable, in accordance with the requirements of Section 305(b)(2) of the Trust Indenture Act of 1939. II-3</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5"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2080" w:hanging="533"/>
        <w:spacing w:after="0" w:line="254" w:lineRule="auto"/>
        <w:tabs>
          <w:tab w:leader="none" w:pos="20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7" w:lineRule="exact"/>
        <w:rPr>
          <w:rFonts w:ascii="Times New Roman" w:cs="Times New Roman" w:eastAsia="Times New Roman" w:hAnsi="Times New Roman"/>
          <w:sz w:val="18"/>
          <w:szCs w:val="18"/>
          <w:color w:val="auto"/>
        </w:rPr>
      </w:pPr>
    </w:p>
    <w:p>
      <w:pPr>
        <w:ind w:left="2080" w:right="540" w:hanging="533"/>
        <w:spacing w:after="0" w:line="282" w:lineRule="auto"/>
        <w:tabs>
          <w:tab w:leader="none" w:pos="20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above do not apply if the registration statement is on Form S-3 and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included in a post-effective amendment by those paragraphs is contained in reports filed with or furnished to the SEC by the registrant pursuant to Section 13 or Section 15(d) of the Securities Exchange Act of 1934, as amended, or the Exchange Act, that are incorporated by reference in the registration statement, or are contained in a form of prospectus filed pursuant to Rule 424(b) that is part of the registration statement.</w:t>
      </w:r>
    </w:p>
    <w:p>
      <w:pPr>
        <w:spacing w:after="0" w:line="87" w:lineRule="exact"/>
        <w:rPr>
          <w:sz w:val="20"/>
          <w:szCs w:val="20"/>
          <w:color w:val="auto"/>
        </w:rPr>
      </w:pPr>
    </w:p>
    <w:p>
      <w:pPr>
        <w:ind w:left="1080" w:hanging="532"/>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540" w:hanging="439"/>
        <w:spacing w:after="0" w:line="272" w:lineRule="auto"/>
        <w:tabs>
          <w:tab w:leader="none" w:pos="15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statement made in a registration statement or prospectus that is part of the</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140"/>
        <w:spacing w:after="0" w:line="261" w:lineRule="auto"/>
        <w:rPr>
          <w:sz w:val="20"/>
          <w:szCs w:val="20"/>
          <w:color w:val="auto"/>
        </w:rPr>
      </w:pPr>
      <w:r>
        <w:rPr>
          <w:rFonts w:ascii="Times New Roman" w:cs="Times New Roman" w:eastAsia="Times New Roman" w:hAnsi="Times New Roman"/>
          <w:sz w:val="18"/>
          <w:szCs w:val="18"/>
          <w:color w:val="auto"/>
        </w:rPr>
        <w:t>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5" w:lineRule="exact"/>
        <w:rPr>
          <w:sz w:val="20"/>
          <w:szCs w:val="20"/>
          <w:color w:val="auto"/>
        </w:rPr>
      </w:pPr>
    </w:p>
    <w:p>
      <w:pPr>
        <w:ind w:left="1540" w:right="80" w:hanging="439"/>
        <w:spacing w:after="0" w:line="258" w:lineRule="auto"/>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2080" w:right="40" w:hanging="533"/>
        <w:spacing w:after="0" w:line="282" w:lineRule="auto"/>
        <w:tabs>
          <w:tab w:leader="none" w:pos="2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2080" w:right="120" w:hanging="533"/>
        <w:spacing w:after="0" w:line="282" w:lineRule="auto"/>
        <w:tabs>
          <w:tab w:leader="none" w:pos="2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2080" w:right="20" w:hanging="533"/>
        <w:spacing w:after="0" w:line="282" w:lineRule="auto"/>
        <w:tabs>
          <w:tab w:leader="none" w:pos="2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1540" w:right="120" w:hanging="439"/>
        <w:spacing w:after="0" w:line="258" w:lineRule="auto"/>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1540" w:hanging="439"/>
        <w:spacing w:after="0" w:line="254" w:lineRule="auto"/>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3" w:lineRule="exact"/>
        <w:rPr>
          <w:rFonts w:ascii="Times New Roman" w:cs="Times New Roman" w:eastAsia="Times New Roman" w:hAnsi="Times New Roman"/>
          <w:sz w:val="18"/>
          <w:szCs w:val="18"/>
          <w:color w:val="auto"/>
        </w:rPr>
      </w:pPr>
    </w:p>
    <w:p>
      <w:pPr>
        <w:ind w:left="1540" w:right="340" w:hanging="439"/>
        <w:spacing w:after="0" w:line="266" w:lineRule="auto"/>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Irvine, State of California, on February 29,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Bobak Azamian, M.D., Ph.D.</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Bobak Azamian, M.D., Ph.D., Jeffrey Farrow, and Bryan Wahl, M.D., and each of them acting individually, as his or her true and lawful attorneys-in-fact and agents, with full power of each to act alone, with full powers of substitution and resubstitution, for him and in his or her name, place and stead, in any and all capacities, to sign any and all amendments to this registration statement on Form S-3 (including post-effective amendments and any related registration statements filed pursuant to Rule 462 and otherwise)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her or their substitutes, may lawfully do or cause to be done by virtue hereof.</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600" w:type="dxa"/>
            <w:vAlign w:val="bottom"/>
            <w:gridSpan w:val="2"/>
          </w:tcPr>
          <w:p>
            <w:pPr>
              <w:ind w:left="25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10"/>
        </w:trPr>
        <w:tc>
          <w:tcPr>
            <w:tcW w:w="3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Bobak Azamian, M.D., Ph.D.</w:t>
            </w:r>
          </w:p>
        </w:tc>
        <w:tc>
          <w:tcPr>
            <w:tcW w:w="120" w:type="dxa"/>
            <w:vAlign w:val="bottom"/>
          </w:tcPr>
          <w:p>
            <w:pPr>
              <w:spacing w:after="0"/>
              <w:rPr>
                <w:sz w:val="18"/>
                <w:szCs w:val="18"/>
                <w:color w:val="auto"/>
              </w:rPr>
            </w:pPr>
          </w:p>
        </w:tc>
        <w:tc>
          <w:tcPr>
            <w:tcW w:w="5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c>
          <w:tcPr>
            <w:tcW w:w="200" w:type="dxa"/>
            <w:vAlign w:val="bottom"/>
          </w:tcPr>
          <w:p>
            <w:pPr>
              <w:spacing w:after="0"/>
              <w:rPr>
                <w:sz w:val="18"/>
                <w:szCs w:val="18"/>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Bobak Azamian, M.D., Ph.D.</w:t>
            </w:r>
          </w:p>
        </w:tc>
        <w:tc>
          <w:tcPr>
            <w:tcW w:w="1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Farrow</w:t>
            </w:r>
          </w:p>
        </w:tc>
        <w:tc>
          <w:tcPr>
            <w:tcW w:w="1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Chief Strategy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Jeffrey Farrow</w:t>
            </w:r>
          </w:p>
        </w:tc>
        <w:tc>
          <w:tcPr>
            <w:tcW w:w="1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Bhaskar Chaudhuri, Ph.D.</w:t>
            </w:r>
          </w:p>
        </w:tc>
        <w:tc>
          <w:tcPr>
            <w:tcW w:w="1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Bhaskar Chaudhuri,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Rosemary Crane</w:t>
            </w:r>
          </w:p>
        </w:tc>
        <w:tc>
          <w:tcPr>
            <w:tcW w:w="1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Rosemary Crane</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Goldberg, M.D.</w:t>
            </w:r>
          </w:p>
        </w:tc>
        <w:tc>
          <w:tcPr>
            <w:tcW w:w="1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Andrew Goldberg, M.D.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Link, Ph.D.</w:t>
            </w:r>
          </w:p>
        </w:tc>
        <w:tc>
          <w:tcPr>
            <w:tcW w:w="1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William J. Link,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0"/>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II-6</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40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Morrison</w:t>
            </w:r>
          </w:p>
        </w:tc>
        <w:tc>
          <w:tcPr>
            <w:tcW w:w="1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Scott Morrison</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Wendy Yarno</w:t>
            </w:r>
          </w:p>
        </w:tc>
        <w:tc>
          <w:tcPr>
            <w:tcW w:w="1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Wendy Yarno</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Elizabeth Yeu, M.D.</w:t>
            </w:r>
          </w:p>
        </w:tc>
        <w:tc>
          <w:tcPr>
            <w:tcW w:w="1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r>
      <w:tr>
        <w:trPr>
          <w:trHeight w:val="22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Elizabeth Yeu, M.D.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0"/>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II-7</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 Issuer</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251460</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Providing for the Issuance of Debt Securities in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20" w:type="dxa"/>
            <w:vAlign w:val="bottom"/>
            <w:gridSpan w:val="3"/>
          </w:tcPr>
          <w:p>
            <w:pPr>
              <w:jc w:val="center"/>
              <w:ind w:left="571"/>
              <w:spacing w:after="0"/>
              <w:rPr>
                <w:sz w:val="20"/>
                <w:szCs w:val="20"/>
                <w:color w:val="auto"/>
              </w:rPr>
            </w:pPr>
            <w:r>
              <w:rPr>
                <w:rFonts w:ascii="Times New Roman" w:cs="Times New Roman" w:eastAsia="Times New Roman" w:hAnsi="Times New Roman"/>
                <w:sz w:val="18"/>
                <w:szCs w:val="18"/>
                <w:color w:val="auto"/>
                <w:w w:val="99"/>
              </w:rPr>
              <w:t>TARSUS PHARMACEUTICALS, INC.</w:t>
            </w:r>
          </w:p>
        </w:tc>
      </w:tr>
      <w:tr>
        <w:trPr>
          <w:trHeight w:val="216"/>
        </w:trPr>
        <w:tc>
          <w:tcPr>
            <w:tcW w:w="1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20" w:type="dxa"/>
            <w:vAlign w:val="bottom"/>
            <w:gridSpan w:val="3"/>
          </w:tcPr>
          <w:p>
            <w:pPr>
              <w:jc w:val="center"/>
              <w:ind w:left="591"/>
              <w:spacing w:after="0"/>
              <w:rPr>
                <w:sz w:val="20"/>
                <w:szCs w:val="20"/>
                <w:color w:val="auto"/>
              </w:rPr>
            </w:pPr>
            <w:r>
              <w:rPr>
                <w:rFonts w:ascii="Times New Roman" w:cs="Times New Roman" w:eastAsia="Times New Roman" w:hAnsi="Times New Roman"/>
                <w:sz w:val="18"/>
                <w:szCs w:val="18"/>
                <w:color w:val="auto"/>
                <w:w w:val="99"/>
              </w:rPr>
              <w:t>Reconciliation and tie between the Trust Indenture Act of 1939</w:t>
            </w:r>
          </w:p>
        </w:tc>
      </w:tr>
      <w:tr>
        <w:trPr>
          <w:trHeight w:val="234"/>
        </w:trPr>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20" w:type="dxa"/>
            <w:vAlign w:val="bottom"/>
            <w:gridSpan w:val="3"/>
          </w:tcPr>
          <w:p>
            <w:pPr>
              <w:jc w:val="center"/>
              <w:ind w:left="591"/>
              <w:spacing w:after="0"/>
              <w:rPr>
                <w:sz w:val="20"/>
                <w:szCs w:val="20"/>
                <w:color w:val="auto"/>
              </w:rPr>
            </w:pPr>
            <w:r>
              <w:rPr>
                <w:rFonts w:ascii="Times New Roman" w:cs="Times New Roman" w:eastAsia="Times New Roman" w:hAnsi="Times New Roman"/>
                <w:sz w:val="18"/>
                <w:szCs w:val="18"/>
                <w:color w:val="auto"/>
                <w:w w:val="99"/>
              </w:rPr>
              <w:t>and the Indenture</w:t>
            </w:r>
          </w:p>
        </w:tc>
      </w:tr>
      <w:tr>
        <w:trPr>
          <w:trHeight w:val="392"/>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Trust Indenture Act Section</w:t>
            </w:r>
          </w:p>
        </w:tc>
        <w:tc>
          <w:tcPr>
            <w:tcW w:w="840" w:type="dxa"/>
            <w:vAlign w:val="bottom"/>
          </w:tcPr>
          <w:p>
            <w:pPr>
              <w:spacing w:after="0"/>
              <w:rPr>
                <w:sz w:val="24"/>
                <w:szCs w:val="24"/>
                <w:color w:val="auto"/>
              </w:rPr>
            </w:pPr>
          </w:p>
        </w:tc>
        <w:tc>
          <w:tcPr>
            <w:tcW w:w="5220" w:type="dxa"/>
            <w:vAlign w:val="bottom"/>
            <w:gridSpan w:val="3"/>
          </w:tcPr>
          <w:p>
            <w:pPr>
              <w:ind w:left="3180"/>
              <w:spacing w:after="0"/>
              <w:rPr>
                <w:sz w:val="20"/>
                <w:szCs w:val="20"/>
                <w:color w:val="auto"/>
              </w:rPr>
            </w:pPr>
            <w:r>
              <w:rPr>
                <w:rFonts w:ascii="Times New Roman" w:cs="Times New Roman" w:eastAsia="Times New Roman" w:hAnsi="Times New Roman"/>
                <w:sz w:val="14"/>
                <w:szCs w:val="14"/>
                <w:b w:val="1"/>
                <w:bCs w:val="1"/>
                <w:color w:val="auto"/>
              </w:rPr>
              <w:t>Indenture Section</w:t>
            </w:r>
          </w:p>
        </w:tc>
      </w:tr>
      <w:tr>
        <w:trPr>
          <w:trHeight w:val="20"/>
        </w:trPr>
        <w:tc>
          <w:tcPr>
            <w:tcW w:w="1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9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Sec. 310(a)(1)</w:t>
            </w:r>
          </w:p>
        </w:tc>
        <w:tc>
          <w:tcPr>
            <w:tcW w:w="840" w:type="dxa"/>
            <w:vAlign w:val="bottom"/>
          </w:tcPr>
          <w:p>
            <w:pPr>
              <w:spacing w:after="0"/>
              <w:rPr>
                <w:sz w:val="24"/>
                <w:szCs w:val="24"/>
                <w:color w:val="auto"/>
              </w:rPr>
            </w:pPr>
          </w:p>
        </w:tc>
        <w:tc>
          <w:tcPr>
            <w:tcW w:w="428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607</w:t>
            </w:r>
          </w:p>
        </w:tc>
        <w:tc>
          <w:tcPr>
            <w:tcW w:w="940" w:type="dxa"/>
            <w:vAlign w:val="bottom"/>
          </w:tcPr>
          <w:p>
            <w:pPr>
              <w:spacing w:after="0"/>
              <w:rPr>
                <w:sz w:val="24"/>
                <w:szCs w:val="24"/>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428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607</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428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608</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312(c)</w:t>
            </w:r>
          </w:p>
        </w:tc>
        <w:tc>
          <w:tcPr>
            <w:tcW w:w="428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701</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314(a)</w:t>
            </w:r>
          </w:p>
        </w:tc>
        <w:tc>
          <w:tcPr>
            <w:tcW w:w="428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703</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(c)(1)</w:t>
            </w:r>
          </w:p>
        </w:tc>
        <w:tc>
          <w:tcPr>
            <w:tcW w:w="428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(c)(2)</w:t>
            </w:r>
          </w:p>
        </w:tc>
        <w:tc>
          <w:tcPr>
            <w:tcW w:w="428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w:t>
            </w:r>
          </w:p>
        </w:tc>
        <w:tc>
          <w:tcPr>
            <w:tcW w:w="428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315(b)</w:t>
            </w:r>
          </w:p>
        </w:tc>
        <w:tc>
          <w:tcPr>
            <w:tcW w:w="428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601</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316(a) (last sentence)</w:t>
            </w:r>
          </w:p>
        </w:tc>
        <w:tc>
          <w:tcPr>
            <w:tcW w:w="5220" w:type="dxa"/>
            <w:vAlign w:val="bottom"/>
            <w:gridSpan w:val="3"/>
          </w:tcPr>
          <w:p>
            <w:pPr>
              <w:ind w:left="3180"/>
              <w:spacing w:after="0"/>
              <w:rPr>
                <w:sz w:val="20"/>
                <w:szCs w:val="20"/>
                <w:color w:val="auto"/>
              </w:rPr>
            </w:pPr>
            <w:r>
              <w:rPr>
                <w:rFonts w:ascii="Times New Roman" w:cs="Times New Roman" w:eastAsia="Times New Roman" w:hAnsi="Times New Roman"/>
                <w:sz w:val="18"/>
                <w:szCs w:val="18"/>
                <w:color w:val="auto"/>
              </w:rPr>
              <w:t>101 (“Outstanding”)</w:t>
            </w: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(a)(1)(A)</w:t>
            </w:r>
          </w:p>
        </w:tc>
        <w:tc>
          <w:tcPr>
            <w:tcW w:w="428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502, 512</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(a)(1)(B)</w:t>
            </w:r>
          </w:p>
        </w:tc>
        <w:tc>
          <w:tcPr>
            <w:tcW w:w="428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513</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428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508</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5220" w:type="dxa"/>
            <w:vAlign w:val="bottom"/>
            <w:gridSpan w:val="3"/>
          </w:tcPr>
          <w:p>
            <w:pPr>
              <w:ind w:left="3180"/>
              <w:spacing w:after="0"/>
              <w:rPr>
                <w:sz w:val="20"/>
                <w:szCs w:val="20"/>
                <w:color w:val="auto"/>
              </w:rPr>
            </w:pPr>
            <w:r>
              <w:rPr>
                <w:rFonts w:ascii="Times New Roman" w:cs="Times New Roman" w:eastAsia="Times New Roman" w:hAnsi="Times New Roman"/>
                <w:sz w:val="18"/>
                <w:szCs w:val="18"/>
                <w:color w:val="auto"/>
              </w:rPr>
              <w:t>104(c)</w:t>
            </w: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317(a)(1)</w:t>
            </w:r>
          </w:p>
        </w:tc>
        <w:tc>
          <w:tcPr>
            <w:tcW w:w="428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503</w:t>
            </w:r>
          </w:p>
        </w:tc>
        <w:tc>
          <w:tcPr>
            <w:tcW w:w="94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428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504</w:t>
            </w:r>
          </w:p>
        </w:tc>
        <w:tc>
          <w:tcPr>
            <w:tcW w:w="940" w:type="dxa"/>
            <w:vAlign w:val="bottom"/>
          </w:tcPr>
          <w:p>
            <w:pPr>
              <w:spacing w:after="0"/>
              <w:rPr>
                <w:sz w:val="18"/>
                <w:szCs w:val="18"/>
                <w:color w:val="auto"/>
              </w:rPr>
            </w:pPr>
          </w:p>
        </w:tc>
      </w:tr>
      <w:tr>
        <w:trPr>
          <w:trHeight w:val="234"/>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318(a)</w:t>
            </w:r>
          </w:p>
        </w:tc>
        <w:tc>
          <w:tcPr>
            <w:tcW w:w="4280" w:type="dxa"/>
            <w:vAlign w:val="bottom"/>
            <w:gridSpan w:val="2"/>
          </w:tcPr>
          <w:p>
            <w:pPr>
              <w:ind w:left="3180"/>
              <w:spacing w:after="0"/>
              <w:rPr>
                <w:sz w:val="20"/>
                <w:szCs w:val="20"/>
                <w:color w:val="auto"/>
              </w:rPr>
            </w:pPr>
            <w:r>
              <w:rPr>
                <w:rFonts w:ascii="Times New Roman" w:cs="Times New Roman" w:eastAsia="Times New Roman" w:hAnsi="Times New Roman"/>
                <w:sz w:val="18"/>
                <w:szCs w:val="18"/>
                <w:color w:val="auto"/>
              </w:rPr>
              <w:t>111</w:t>
            </w:r>
          </w:p>
        </w:tc>
        <w:tc>
          <w:tcPr>
            <w:tcW w:w="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a part of the Indenture.</w:t>
      </w:r>
    </w:p>
    <w:p>
      <w:pPr>
        <w:sectPr>
          <w:pgSz w:w="11900" w:h="16838" w:orient="portrait"/>
          <w:cols w:equalWidth="0" w:num="1">
            <w:col w:w="10019"/>
          </w:cols>
          <w:pgMar w:left="440" w:top="270" w:right="1440"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5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Other Provisions of General Application</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Certificates and Opinions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Documents Delivered to Trustee</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Acts of Holders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 etc. to Trustee or the Company</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to Holders; Waiver</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Headings and Table of Contents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 and Assigns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Separability Clause</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   Benefits of Indenture</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Holidays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Recourse</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114.   Incorporation by Reference of Trust Indenture Act</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115.   Rules of Construction</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116.</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Force Majeure</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117.</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U.S.A. Patriot Act</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Security Forms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Forms Generally</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Trustee’s Certificate of Authentication</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Issuable in Global Form</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65"/>
        </w:trPr>
        <w:tc>
          <w:tcPr>
            <w:tcW w:w="12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700" w:type="dxa"/>
            <w:vAlign w:val="bottom"/>
          </w:tcPr>
          <w:p>
            <w:pPr>
              <w:jc w:val="right"/>
              <w:ind w:right="5351"/>
              <w:spacing w:after="0"/>
              <w:rPr>
                <w:sz w:val="20"/>
                <w:szCs w:val="20"/>
                <w:color w:val="auto"/>
              </w:rPr>
            </w:pPr>
            <w:r>
              <w:rPr>
                <w:rFonts w:ascii="Times New Roman" w:cs="Times New Roman" w:eastAsia="Times New Roman" w:hAnsi="Times New Roman"/>
                <w:sz w:val="18"/>
                <w:szCs w:val="18"/>
                <w:color w:val="auto"/>
              </w:rPr>
              <w:t>i</w:t>
            </w:r>
          </w:p>
        </w:tc>
      </w:tr>
    </w:tbl>
    <w:p>
      <w:pPr>
        <w:sectPr>
          <w:pgSz w:w="11900" w:h="16838" w:orient="portrait"/>
          <w:cols w:equalWidth="0" w:num="1">
            <w:col w:w="10960"/>
          </w:cols>
          <w:pgMar w:left="440" w:top="266" w:right="49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The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Amount Unlimited; Issuable in Series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Denominations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Execution, Authentication, Delivery and Dating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Temporary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305.   Registration, Registration of Transfer and Exchange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306.   Mutilated, Destroyed, Lost and Stolen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307.   Payment of Interest; Interest Rights Preserved; Optional Interest Reset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308.   Optional Extension of Maturity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309.   Persons Deemed Owners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311.   Computation of Interest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312.   Currency and Manner of Payments in Respect of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313.   Appointment and Resignation of Successor Exchange Rate Agent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Satisfaction and Discharge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Satisfaction and Discharge of Indenture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Application of Trust Money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Remedies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The Trustee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Defaults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602.   Certain Duties, Responsibilities and Rights of Trustee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603.   Trustee Not Responsible for Recitals or Issuance of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May Hold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605.   Money Held in Trust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64"/>
        </w:trPr>
        <w:tc>
          <w:tcPr>
            <w:tcW w:w="1260" w:type="dxa"/>
            <w:vAlign w:val="bottom"/>
          </w:tcPr>
          <w:p>
            <w:pPr>
              <w:spacing w:after="0"/>
              <w:rPr>
                <w:sz w:val="24"/>
                <w:szCs w:val="24"/>
                <w:color w:val="auto"/>
              </w:rPr>
            </w:pPr>
          </w:p>
        </w:tc>
        <w:tc>
          <w:tcPr>
            <w:tcW w:w="736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ii</w:t>
            </w:r>
          </w:p>
        </w:tc>
        <w:tc>
          <w:tcPr>
            <w:tcW w:w="234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43" w:name="page44"/>
    <w:bookmarkEnd w:id="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Trustee Required; Eligibility; Conflicting Interests; Disqualification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Consolidation or Succession to Business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of Authenticating Agent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Holders’ Lists and Reports by Trustee and Company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 of Names and Addresses of Holders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Reports by Trustee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Reports by Company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Consolidation, Merger, Conveyance, Transfer or Lease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Supplemental Indentures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Supplemental Indentures Without Consent of Holders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Supplemental Indentures with Consent of Holders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Conformity with Trust Indenture Act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Reference in Securities to Supplemental Indentures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Supplemental Indentures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Covenants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Redemption of Securities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Applicability of Article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Election to Redeem; Notice to Trustee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Selection by Trustee of Securities to Be Redeemed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7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Redemption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65"/>
        </w:trPr>
        <w:tc>
          <w:tcPr>
            <w:tcW w:w="1300" w:type="dxa"/>
            <w:vAlign w:val="bottom"/>
          </w:tcPr>
          <w:p>
            <w:pPr>
              <w:spacing w:after="0"/>
              <w:rPr>
                <w:sz w:val="24"/>
                <w:szCs w:val="24"/>
                <w:color w:val="auto"/>
              </w:rPr>
            </w:pPr>
          </w:p>
        </w:tc>
        <w:tc>
          <w:tcPr>
            <w:tcW w:w="762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iii</w:t>
            </w:r>
          </w:p>
        </w:tc>
        <w:tc>
          <w:tcPr>
            <w:tcW w:w="204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1105.  Deposit of Redemption Price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1106.  Securities Payable on Redemption Date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1107.  Securities Redeemed in Part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1108.  Optional Redemption Due to Changes in Tax Treatment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Sinking Funds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1201.  Applicability of Article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1202.  Satisfaction of Sinking Fund Payments with Securities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1203.  Redemption of Securities for Sinking Fund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Repayment at Option of Holders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1301.  Applicability of Article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1302.  Repayment of Securities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1303.</w:t>
            </w:r>
          </w:p>
        </w:tc>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Option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1304.  When Securities Presented for Repayment Become Due and Payable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1305.  Securities Repaid in Part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14 Defeasance and Covenant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1401.  Company’s Option to Effect Defeasance or Covenant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1402.  Defeasance and Discharge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1403.</w:t>
            </w:r>
          </w:p>
        </w:tc>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1404.  Conditions to Defeasance or Covenant Defeasance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1405.  Deposited Money and Government Obligations to Be Held in Trust; Other Miscellaneous Provisions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1406.</w:t>
            </w:r>
          </w:p>
        </w:tc>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15 Meetings of Holders of Securities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1501.  Purposes for Which Meetings May Be Called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1502.  Call, Notice and Place of Meetings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1503.  Persons Entitled to Vote at Meetings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65"/>
        </w:trPr>
        <w:tc>
          <w:tcPr>
            <w:tcW w:w="1300" w:type="dxa"/>
            <w:vAlign w:val="bottom"/>
          </w:tcPr>
          <w:p>
            <w:pPr>
              <w:spacing w:after="0"/>
              <w:rPr>
                <w:sz w:val="24"/>
                <w:szCs w:val="24"/>
                <w:color w:val="auto"/>
              </w:rPr>
            </w:pPr>
          </w:p>
        </w:tc>
        <w:tc>
          <w:tcPr>
            <w:tcW w:w="840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iv</w:t>
            </w:r>
          </w:p>
        </w:tc>
        <w:tc>
          <w:tcPr>
            <w:tcW w:w="126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45" w:name="page46"/>
    <w:bookmarkEnd w:id="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1504.</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Quorum; Action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1505.</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Determination of Voting Rights; Conduct and Adjournment of Meetings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1506.</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Counting Votes and Recording Action of Meetings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60"/>
          </w:cols>
          <w:pgMar w:left="440" w:top="270" w:right="499" w:bottom="1440" w:gutter="0" w:footer="0" w:header="0"/>
        </w:sectPr>
      </w:pPr>
    </w:p>
    <w:bookmarkStart w:id="46" w:name="page47"/>
    <w:bookmarkEnd w:id="46"/>
    <w:p>
      <w:pPr>
        <w:jc w:val="both"/>
        <w:ind w:right="3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 20  , between TARSUS PHARMACEUTICALS, INC., a Delaware corporation, as Issuer (the “Company”), having its principal office at 15440 Laguna Canyon Road, Suite 160, Irvine, California 92618, and [TRUSTEE], a New York banking corporation, as Trustee (the “Trustee”).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RECITALS OF THE COMPANY</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WHEREAS, the Company has duly authorized the execution and delivery of this Indenture to provide for the issuance from time to time of its unsecured senior or subordinated debentures, notes or other evidences of indebtedness (the “Securities”), which may be convertible into or exchangeable for any securities of any person (including the Company), to be issued in one or more series as in this Indenture provided; and</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WHEREAS, this Indenture is subject to the provisions of the Trust Indenture Act of 1939, as amended, that are required to be part of this Indenture, and shall be governed by such provisions; provided that if any provision of this Indenture modifies any TIA (as defined herein) provision that may be so modified, such TIA provision shall be deemed to apply to this Indenture as so modified; provided further that if any provision of this Indenture excludes any TIA provision that may be so excluded, such TIA provision shall be excluded from this Indenture; and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all things necessary to make this Indenture a valid agreement of the Company, in accordance with its terms, have been done.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117"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(as defined herein) thereof, it is mutually covenanted and agreed, for the equal and proportionate benefit of all Holders of the Securities or of series thereof and any coupons (as defined herein), as follows: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“Act”, when used with respect to any Holder, has the meaning specified in Section 104.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“Additional Amounts” has the meaning specified in Article 10.</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shall have correlative meanings.</w:t>
      </w:r>
    </w:p>
    <w:p>
      <w:pPr>
        <w:sectPr>
          <w:pgSz w:w="11900" w:h="16838" w:orient="portrait"/>
          <w:cols w:equalWidth="0" w:num="1">
            <w:col w:w="11000"/>
          </w:cols>
          <w:pgMar w:left="440" w:top="270" w:right="459" w:bottom="1440" w:gutter="0" w:footer="0" w:header="0"/>
        </w:sectPr>
      </w:pPr>
    </w:p>
    <w:bookmarkStart w:id="47" w:name="page48"/>
    <w:bookmarkEnd w:id="4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“Authenticating Agent” means any Person appointed by the Trustee to act on behalf of the Trustee pursuant to Section 611 to authenticate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w:t>
      </w:r>
    </w:p>
    <w:p>
      <w:pPr>
        <w:spacing w:after="0" w:line="20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“Authorized Newspaper”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“Bankruptcy Law” means Title 11, U.S. Code or any similar U.S. federal or state law for the relief of debtors.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“Bearer Security” means any Security except a Registered Security.</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“Board of Directors” means (i) with respect to a corporation, the board of directors of the corporation; (ii) with respect to a partnership, the board of directors of a corporate general partner of the partnership; (iii) with respect to a limited liability company, the managing members thereof; and (iv) with respect to any other Person, the board of directors or committee of such Person serving a similar function.</w:t>
      </w:r>
    </w:p>
    <w:p>
      <w:pPr>
        <w:spacing w:after="0" w:line="176"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“Board Resolution” means a copy of a resolution certified by the Secretary or an Assistant Secretary of the Company as the case may be, to have been duly adopted by the Board of Directors and to be in full force and effect on the date of such certification, and delivered to the Trustee.</w:t>
      </w:r>
    </w:p>
    <w:p>
      <w:pPr>
        <w:spacing w:after="0" w:line="162"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“Business Day” means, when used with respect to any Place of Payment or any other particular location referred to in this Indenture or in the Securities, unless otherwise specified with respect to any Securities pursuant to Section 301, each Monday, Tuesday, Wednesday, Thursday and Friday which (i) is not a day on which banking institutions in that Place of Payment or other location are authorized or obligated by law or executive order to close and (ii) if a payment is to be made in (or a rate is to be ascertained for) Euros, is also a day in which TARGET2 is open for settlement of payments in Euros.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“Clearstream” means Clearstream Banking, société anonyme, or its successor.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“Code” means the United States Internal Revenue Code of 1986, as amended, and the regulations thereunder.</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“Commission” or “SEC” means the U.S.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176"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“Commodity Agreement” means any forward contract, commodity swap, commodity option or other financial agreement or arrangement relating to, or the value of which is dependent upon, fluctuations in commodity prices.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8" w:name="page49"/>
    <w:bookmarkEnd w:id="4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 Depositary” has the meaning specified in Section 304.</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“Company” means the Person named as the “Company” in the first paragraph of this Indenture until a successor Person shall have become such pursuant to the applicable provisions of this Indenture, and thereafter “Company” shall mean such successor Person.</w:t>
      </w:r>
    </w:p>
    <w:p>
      <w:pPr>
        <w:spacing w:after="0" w:line="162"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“Company Request” or “Company Order” means a written request or order signed in the name of the Company by an Officer of the Company and delivered to the Trustee.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“Conversion Date” has the meaning specified in Section 312(d).</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“Conversion Event” means the cessation of use of a Foreign Currency both by the government of one or more countries or by any recognized union, association or confederation of governments that issued such Foreign Currency and by a central bank or other public institution of or within the international banking community for the settlement of transactions in such Foreign Currency.</w:t>
      </w:r>
    </w:p>
    <w:p>
      <w:pPr>
        <w:spacing w:after="0" w:line="176" w:lineRule="exact"/>
        <w:rPr>
          <w:sz w:val="20"/>
          <w:szCs w:val="20"/>
          <w:color w:val="auto"/>
        </w:rPr>
      </w:pPr>
    </w:p>
    <w:p>
      <w:pPr>
        <w:ind w:right="320" w:firstLine="991"/>
        <w:spacing w:after="0" w:line="261" w:lineRule="auto"/>
        <w:rPr>
          <w:sz w:val="20"/>
          <w:szCs w:val="20"/>
          <w:color w:val="auto"/>
        </w:rPr>
      </w:pPr>
      <w:r>
        <w:rPr>
          <w:rFonts w:ascii="Times New Roman" w:cs="Times New Roman" w:eastAsia="Times New Roman" w:hAnsi="Times New Roman"/>
          <w:sz w:val="18"/>
          <w:szCs w:val="18"/>
          <w:color w:val="auto"/>
        </w:rPr>
        <w:t>“Corporate Trust Office of the Trustee” means the principal corporate trust office of the Trustee, at which at any particular time its corporate trust business shall be administered, which office on the date of execution of this Indenture is located at [Trustee], [Address], Attention: [Department], except that with respect to presentation of Securities for payment or for registration of transfer or exchange, such term shall mean the office or agency of the Trustee at which, at any particular time, its corporate agency business shall be conducted.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“corporation” includes corporations, associations, companies and business or statutory trusts.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“coupon” means any interest coupon appertaining to a Bearer Security.</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“Currency” means any currency, composite currency or currency unit and Foreign Currency issued by the government of one or more countries or by any recognized union, confederation or association of such governments.</w:t>
      </w:r>
    </w:p>
    <w:p>
      <w:pPr>
        <w:spacing w:after="0" w:line="162"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“Currency Agreement” means any foreign exchange contract, currency swap agreement or other similar agreement with respect to currency values.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“Default” means any event that is, or with the passage of time or the giving of notice or both would be, an Event of Default.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“Defaulted Interest” has the meaning specified in Section 307.</w:t>
      </w:r>
    </w:p>
    <w:p>
      <w:pPr>
        <w:spacing w:after="0" w:line="225"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“Depositary” means, with respect to Registered Securities of any series for which the Company shall determine that such Registered Securities will be issued in permanent global form, The Depository Trust Company, New York, New York, another clearing agency, or any successor registered as a clearing agency under the Exchange Act, or other applicable statute or regulations, which in each case, shall be designated by the Company pursuant to Section 301.</w:t>
      </w:r>
    </w:p>
    <w:p>
      <w:pPr>
        <w:spacing w:after="0" w:line="180"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“Dollar” or “$” means a dollar or other equivalent unit in such coin or currency of the United States of America as at the time shall be legal tender for the payment of public and private debts therein.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49" w:name="page50"/>
    <w:bookmarkEnd w:id="4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“Dollar Equivalent of the Currency Unit” has the meaning specified in Section 312(g).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“Dollar Equivalent of the Foreign Currency” has the meaning specified in Section 312(f).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“EDGAR” means the SEC’s Electronic Data Gathering and Retrieval System.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“Election Date” has the meaning specified in Section 312(h).</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“Euroclear” means Euroclear Bank S.A./N.V. as operator of Euroclear System, and any successor thereto.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“Event of Default” has the meaning specified in Section 501.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“Exchange Act” means the U.S. Securities Exchange Act of 1934, as amended, and the rules and regulations promulgated thereunder.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“Exchange Date” has the meaning specified in Section 304.</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“Exchange Rate Agent” means, with respect to Securities of or within any series, unless otherwise specified with respect to any Securities pursuant to Section 301, a New York Clearing House bank, designated pursuant to Section 301 or Section 313.</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“Exchange Rate Officer’s Certificate” means a certificate setting forth (i) the applicable Market Exchange Rate and (ii) the Dollar or Foreign Currency amounts of principal (and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signed by any Officer of the Company.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“Extension Notice” has the meaning specified in Section 308.</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“Extension Period” has the meaning specified in Section 308.</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“Federal Bankruptcy Code” means the U.S. Bankruptcy Act of Title 11 of the United States Code, as amended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“Foreign Currency” means any Currency other than Currency of the United States.</w:t>
      </w:r>
    </w:p>
    <w:p>
      <w:pPr>
        <w:spacing w:after="0" w:line="225"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“GAAP” means U.S.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successor entities as have been sanctioned and approved by the Securities and Exchange Commission, approved by a significant segment of the accounting profession, that are applicable at the date of any relevant calculation or determination.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50" w:name="page51"/>
    <w:bookmarkEnd w:id="50"/>
    <w:p>
      <w:pPr>
        <w:ind w:right="1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“Government Obligations” means, unless otherwise specified with respect to any series of Securities pursuant to Section 301, securities which are (i) direct obligations of the government which issued the Currency in which the Securities of a particular series are payable or (ii) obligations of a Person controlled or supervised by and acting as an agency or instrumentality of the government which issued the Currency in which the Securities of such series are payable, the payment of which is unconditionally guaranteed by such government, which, in either case, are full faith and credit obligations of such government payable in such Currency and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94"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“guarantee” means a guarantee (other than by endorsement of negotiable instruments for collection in the ordinary course of business), direct or indirect, in any manner (including, without limitation, letters of credit and reimbursement agreements in respect thereof), of all or any part of any Indebtedness or other obligations.</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“Hedging Obligations” of any Person means the obligations of such Person pursuant to any Interest Rate Agreement, Currency Agreement, Commodity Agreement or derivative contract entered into to hedge interest rate risk, currency exchange risk, and commodity price risk.</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“Holder”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62"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“Indebtedness” means any and all obligations of a Person for money borrowed which, in accordance with GAAP, would be reflected on the balance sheet of such Person as a liability on the date as of which Indebtedness is to be determined.</w:t>
      </w:r>
    </w:p>
    <w:p>
      <w:pPr>
        <w:spacing w:after="0" w:line="16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“Indenture” means this instrument as originally executed and as it may from time to time be supplemented or amended by one or more indentures supplemental hereto entered into pursuant to the applicable provisions hereof, and shall include the terms of particular series of Securities established as contemplated by Section 301; provided, however,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51" w:name="page52"/>
    <w:bookmarkEnd w:id="51"/>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“Indexed Security” means a Security the terms of which provide that the principal amount thereof payable at the Stated Maturity may be more or less than the principal amount thereof at original issuance.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“interest” means, when used with respect to an Original Issue Discount Security the rate prescribed in such Original Issue Discount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“Interest Payment Date” means, when used with respect to any Security, the Maturity of an installment of interest on such Security.</w:t>
      </w:r>
    </w:p>
    <w:p>
      <w:pPr>
        <w:spacing w:after="0" w:line="225" w:lineRule="exact"/>
        <w:rPr>
          <w:sz w:val="20"/>
          <w:szCs w:val="20"/>
          <w:color w:val="auto"/>
        </w:rPr>
      </w:pPr>
    </w:p>
    <w:p>
      <w:pPr>
        <w:ind w:right="880" w:firstLine="991"/>
        <w:spacing w:after="0" w:line="282" w:lineRule="auto"/>
        <w:rPr>
          <w:sz w:val="20"/>
          <w:szCs w:val="20"/>
          <w:color w:val="auto"/>
        </w:rPr>
      </w:pPr>
      <w:r>
        <w:rPr>
          <w:rFonts w:ascii="Times New Roman" w:cs="Times New Roman" w:eastAsia="Times New Roman" w:hAnsi="Times New Roman"/>
          <w:sz w:val="18"/>
          <w:szCs w:val="18"/>
          <w:color w:val="auto"/>
        </w:rPr>
        <w:t>“Interest Rate Agreement” means any interest rate swap agreement, interest rate cap agreement or other financial agreement or arrangement with respect to exposure to interest rates.</w:t>
      </w:r>
    </w:p>
    <w:p>
      <w:pPr>
        <w:spacing w:after="0" w:line="16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“Lien” or “lien”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“Market Exchange Rate”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(New York City time)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either New York City,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London or another principal market for the Currency in question, or such other quotations as the Exchange Rate Agent shall deem appropriate. Unless otherwise specified by the Exchange Rate Agent, if there is more than one market for dealing in any Currency by reason of foreign exchange regulations or otherwise, the market to be used in respect of such Currency shall be that upon which a non-resident issuer of securities designated in such Currency would purchase such Currency in order to make payments in respect of such securities.</w:t>
      </w:r>
    </w:p>
    <w:p>
      <w:pPr>
        <w:spacing w:after="0" w:line="19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“Maturity” means, when used with respect to any Security, the date on which the principal of such Security or any installment of principal becomes due and payable as therein or herein provided, whether at the Stated Maturity or by acceleration, notice of redemption, notice of option to elect repayment, notice of exchange or conversion, or otherwise.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52" w:name="page53"/>
    <w:bookmarkEnd w:id="52"/>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Tangible Assets” means the total assets of the Company as reflected in the most recent balance sheet preceding the date of determination prepared in accordance with GAAP consistently applied, less after deducting therefrom (a) all current liabilities excluding current maturities of long-term debt and Capital Lease Obligations and (b) goodwill, tradenames, trademarks, patents, unamortized debt discount and expense and other similar intangible assets prepared in accordance with GAAP, but excluding any investments in permits or licenses issued, granted or approved by the Federal Communications Commission.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“Officer” means the President, any Vice President, the Chief Financial Officer, the Treasurer or the Secretary.</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“Officers’ Certificate” means a certificate signed on behalf of the Company by one Officer of the Company who must be the President, the Treasurer, or a Vice President of the Company, that meets the requirements of Section 102.</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“Operating Property” means each plant or facility of the Company or a Restricted Subsidiary located within the United States, except any such plant or facility which the Board of Directors of the Company by resolution reasonably determines not to be of material importance to the total business conducted by the Company and its Restricted Subsidiaries.</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“Opinion of Counsel” means a written opinion of counsel, who may be counsel for the Company, including an employee of the Company, and who shall be acceptable to the Trustee.</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“Original Issue Discount Security” means any Security which provides for an amount less than the principal amount thereof to be due and payable upon an acceleration of the Maturity thereof.</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“Outstanding” means, when used with respect to Securities, as of the date of determination, all Securities theretofore authenticated and delivered under this Indenture, except:</w:t>
      </w:r>
    </w:p>
    <w:p>
      <w:pPr>
        <w:spacing w:after="0" w:line="54" w:lineRule="exact"/>
        <w:rPr>
          <w:sz w:val="20"/>
          <w:szCs w:val="20"/>
          <w:color w:val="auto"/>
        </w:rPr>
      </w:pPr>
    </w:p>
    <w:p>
      <w:pPr>
        <w:ind w:left="1200" w:hanging="213"/>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cancelled by the Trustee or delivered to the Trustee for cancellation;</w:t>
      </w:r>
    </w:p>
    <w:p>
      <w:pPr>
        <w:spacing w:after="0" w:line="225" w:lineRule="exact"/>
        <w:rPr>
          <w:rFonts w:ascii="Times New Roman" w:cs="Times New Roman" w:eastAsia="Times New Roman" w:hAnsi="Times New Roman"/>
          <w:sz w:val="18"/>
          <w:szCs w:val="18"/>
          <w:color w:val="auto"/>
        </w:rPr>
      </w:pPr>
    </w:p>
    <w:p>
      <w:pPr>
        <w:ind w:firstLine="987"/>
        <w:spacing w:after="0" w:line="258" w:lineRule="auto"/>
        <w:tabs>
          <w:tab w:leader="none" w:pos="12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provided that, if such Securities are to be redeemed, notice of such redemption has been duly given pursuant to this Indenture or provision therefor satisfactory to the Trustee has been made;</w:t>
      </w:r>
    </w:p>
    <w:p>
      <w:pPr>
        <w:spacing w:after="0" w:line="183" w:lineRule="exact"/>
        <w:rPr>
          <w:rFonts w:ascii="Times New Roman" w:cs="Times New Roman" w:eastAsia="Times New Roman" w:hAnsi="Times New Roman"/>
          <w:sz w:val="18"/>
          <w:szCs w:val="18"/>
          <w:color w:val="auto"/>
        </w:rPr>
      </w:pPr>
    </w:p>
    <w:p>
      <w:pPr>
        <w:ind w:right="460" w:firstLine="987"/>
        <w:spacing w:after="0" w:line="282" w:lineRule="auto"/>
        <w:tabs>
          <w:tab w:leader="none" w:pos="13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except to the extent provided in Sections 1402 and 1403, with respect to which the Company has effected defeasance and/or covenant defeasance as provided in Article Fourteen;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53" w:name="page54"/>
    <w:bookmarkEnd w:id="53"/>
    <w:p>
      <w:pPr>
        <w:ind w:right="140" w:firstLine="987"/>
        <w:spacing w:after="0" w:line="289" w:lineRule="auto"/>
        <w:tabs>
          <w:tab w:leader="none" w:pos="129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spacing w:after="0" w:line="157"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that have been converted or exchanged for other securities pursuant to Section 301;</w:t>
      </w:r>
    </w:p>
    <w:p>
      <w:pPr>
        <w:spacing w:after="0" w:line="225" w:lineRule="exact"/>
        <w:rPr>
          <w:sz w:val="20"/>
          <w:szCs w:val="20"/>
          <w:color w:val="auto"/>
        </w:rPr>
      </w:pPr>
    </w:p>
    <w:p>
      <w:pPr>
        <w:ind w:left="980"/>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determined to be) due and payable, at the time of such determination, upon an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amount of such Indexed Security at original issuance, unless otherwise provided with respect to such Security pursuant to Section 301, and (iv) Securities owned by the Company or any other obligor upon the Securities or any Affiliate of the Company or such other obligor shall be disregarded and deemed not to be Outstanding, except that, in determining whether the Trustee shall be protected in making such determination or calculation or in conclusively relying upon any such request, demand, authorization, direction, notice, consent or waiver or upon any such determination as to the presence of a quorum,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such other obligor.</w:t>
      </w:r>
    </w:p>
    <w:p>
      <w:pPr>
        <w:spacing w:after="0" w:line="189"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“Paying Agent” means any Person (including the Company acting as Paying Agent) authorized by the Company to pay the principal of (or premium, if any) or interest, if any, on any Securities on behalf of the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54" w:name="page55"/>
    <w:bookmarkEnd w:id="54"/>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 means any individual, corporation, partnership, joint venture, trust, unincorporated organization or government or any agency or political subdivision thereof.</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“Place of Payment” means, when used with respect to the Securities of or within any series, the place or places (which, in the case of Bearer Securities, shall be outside the United States) where the principal of (and premium, if any) and interest, if any, on such Securities are payable as specified as contemplated by Sections 301.</w:t>
      </w:r>
    </w:p>
    <w:p>
      <w:pPr>
        <w:spacing w:after="0" w:line="176"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“Redemption Date”, when used with respect to any Security to be redeemed, in whole or in part, means the date fixed for such redemption pursuant to this Indenture.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“Redemption Price” means, when used with respect to any Security to be redeemed, the price at which it is to be redeemed pursuant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“Registered Security” means any Security registered in the Security Register.</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“Regular Record Date” for the interest payable on any Interest Payment Date on the Registered Securities of or within any series means the date specified for that purpose as contemplated by Section 301.</w:t>
      </w:r>
    </w:p>
    <w:p>
      <w:pPr>
        <w:spacing w:after="0" w:line="162"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“Repayment Date” means, when used with respect to any Security to be repaid at the option of the Holder, the date fixed for such repayment pursuant to this Indenture.</w:t>
      </w:r>
    </w:p>
    <w:p>
      <w:pPr>
        <w:spacing w:after="0" w:line="162"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“Repayment Price” means, when used with respect to any Security to be repaid at the option of the Holder, the price at which it is to be repaid pursuant to this Indenture.</w:t>
      </w:r>
    </w:p>
    <w:p>
      <w:pPr>
        <w:spacing w:after="0" w:line="162" w:lineRule="exact"/>
        <w:rPr>
          <w:sz w:val="20"/>
          <w:szCs w:val="20"/>
          <w:color w:val="auto"/>
        </w:rPr>
      </w:pPr>
    </w:p>
    <w:p>
      <w:pPr>
        <w:jc w:val="both"/>
        <w:ind w:right="180" w:firstLine="991"/>
        <w:spacing w:after="0" w:line="261" w:lineRule="auto"/>
        <w:rPr>
          <w:sz w:val="20"/>
          <w:szCs w:val="20"/>
          <w:color w:val="auto"/>
        </w:rPr>
      </w:pPr>
      <w:r>
        <w:rPr>
          <w:rFonts w:ascii="Times New Roman" w:cs="Times New Roman" w:eastAsia="Times New Roman" w:hAnsi="Times New Roman"/>
          <w:sz w:val="18"/>
          <w:szCs w:val="18"/>
          <w:color w:val="auto"/>
        </w:rPr>
        <w:t>“Responsible Officer” means, when used with respect to the Trustee, any officer of the Trustee within the Corporate Trust Office of the Trustee (or any successor group of the Trustee) who has direct responsibility for administration of this Indenture and, for purposes of Section 601 (or subparagraph (3)(b) of the first paragraph of Section 602 to the extent such expanded definition is used), also includes any other officer to whom such matter is referred because of such officer’s knowledge of and familiarity with the particular subject.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“Restricted Subsidiary” means any Subsidiary: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substantially all of the property of which is located, or substantially all of the business of which is carried on, within the United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(ii) which owns or is the lessee of any Operating Property.</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foregoing, a Subsidiary designated as an “unrestricted subsidiary” in accordance with the procedures agreed to by the Company and the Trustee in a supplemental indenture shall not be a Restricted Subsidiary.</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“Security” or “Securities” has the meaning stated in the first recital of this Indenture and more particularly means any Security or Securities authenticated and delivered under this Indenture; provided, however,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55" w:name="page56"/>
    <w:bookmarkEnd w:id="5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Register” and “Security Registrar” have the respective meanings specified in Section 305.</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“Special Record Date” for the payment of any Defaulted Interest on the Registered Securities of or within any series means a date fixed by the Trustee pursuant to Section 307.</w:t>
      </w:r>
    </w:p>
    <w:p>
      <w:pPr>
        <w:spacing w:after="0" w:line="162" w:lineRule="exact"/>
        <w:rPr>
          <w:sz w:val="20"/>
          <w:szCs w:val="20"/>
          <w:color w:val="auto"/>
        </w:rPr>
      </w:pPr>
    </w:p>
    <w:p>
      <w:pPr>
        <w:ind w:right="520" w:firstLine="991"/>
        <w:spacing w:after="0" w:line="266" w:lineRule="auto"/>
        <w:rPr>
          <w:sz w:val="20"/>
          <w:szCs w:val="20"/>
          <w:color w:val="auto"/>
        </w:rPr>
      </w:pPr>
      <w:r>
        <w:rPr>
          <w:rFonts w:ascii="Times New Roman" w:cs="Times New Roman" w:eastAsia="Times New Roman" w:hAnsi="Times New Roman"/>
          <w:sz w:val="18"/>
          <w:szCs w:val="18"/>
          <w:color w:val="auto"/>
        </w:rPr>
        <w:t>“Stated Maturity”,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 as such date may be extended pursuant to the provisions of Section 308.</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“Subsidiary” means (1) any corporation of which at least a majority of the outstanding stock having by the terms thereof ordinary voting power for the election of directors of such corporation (irrespective of whether or not at the time stock of any other class or classes of such corporation shall have or might have voting power by reason of the happening of any contingency) is at the time directly or indirectly owned by the Company or one or more other Subsidiaries, or by the Company and one or more other Subsidiaries, and (2) any other Person in which the Company or one or more other Subsidiaries, directly or indirectly, at the date of determination, (x) own at least a majority of the outstanding ownership interests or (y) have the power to elect or direct the election of, or to appoint or approve the appointment of, at least the majority of the directors, trustees or managing members of, or other persons holding similar positions with, such Person.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“TARGET2” means the Trans-European Automated Real-Time Gross Settlement Express Transfer System, or any successor to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w:t>
      </w:r>
    </w:p>
    <w:p>
      <w:pPr>
        <w:spacing w:after="0" w:line="207"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“Trade Payables” means accounts payable or any other Indebtedness or monetary obligations to trade creditors created or assumed in the ordinary course of business in connection with the obtaining of materials or services.</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“Trust Indenture Act” or “TIA” means the U.S. Trust Indenture Act of 1939 as in force at the date as of which this Indenture was executed, except as provided in Section 905.</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provided, however, that if at any time there is more than one such Person, “Trustee” as used with respect to the Securities of any series shall mean only the Trustee with respect to Securities of that series.</w:t>
      </w:r>
    </w:p>
    <w:p>
      <w:pPr>
        <w:spacing w:after="0" w:line="180"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“United States”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56" w:name="page57"/>
    <w:bookmarkEnd w:id="56"/>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person” means, unless otherwise specified with respect to any Securities pursuant to Section 301, an individual who is a citizen or resident of the United States, a corporation, partnership or other entity created or organized in or under the laws of the United States, an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“Valuation Date” has the meaning specified in Section 312(c).</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“Vice President”, when used with respect to the Company or the Trustee, means any vice president, whether or not designated by a number or a word or words added before or after the title “vice president.”</w:t>
      </w:r>
    </w:p>
    <w:p>
      <w:pPr>
        <w:spacing w:after="0" w:line="162" w:lineRule="exact"/>
        <w:rPr>
          <w:sz w:val="20"/>
          <w:szCs w:val="20"/>
          <w:color w:val="auto"/>
        </w:rPr>
      </w:pPr>
    </w:p>
    <w:p>
      <w:pPr>
        <w:ind w:right="580" w:firstLine="991"/>
        <w:spacing w:after="0" w:line="266" w:lineRule="auto"/>
        <w:rPr>
          <w:sz w:val="20"/>
          <w:szCs w:val="20"/>
          <w:color w:val="auto"/>
        </w:rPr>
      </w:pPr>
      <w:r>
        <w:rPr>
          <w:rFonts w:ascii="Times New Roman" w:cs="Times New Roman" w:eastAsia="Times New Roman" w:hAnsi="Times New Roman"/>
          <w:sz w:val="18"/>
          <w:szCs w:val="18"/>
          <w:color w:val="auto"/>
        </w:rPr>
        <w:t>“Yield to Maturity”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76"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Compliance Certificates and Opinions</w:t>
      </w:r>
      <w:r>
        <w:rPr>
          <w:rFonts w:ascii="Times New Roman" w:cs="Times New Roman" w:eastAsia="Times New Roman" w:hAnsi="Times New Roman"/>
          <w:sz w:val="18"/>
          <w:szCs w:val="18"/>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(including any covenant or condition compliance with which constitutes a condition precedent)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87"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Every certificate or opinion with respect to compliance with a covenant or condition provided for in this Indenture (other than pursuant to [Article 10]) shall include:</w:t>
      </w:r>
    </w:p>
    <w:p>
      <w:pPr>
        <w:spacing w:after="0" w:line="54" w:lineRule="exact"/>
        <w:rPr>
          <w:sz w:val="20"/>
          <w:szCs w:val="20"/>
          <w:color w:val="auto"/>
        </w:rPr>
      </w:pPr>
    </w:p>
    <w:p>
      <w:pPr>
        <w:ind w:left="1240" w:hanging="253"/>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each individual signing such certificate or opinion has read such covenant or condition and the definitions herein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thereto;</w:t>
      </w:r>
    </w:p>
    <w:p>
      <w:pPr>
        <w:spacing w:after="0" w:line="206" w:lineRule="exact"/>
        <w:rPr>
          <w:rFonts w:ascii="Times New Roman" w:cs="Times New Roman" w:eastAsia="Times New Roman" w:hAnsi="Times New Roman"/>
          <w:sz w:val="18"/>
          <w:szCs w:val="18"/>
          <w:color w:val="auto"/>
        </w:rPr>
      </w:pPr>
    </w:p>
    <w:p>
      <w:pPr>
        <w:ind w:right="340" w:firstLine="987"/>
        <w:spacing w:after="0" w:line="282"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each such individual, such covenant or condition has been complied with.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57" w:name="page58"/>
    <w:bookmarkEnd w:id="57"/>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103. </w:t>
      </w:r>
      <w:r>
        <w:rPr>
          <w:rFonts w:ascii="Times New Roman" w:cs="Times New Roman" w:eastAsia="Times New Roman" w:hAnsi="Times New Roman"/>
          <w:sz w:val="18"/>
          <w:szCs w:val="18"/>
          <w:u w:val="single" w:color="auto"/>
          <w:color w:val="auto"/>
        </w:rPr>
        <w:t>Form of Documents Delivered to Trustee</w:t>
      </w:r>
      <w:r>
        <w:rPr>
          <w:rFonts w:ascii="Times New Roman" w:cs="Times New Roman" w:eastAsia="Times New Roman" w:hAnsi="Times New Roman"/>
          <w:sz w:val="18"/>
          <w:szCs w:val="18"/>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0"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Officers’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officer or counsel knows, or in the exercise of reasonable care should know, that the certificate or opinion or representations with respect to such matters are erroneous.</w:t>
      </w:r>
    </w:p>
    <w:p>
      <w:pPr>
        <w:spacing w:after="0" w:line="187"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 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or to all of them.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(subject to section 315 of the TIA) and conclusive in favor of the Trustee, the Company and any agent of the Trustee or the Company, if made in the manner provided in this Section. The record of any meeting of Holders of Securities shall be proved in the manner provided in Section 1506.</w:t>
      </w:r>
    </w:p>
    <w:p>
      <w:pPr>
        <w:spacing w:after="0" w:line="187"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Without limiting the generality of this Section 104, unless otherwise provided in or pursuant to this Indenture, a Holder, including a Depositary that is a Holder of a global Security (including through its nominee), may make, give or take, by a proxy or proxies, duly appointed in writing, any request, demand, authorization, direction, notice, consent, waiver or other Act provided in or pursuant to this Indenture or Securities to be made, given or taken by the Holders, and a Depositary that is a Holder of a global Security may provide its proxy or proxies to the beneficial owners of interests in such global Security through such Depositary’s standing instructions and customary practices.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58" w:name="page59"/>
    <w:bookmarkEnd w:id="58"/>
    <w:p>
      <w:pPr>
        <w:ind w:firstLine="419"/>
        <w:spacing w:after="0" w:line="256" w:lineRule="auto"/>
        <w:tabs>
          <w:tab w:leader="none" w:pos="6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reasonable manner that the Trustee deems sufficient.</w:t>
      </w:r>
    </w:p>
    <w:p>
      <w:pPr>
        <w:spacing w:after="0" w:line="79" w:lineRule="exact"/>
        <w:rPr>
          <w:rFonts w:ascii="Times New Roman" w:cs="Times New Roman" w:eastAsia="Times New Roman" w:hAnsi="Times New Roman"/>
          <w:sz w:val="18"/>
          <w:szCs w:val="18"/>
          <w:color w:val="auto"/>
        </w:rPr>
      </w:pPr>
    </w:p>
    <w:p>
      <w:pPr>
        <w:ind w:right="140" w:firstLine="419"/>
        <w:spacing w:after="0" w:line="282"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and serial numbers of Registered Securities held by any Person, and the date of holding the same, shall be proved by the Security Register.</w:t>
      </w:r>
    </w:p>
    <w:p>
      <w:pPr>
        <w:spacing w:after="0" w:line="53" w:lineRule="exact"/>
        <w:rPr>
          <w:rFonts w:ascii="Times New Roman" w:cs="Times New Roman" w:eastAsia="Times New Roman" w:hAnsi="Times New Roman"/>
          <w:sz w:val="18"/>
          <w:szCs w:val="18"/>
          <w:color w:val="auto"/>
        </w:rPr>
      </w:pPr>
    </w:p>
    <w:p>
      <w:pPr>
        <w:ind w:right="100" w:firstLine="419"/>
        <w:spacing w:after="0" w:line="253" w:lineRule="auto"/>
        <w:tabs>
          <w:tab w:leader="none" w:pos="6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and serial numbers of Bearer Securities held by any Person, and the date of holding the same, may be proved by the production of such Bearer Securities or by a certificate executed, as depositary, by any trust company, bank, banker or other depositary reasonably acceptable to the Company, wherever situated, if such certificate shall be deemed by the Trustee to be satisfactory,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principal amount and serial numbers of Bearer Securities held by any Person, and the date of holding the same, may also be proved in any other reasonable manner that the Trustee deems sufficient.</w:t>
      </w:r>
    </w:p>
    <w:p>
      <w:pPr>
        <w:spacing w:after="0" w:line="86" w:lineRule="exact"/>
        <w:rPr>
          <w:rFonts w:ascii="Times New Roman" w:cs="Times New Roman" w:eastAsia="Times New Roman" w:hAnsi="Times New Roman"/>
          <w:sz w:val="18"/>
          <w:szCs w:val="18"/>
          <w:color w:val="auto"/>
        </w:rPr>
      </w:pPr>
    </w:p>
    <w:p>
      <w:pPr>
        <w:ind w:right="40" w:firstLine="419"/>
        <w:spacing w:after="0" w:line="254"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59" w:name="page60"/>
    <w:bookmarkEnd w:id="59"/>
    <w:p>
      <w:pPr>
        <w:ind w:left="440"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eleven months after the record date.</w:t>
      </w:r>
    </w:p>
    <w:p>
      <w:pPr>
        <w:spacing w:after="0" w:line="68" w:lineRule="exact"/>
        <w:rPr>
          <w:sz w:val="20"/>
          <w:szCs w:val="20"/>
          <w:color w:val="auto"/>
        </w:rPr>
      </w:pPr>
    </w:p>
    <w:p>
      <w:pPr>
        <w:ind w:left="440" w:right="120" w:firstLine="419"/>
        <w:spacing w:after="0" w:line="261" w:lineRule="auto"/>
        <w:tabs>
          <w:tab w:leader="none" w:pos="11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any Security Registrar, any Paying Agent, any Authenticating Agent, the Company in reliance thereon, whether or not notation of such Act is made upon such Security.</w:t>
      </w:r>
    </w:p>
    <w:p>
      <w:pPr>
        <w:spacing w:after="0" w:line="180"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Notices, etc. to Trustee or the Company</w:t>
      </w:r>
      <w:r>
        <w:rPr>
          <w:rFonts w:ascii="Times New Roman" w:cs="Times New Roman" w:eastAsia="Times New Roman" w:hAnsi="Times New Roman"/>
          <w:sz w:val="18"/>
          <w:szCs w:val="18"/>
          <w:color w:val="auto"/>
        </w:rPr>
        <w:t>. Any request, demand, authorization, direction, notice, consent, waiver or Act of Holders or other documents provided or permitted by this Indenture to be made upon, given or furnished to, or filed with,</w:t>
      </w:r>
    </w:p>
    <w:p>
      <w:pPr>
        <w:spacing w:after="0" w:line="54" w:lineRule="exact"/>
        <w:rPr>
          <w:sz w:val="20"/>
          <w:szCs w:val="20"/>
          <w:color w:val="auto"/>
        </w:rPr>
      </w:pPr>
    </w:p>
    <w:p>
      <w:pPr>
        <w:ind w:left="440" w:right="60" w:firstLine="948"/>
        <w:spacing w:after="0" w:line="266" w:lineRule="auto"/>
        <w:tabs>
          <w:tab w:leader="none" w:pos="164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by any Holder or by the Company shall be sufficient for every purpose hereunder if made, given, furnished or filed in writing (including telecopy to [insert Trustee fax number]) to or with the Trustee at its Corporate Trust Office, Attention: Trust &amp; Securities Services, or</w:t>
      </w:r>
    </w:p>
    <w:p>
      <w:pPr>
        <w:spacing w:after="0" w:line="67" w:lineRule="exact"/>
        <w:rPr>
          <w:rFonts w:ascii="Times New Roman" w:cs="Times New Roman" w:eastAsia="Times New Roman" w:hAnsi="Times New Roman"/>
          <w:sz w:val="18"/>
          <w:szCs w:val="18"/>
          <w:color w:val="auto"/>
        </w:rPr>
      </w:pPr>
    </w:p>
    <w:p>
      <w:pPr>
        <w:ind w:left="440" w:firstLine="948"/>
        <w:spacing w:after="0" w:line="261" w:lineRule="auto"/>
        <w:tabs>
          <w:tab w:leader="none" w:pos="164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the Trustee or by any Holder shall be sufficient for every purpose hereunder (unless otherwise herein expressly provided) if in writing and mailed, first-class postage prepaid or by overnight delivery service, to the Company addressed to it at the address of the Company’s principal office specified in the first paragraph of this Indenture, to the attention of its General Counsel, or at any other address previously furnished in writing to the Trustee by the Company.</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Notice to Holders; Waiver</w:t>
      </w:r>
      <w:r>
        <w:rPr>
          <w:rFonts w:ascii="Times New Roman" w:cs="Times New Roman" w:eastAsia="Times New Roman" w:hAnsi="Times New Roman"/>
          <w:sz w:val="18"/>
          <w:szCs w:val="18"/>
          <w:color w:val="auto"/>
        </w:rPr>
        <w:t>. Except as otherwise expressly provided herein or otherwise specified with respect to any series of Securities pursuant to Section 301, where this Indenture provides for notice of any event to Holders of Registered Securities by the Company or the Trustee, such notice shall be sufficiently given if in writing and mailed, first-class postage prepaid, to each such Holder affected by such event, at his address as it appears in the Security Register, not later than the latest date, and not earlier than the earliest date,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Any notice mailed to a Holder in the manner herein prescribed shall be conclusively deemed to have been received by such Holder, whether or not such Holder actually receives such notice.</w:t>
      </w:r>
    </w:p>
    <w:p>
      <w:pPr>
        <w:spacing w:after="0" w:line="192"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In case, by reason of the suspension of or irregularities in regular mail service or by reason of any other cause, it shall be impractical to mail notice of any event to Holders of Registered Securities when such notice is required to be given pursuant to any provision of this Indenture, then any manner of giving written notice as shall be satisfactory to the Trustee shall be deemed to be sufficient giving of such notice for every purpose hereunder.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60" w:name="page61"/>
    <w:bookmarkEnd w:id="60"/>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expressly provided herein or otherwise specified with respect to any series of Securities pursuant to Section 301, where this Indenture provides for notice to Holders of Bearer Securities of any event, such notice shall be sufficiently given to Holders of Bearer Securities if published in an Authorized Newspaper in The City of New York and in such other city or cities as may be specified in respect of such Securities on a Business Day at least twice, the first such publication to be not earlier than the earliest date, and not later than the latest date, prescribed for the giving of such notice. Any such notice shall be deemed to have been given on the date of such publication or, if published more than once, on the date of the first such publication.</w:t>
      </w:r>
    </w:p>
    <w:p>
      <w:pPr>
        <w:spacing w:after="0" w:line="187"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written notice to such Holders for every purpose hereunder. Neither the failure to give notice by publication to Holders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87"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62" w:lineRule="exact"/>
        <w:rPr>
          <w:sz w:val="20"/>
          <w:szCs w:val="20"/>
          <w:color w:val="auto"/>
        </w:rPr>
      </w:pPr>
    </w:p>
    <w:p>
      <w:pPr>
        <w:jc w:val="both"/>
        <w:ind w:right="480" w:firstLine="991"/>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6" w:lineRule="exact"/>
        <w:rPr>
          <w:sz w:val="20"/>
          <w:szCs w:val="20"/>
          <w:color w:val="auto"/>
        </w:rPr>
      </w:pPr>
    </w:p>
    <w:p>
      <w:pPr>
        <w:jc w:val="both"/>
        <w:ind w:right="4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Effect of Headings and Table of Contents</w:t>
      </w:r>
      <w:r>
        <w:rPr>
          <w:rFonts w:ascii="Times New Roman" w:cs="Times New Roman" w:eastAsia="Times New Roman" w:hAnsi="Times New Roman"/>
          <w:sz w:val="18"/>
          <w:szCs w:val="18"/>
          <w:color w:val="auto"/>
        </w:rPr>
        <w:t>. The Article and Section headings herein and the Table of Contents are for convenience only and shall not affect the construction hereof.</w:t>
      </w:r>
    </w:p>
    <w:p>
      <w:pPr>
        <w:spacing w:after="0" w:line="162"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All covenants and agreements in this Indenture by the Company shall bind its successors and assigns, whether so expressed or not.</w:t>
      </w:r>
    </w:p>
    <w:p>
      <w:pPr>
        <w:spacing w:after="0" w:line="162"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Separability Clause</w:t>
      </w:r>
      <w:r>
        <w:rPr>
          <w:rFonts w:ascii="Times New Roman" w:cs="Times New Roman" w:eastAsia="Times New Roman" w:hAnsi="Times New Roman"/>
          <w:sz w:val="18"/>
          <w:szCs w:val="18"/>
          <w:color w:val="auto"/>
        </w:rPr>
        <w:t>. In case any provision in this Indenture or in any Security or any coupon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jc w:val="both"/>
        <w:ind w:right="4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 Nothing in this Indenture or in the Securities or coupons, express or implied, shall give to any Person, other than the parties hereto, any Authenticating Agent, any Paying Agent, any Securities Registrar and their successors hereunder and the Holders of Securities or coupons, any benefit or any legal or equitable right, remedy or claim under this Indenture.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61" w:name="page62"/>
    <w:bookmarkEnd w:id="61"/>
    <w:p>
      <w:pPr>
        <w:ind w:right="2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INDENTURE AND THE SECURITIES AND COUPONS SHALL BE GOVERNED BY AND CONSTRUED IN ACCORDANCE WITH THE LAWS OF THE STATE OF NEW YORK WITHOUT REGARD TO CONFLICTS OF LAW PRINCIPLES OF SUCH STATE OTHER THAN NEW YORK GENERAL OBLIGATIONS LAW SECTION 5-1401. THIS INDENTURE IS SUBJECT TO THE PROVISIONS OF THE TRUST INDENTURE ACT THAT ARE REQUIRED TO BE PART OF THIS INDENTURE AND SHALL, TO THE EXTENT APPLICABLE, BE GOVERNED BY SUCH PROVISIONS.</w:t>
      </w:r>
    </w:p>
    <w:p>
      <w:pPr>
        <w:spacing w:after="0" w:line="183"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 Unless otherwise specified in or pursuant to this Indenture or any Securities, in any case where any Interest Payment Date, Redemption Date, Repayment Date, sinking fund payment date or Stated Maturity or Maturity of any Security shall not be a Business Day at any Place of Payment, then payment of principal (or premium, if any) or interest, if any, need not be made at such Place of Payment on such date, but may be made on the next succeeding Business Day at such Place of Payment with the same force and effect as if made on such Interest Payment Date, Redemption Date, Repayment Date, sinking fund payment date, Stated Maturity or Maturity, as the case may be, provided that no interest shall accrue on the amount so payable for the period from and after such Interest Payment Date, Redemption Date, Repayment Date, sinking fund payment date, Stated Maturity or Maturity, as the case may be, to such next succeeding Business Day.</w:t>
      </w:r>
    </w:p>
    <w:p>
      <w:pPr>
        <w:spacing w:after="0" w:line="189"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 recourse for the payment of the principal of or premium, if any, or interest on any Security or any coupons appertaining thereto, or for any claim based thereon or otherwise in respect thereof, and no recourse under or upon any obligation, covenant or agreement of the Company in this Indenture or in any supplemental indenture, or in any Security or any coupons appertaining thereto, or because of the creation of any indebtedness represented thereby, shall be had against any director, officer, employee, or stockholder as such, past, present or future, of the Company or any of its Affiliates or any successor Person of the Company, either directly or through the Company or any of its Affiliates or any successor Person of the Company,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spacing w:after="0" w:line="19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Incorporation by Reference of Trust Indenture Act</w:t>
      </w:r>
      <w:r>
        <w:rPr>
          <w:rFonts w:ascii="Times New Roman" w:cs="Times New Roman" w:eastAsia="Times New Roman" w:hAnsi="Times New Roman"/>
          <w:sz w:val="18"/>
          <w:szCs w:val="18"/>
          <w:color w:val="auto"/>
        </w:rPr>
        <w:t>. Whenever this Indenture refers to a provision of the TIA, the provision is incorporated by reference in and made a part of this Indenture.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TIA terms used in this Indenture have the following meanings:</w:t>
      </w:r>
    </w:p>
    <w:p>
      <w:pPr>
        <w:spacing w:after="0" w:line="117" w:lineRule="exact"/>
        <w:rPr>
          <w:sz w:val="20"/>
          <w:szCs w:val="20"/>
          <w:color w:val="auto"/>
        </w:rPr>
      </w:pPr>
    </w:p>
    <w:p>
      <w:pPr>
        <w:ind w:left="1080" w:hanging="221"/>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securities” means the Securities;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security Holder” means a Holder of a Security;</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to be qualified” means this Indenture;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62" w:name="page63"/>
    <w:bookmarkEnd w:id="62"/>
    <w:p>
      <w:pPr>
        <w:ind w:left="1160" w:hanging="301"/>
        <w:spacing w:after="0"/>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trustee” or “institutional trustee” means the Trustee;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“obligor” on the Securities means the Company and any successor obligor upon the Securities.</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TIA reference to another statute or defined by SEC rule under the TIA have the meanings so assigned to them.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Unless the context otherwise requires:</w:t>
      </w:r>
    </w:p>
    <w:p>
      <w:pPr>
        <w:spacing w:after="0" w:line="117" w:lineRule="exact"/>
        <w:rPr>
          <w:sz w:val="20"/>
          <w:szCs w:val="20"/>
          <w:color w:val="auto"/>
        </w:rPr>
      </w:pPr>
    </w:p>
    <w:p>
      <w:pPr>
        <w:ind w:left="1080" w:hanging="221"/>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5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80"/>
          </w:cols>
          <w:pgMar w:left="440" w:top="270" w:right="879" w:bottom="1440" w:gutter="0" w:footer="0" w:header="0"/>
        </w:sectPr>
      </w:pPr>
    </w:p>
    <w:bookmarkStart w:id="63" w:name="page64"/>
    <w:bookmarkEnd w:id="63"/>
    <w:p>
      <w:pPr>
        <w:ind w:left="1420" w:hanging="43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words in the singular include the plural, and in the plural include the singular;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In no event shall the Trustee be responsible or liable for any failure or delay in the performance of its obligations hereunder arising out of or caused by, directly or indirectly, forces beyond its control, including, without limitation, acts of war or terrorism, civil or military disturbances, nuclear or natural catastrophes and acts of God; it being understood that the Trustee shall use reasonable efforts which are consistent with accepted practices in the banking industry to resume performance as soon as practicable under the circumstances.</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parties hereto acknowledge that in accordance with Section 326 of the U.S.A. Patriot Act, [Trustee], like all financial institutions and in order to help fight the funding of terrorism and money laundering, is required to obtain, verify, and record information that identifies each person or legal entity that establishes a relationship or opens an account. The parties to this Indenture agree that they will provide [Trustee] with such information as it may request in order for [Trustee] to satisfy the requirements of the U.S.A. Patriot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FORMS</w:t>
      </w:r>
    </w:p>
    <w:p>
      <w:pPr>
        <w:spacing w:after="0" w:line="22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Forms Generally</w:t>
      </w:r>
      <w:r>
        <w:rPr>
          <w:rFonts w:ascii="Times New Roman" w:cs="Times New Roman" w:eastAsia="Times New Roman" w:hAnsi="Times New Roman"/>
          <w:sz w:val="18"/>
          <w:szCs w:val="18"/>
          <w:color w:val="auto"/>
        </w:rPr>
        <w:t>. The Registered Securities, if any, of each series, the Bearer Securities, if any, of each series and related coupons, the temporary global Securities of each series, if any, and the permanent global Securities of each series, if any, shall be in substantially the forms as shall be established by, or pursuant to a Board Resolution or, subject to Section 303, set forth in, or determined in the manner provided in, an Officers’ Certificate pursuant to a Board Resolution of the Company,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of the Company executing such Securities or coupons as evidenced by their execution of such Securities or coupons. If the forms of Securities or coupons of any series are established by action taken pursuant to a Board Resolution, a copy of an appropriate record of such action shall be certified by the Secretary or Assistant Secretary of the Company, and delivered to the Trustee at or prior to the delivery of the Company Order contemplated by Section 303 for the authentication and delivery of such Securities or coupons. Any portion of the text of any Security may be set forth on the reverse thereof, with an appropriate reference thereto on the face of the Security.</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otherwise specified as contemplated by Section 301, Bearer Securities shall have interest coupons attached.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Trustee’s certificate of authentication on all Securities shall be in substantially the form set forth in this Article.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64" w:name="page65"/>
    <w:bookmarkEnd w:id="64"/>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definitive Securities and coupons, if any, shall be printed, lithographed or engraved on steel-engraved borders or may be produced in any other manner, all as determined by the officers of the Company executing such Securities or coupons, as evidenced by their execution of such Securities or coupons.</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Trustee’s Certificate of Authentication</w:t>
      </w:r>
      <w:r>
        <w:rPr>
          <w:rFonts w:ascii="Times New Roman" w:cs="Times New Roman" w:eastAsia="Times New Roman" w:hAnsi="Times New Roman"/>
          <w:sz w:val="18"/>
          <w:szCs w:val="18"/>
          <w:color w:val="auto"/>
        </w:rPr>
        <w:t>. Subject to Section 611, the Trustee’s certificate of authentication shall be in substantially the following form: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Dated: ____________________</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[Trustee],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Securities Issuable in Global Form</w:t>
      </w:r>
      <w:r>
        <w:rPr>
          <w:rFonts w:ascii="Times New Roman" w:cs="Times New Roman" w:eastAsia="Times New Roman" w:hAnsi="Times New Roman"/>
          <w:sz w:val="18"/>
          <w:szCs w:val="18"/>
          <w:color w:val="auto"/>
        </w:rPr>
        <w:t>. If Securities of or within a series are issuable in global form, as specified as contemplated by Section 301, then, notwithstanding clause (8) of Section 301,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in such manner and upon instructions given by such Person or Persons as shall be specified therein or in the Company Order to be delivered to the Trustee pursuant to Section 303 or Section 304. Subject to the provisions of Section 303 and, if applicable, Section 304, the Trustee shall deliver and redeliver any Security in permanent global form in the manner and upon instructions given by the Person or Persons specified therein or in the applicable Company Order. If a Company Order pursuant to Section 303 or Section 304 has been, or simultaneously is, delivered, any instructions by the Company with respect to endorsement or delivery or redelivery of a Security in global form shall be in writing but need not comply with Section 102 and need not be accompanied by an Opinion of Counsel.</w:t>
      </w:r>
    </w:p>
    <w:p>
      <w:pPr>
        <w:spacing w:after="0" w:line="19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provisions of the last sentence of Section 303 shall apply to any Security represented by a Security in global form if such Security was never issued and sold by the Company and the Company delivers to the Trustee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65" w:name="page66"/>
    <w:bookmarkEnd w:id="65"/>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provisions of Section 307 to the contrary, unless otherwise specified as contemplated by Section 301, payment of principal of (and premium, if any) and interest, if any, on any Security in global form shall be made to the Person or Persons specified therein.</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provisions of Section 309 and except as provided in the preceding paragraph, the Company, the Trustee and any agent of the Company or the Trustee shall treat as the Holder of such principal amount of Outstanding Securities represented by a permanent global Security (i), in the case of a global Registered Security, the Holder thereof, or (ii) in the case of a global Bearer Security, Euroclear or Clearstream.</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29"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Amount Unlimited; Issuable in Series</w:t>
      </w:r>
      <w:r>
        <w:rPr>
          <w:rFonts w:ascii="Times New Roman" w:cs="Times New Roman" w:eastAsia="Times New Roman" w:hAnsi="Times New Roman"/>
          <w:sz w:val="18"/>
          <w:szCs w:val="18"/>
          <w:color w:val="auto"/>
        </w:rPr>
        <w:t>. The aggregate principal amount of Securities which may be authenticated and delivered under this Indenture is unlimited.</w:t>
      </w:r>
    </w:p>
    <w:p>
      <w:pPr>
        <w:spacing w:after="0" w:line="162"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The Securities may be issued in one or more series. There shall be established in one or more Board Resolutions of the Company or pursuant to authority granted by one or more Board Resolutions of the Company and, subject to Section 303, set forth in, or determined in the manner provided in, an Officers’ Certificate, or established in one or more indentures supplemental hereto, prior to the issuance of Securities of any series, any or all of the following, as applicable (each of which (except for the matters set forth in clauses (1), (2) and (17) below), if so provided, may be determined from time to time by the Company with respect to unissued Securities of the series and set forth in such Securities of the series when issued from time to time):</w:t>
      </w:r>
    </w:p>
    <w:p>
      <w:pPr>
        <w:spacing w:after="0" w:line="79" w:lineRule="exact"/>
        <w:rPr>
          <w:sz w:val="20"/>
          <w:szCs w:val="20"/>
          <w:color w:val="auto"/>
        </w:rPr>
      </w:pPr>
    </w:p>
    <w:p>
      <w:pPr>
        <w:ind w:left="440" w:right="340" w:firstLine="419"/>
        <w:spacing w:after="0" w:line="282" w:lineRule="auto"/>
        <w:tabs>
          <w:tab w:leader="none" w:pos="11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the Securities of the series (which shall distinguish the Securities of the series from all other series of Securities) and whether such Securities are senior or subordinated;</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Sections 304, 305, 306, 906, 1107 or 1305);</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by which such date or dates will be determined or extended, on which the principal of the Securities of the series is payable;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66" w:name="page67"/>
    <w:bookmarkEnd w:id="66"/>
    <w:p>
      <w:pPr>
        <w:ind w:right="20" w:firstLine="419"/>
        <w:spacing w:after="0" w:line="256"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rate or rates at which the Securities of the series shall bear interest, if any, or the method by which such rate or rates shall be determined, the date or dates from which any such interest shall accrue, or the method by which such date or dates shall be determined, the Interest Payment Dates on which such interest shall be payable, the right, if any, of the Company to defer or extend an Interest Payment Date, and the Regular Record Date, if any, for the interest payable on any Registered Security on any Interest Payment Date, or the method by which such date or dates shall be determined, and the basis upon which interest shall be calculated if other than on the basis of a 360-day year of twelve 30-day months;</w:t>
      </w:r>
    </w:p>
    <w:p>
      <w:pPr>
        <w:spacing w:after="0" w:line="79"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Borough of Manhattan, The City of New York, where the principal of (and premium, if any) and interest, if any, on Securities of the series shall be payable (which in the case of Bearer Securities shall be outside the United States), where any Registered Securities of the series may be surrendered for registration of transfer, where Securities of the series may be surrendered for exchange, where Securities of the series that are convertible or exchangeable may be surrendered for conversion or exchange, as applicable, and, if different than the location specified in Section 105, the place or places where notices or demands to or upon the Company in respect of the Securities of the series and this Indenture may be served;</w:t>
      </w:r>
    </w:p>
    <w:p>
      <w:pPr>
        <w:spacing w:after="0" w:line="79" w:lineRule="exact"/>
        <w:rPr>
          <w:rFonts w:ascii="Times New Roman" w:cs="Times New Roman" w:eastAsia="Times New Roman" w:hAnsi="Times New Roman"/>
          <w:sz w:val="18"/>
          <w:szCs w:val="18"/>
          <w:color w:val="auto"/>
        </w:rPr>
      </w:pPr>
    </w:p>
    <w:p>
      <w:pPr>
        <w:ind w:right="380" w:firstLine="419"/>
        <w:spacing w:after="0" w:line="282"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the Currency in which, and other terms and conditions upon which, Securities of the series may be redeemed, in whole or in part, at the option of the Company, if the Company is to have that option;</w:t>
      </w:r>
    </w:p>
    <w:p>
      <w:pPr>
        <w:spacing w:after="0" w:line="53" w:lineRule="exact"/>
        <w:rPr>
          <w:rFonts w:ascii="Times New Roman" w:cs="Times New Roman" w:eastAsia="Times New Roman" w:hAnsi="Times New Roman"/>
          <w:sz w:val="18"/>
          <w:szCs w:val="18"/>
          <w:color w:val="auto"/>
        </w:rPr>
      </w:pPr>
    </w:p>
    <w:p>
      <w:pPr>
        <w:jc w:val="both"/>
        <w:ind w:right="60" w:firstLine="419"/>
        <w:spacing w:after="0" w:line="261"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repay or purchase Securities of the series pursuant to any sinking fund or analogous provision or at the option of a Holder thereof, and the period or periods within which or the date or dates on which, the price or prices at which, the Currency in which, and other terms and conditions upon which, Securities of the series shall be redeemed, repaid or purchased, in whole or in part, pursuant to such obligation;</w:t>
      </w:r>
    </w:p>
    <w:p>
      <w:pPr>
        <w:spacing w:after="0" w:line="71" w:lineRule="exact"/>
        <w:rPr>
          <w:rFonts w:ascii="Times New Roman" w:cs="Times New Roman" w:eastAsia="Times New Roman" w:hAnsi="Times New Roman"/>
          <w:sz w:val="18"/>
          <w:szCs w:val="18"/>
          <w:color w:val="auto"/>
        </w:rPr>
      </w:pPr>
    </w:p>
    <w:p>
      <w:pPr>
        <w:ind w:right="60" w:firstLine="419"/>
        <w:spacing w:after="0" w:line="266"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$2,000 and integral multiples of $1,000 above such minimum denomination, the denomination or denominations in which any Registered Securities of the series shall be issuable and, if other than denominations of $5,000, the denomination or denominations in which any Bearer Securities of the series shall be issuable;</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Trustee, the identity of each Security Registrar and/or Paying Agent;</w:t>
      </w:r>
    </w:p>
    <w:p>
      <w:pPr>
        <w:spacing w:after="0" w:line="117" w:lineRule="exact"/>
        <w:rPr>
          <w:rFonts w:ascii="Times New Roman" w:cs="Times New Roman" w:eastAsia="Times New Roman" w:hAnsi="Times New Roman"/>
          <w:sz w:val="18"/>
          <w:szCs w:val="18"/>
          <w:color w:val="auto"/>
        </w:rPr>
      </w:pPr>
    </w:p>
    <w:p>
      <w:pPr>
        <w:ind w:right="100" w:firstLine="419"/>
        <w:spacing w:after="0" w:line="261" w:lineRule="auto"/>
        <w:tabs>
          <w:tab w:leader="none" w:pos="7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the series that shall be payable upon an acceleration of the Maturity thereof pursuant to Section 502, upon redemption of the Securities of the series which are redeemable before their Stated Maturity, upon surrender for repayment at the option of the Holder, or which the Trustee shall be entitled to claim pursuant to Section 502 or the method by which such portion shall be determined;</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20"/>
          </w:cols>
          <w:pgMar w:left="880" w:top="270" w:right="499" w:bottom="1440" w:gutter="0" w:footer="0" w:header="0"/>
        </w:sectPr>
      </w:pPr>
    </w:p>
    <w:bookmarkStart w:id="67" w:name="page68"/>
    <w:bookmarkEnd w:id="67"/>
    <w:p>
      <w:pPr>
        <w:ind w:right="100" w:firstLine="419"/>
        <w:spacing w:after="0" w:line="266" w:lineRule="auto"/>
        <w:tabs>
          <w:tab w:leader="none" w:pos="76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other than Dollar, the Currency or Currencies in which payment of the principal of (or premium, if any) or interest, if any, on the Securities of the series shall be made or in which the Securities of the series shall be denominated and the particular provisions applicable thereto in accordance with, in addition to or in lieu of any of the provisions of Section 312;</w:t>
      </w:r>
    </w:p>
    <w:p>
      <w:pPr>
        <w:spacing w:after="0" w:line="67" w:lineRule="exact"/>
        <w:rPr>
          <w:rFonts w:ascii="Times New Roman" w:cs="Times New Roman" w:eastAsia="Times New Roman" w:hAnsi="Times New Roman"/>
          <w:sz w:val="18"/>
          <w:szCs w:val="18"/>
          <w:color w:val="auto"/>
        </w:rPr>
      </w:pPr>
    </w:p>
    <w:p>
      <w:pPr>
        <w:ind w:right="380" w:firstLine="419"/>
        <w:spacing w:after="0" w:line="266" w:lineRule="auto"/>
        <w:tabs>
          <w:tab w:leader="none" w:pos="7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67" w:lineRule="exact"/>
        <w:rPr>
          <w:rFonts w:ascii="Times New Roman" w:cs="Times New Roman" w:eastAsia="Times New Roman" w:hAnsi="Times New Roman"/>
          <w:sz w:val="18"/>
          <w:szCs w:val="18"/>
          <w:color w:val="auto"/>
        </w:rPr>
      </w:pPr>
    </w:p>
    <w:p>
      <w:pPr>
        <w:ind w:firstLine="419"/>
        <w:spacing w:after="0" w:line="277" w:lineRule="auto"/>
        <w:tabs>
          <w:tab w:leader="none" w:pos="76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principal of (or premium, if any) or interest, if any, on the Securities of the series are to be payable, at the election of the Company or a Holder thereof, in a Currency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in which such Securities are denominated or stated to be payable and the Currency in which such Securities are to be so paid, in each case in accordance with, in addition to or in lieu of any of the provisions of Section 312;</w:t>
      </w:r>
    </w:p>
    <w:p>
      <w:pPr>
        <w:spacing w:after="0" w:line="59" w:lineRule="exact"/>
        <w:rPr>
          <w:rFonts w:ascii="Times New Roman" w:cs="Times New Roman" w:eastAsia="Times New Roman" w:hAnsi="Times New Roman"/>
          <w:sz w:val="17"/>
          <w:szCs w:val="17"/>
          <w:color w:val="auto"/>
        </w:rPr>
      </w:pPr>
    </w:p>
    <w:p>
      <w:pPr>
        <w:ind w:left="760" w:hanging="341"/>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initial Exchange Rate Agent, if any, or any depositaries;</w:t>
      </w:r>
    </w:p>
    <w:p>
      <w:pPr>
        <w:spacing w:after="0" w:line="117" w:lineRule="exact"/>
        <w:rPr>
          <w:rFonts w:ascii="Times New Roman" w:cs="Times New Roman" w:eastAsia="Times New Roman" w:hAnsi="Times New Roman"/>
          <w:sz w:val="18"/>
          <w:szCs w:val="18"/>
          <w:color w:val="auto"/>
        </w:rPr>
      </w:pPr>
    </w:p>
    <w:p>
      <w:pPr>
        <w:ind w:right="100" w:firstLine="419"/>
        <w:spacing w:after="0" w:line="282" w:lineRule="auto"/>
        <w:tabs>
          <w:tab w:leader="none" w:pos="7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Sections 1402 and/or 1403 are not applicable to the Securities of the series and any provisions in modification of, in addition to or in lieu of any of the provisions of Article Fourteen that shall be applicable to the Securities of the series;</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the Holders of Securities of the series upon the occurrence of such events as may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w:t>
      </w:r>
    </w:p>
    <w:p>
      <w:pPr>
        <w:spacing w:after="0" w:line="98" w:lineRule="exact"/>
        <w:rPr>
          <w:rFonts w:ascii="Times New Roman" w:cs="Times New Roman" w:eastAsia="Times New Roman" w:hAnsi="Times New Roman"/>
          <w:sz w:val="18"/>
          <w:szCs w:val="18"/>
          <w:color w:val="auto"/>
        </w:rPr>
      </w:pPr>
    </w:p>
    <w:p>
      <w:pPr>
        <w:ind w:right="100" w:firstLine="419"/>
        <w:spacing w:after="0" w:line="282" w:lineRule="auto"/>
        <w:tabs>
          <w:tab w:leader="none" w:pos="7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covenants of the Company or with respect to Securities of the series, whether or not such Events of Default or covenants are consistent with the Events of Default or covenants set forth herein;</w:t>
      </w:r>
    </w:p>
    <w:p>
      <w:pPr>
        <w:spacing w:after="0" w:line="53" w:lineRule="exact"/>
        <w:rPr>
          <w:rFonts w:ascii="Times New Roman" w:cs="Times New Roman" w:eastAsia="Times New Roman" w:hAnsi="Times New Roman"/>
          <w:sz w:val="18"/>
          <w:szCs w:val="18"/>
          <w:color w:val="auto"/>
        </w:rPr>
      </w:pPr>
    </w:p>
    <w:p>
      <w:pPr>
        <w:ind w:right="320" w:firstLine="419"/>
        <w:spacing w:after="0" w:line="258" w:lineRule="auto"/>
        <w:tabs>
          <w:tab w:leader="none" w:pos="7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Securities of the series are to be issuable as Registered Securities, Bearer Securities (with or without coupons) or both, any restrictions applicable to the offer, sale or delivery of Bearer Securities, whether such Securities are to be issuable initially in temporary global form, whether such Securities are to be issuable in permanent global form with or without coupons and, if so, whether beneficial owners of interests in any such permanent global Security may exchange such interests for definitive Securities of the series and of like tenor of any authorized form and denomination and the circumstances under which any such exchanges may occur, if other</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70" w:right="459" w:bottom="1440" w:gutter="0" w:footer="0" w:header="0"/>
        </w:sectPr>
      </w:pPr>
    </w:p>
    <w:bookmarkStart w:id="68" w:name="page69"/>
    <w:bookmarkEnd w:id="68"/>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than in the manner provided in Section 305, whether Registered Securities of the series may be exchanged for Bearer Securities of the series (if permitted by applicable laws and regulations), and the circumstances under which and the place or places where any such exchanges may be made and if Securities of the series are to be issuable in global form, the identity of any Depositary therefor;</w:t>
      </w:r>
    </w:p>
    <w:p>
      <w:pPr>
        <w:spacing w:after="0" w:line="68" w:lineRule="exact"/>
        <w:rPr>
          <w:sz w:val="20"/>
          <w:szCs w:val="20"/>
          <w:color w:val="auto"/>
        </w:rPr>
      </w:pPr>
    </w:p>
    <w:p>
      <w:pPr>
        <w:ind w:firstLine="419"/>
        <w:spacing w:after="0" w:line="282"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Bearer Securities of the series and any temporary global Security representing Outstanding Bearer Securities of the series shall be dated if other than the date of original issuance of the first Security of the series to be issued;</w:t>
      </w:r>
    </w:p>
    <w:p>
      <w:pPr>
        <w:spacing w:after="0" w:line="53" w:lineRule="exact"/>
        <w:rPr>
          <w:rFonts w:ascii="Times New Roman" w:cs="Times New Roman" w:eastAsia="Times New Roman" w:hAnsi="Times New Roman"/>
          <w:sz w:val="18"/>
          <w:szCs w:val="18"/>
          <w:color w:val="auto"/>
        </w:rPr>
      </w:pPr>
    </w:p>
    <w:p>
      <w:pPr>
        <w:ind w:firstLine="419"/>
        <w:spacing w:after="0" w:line="255"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in Section 304; and the extent to which, or the manner in which, any interest payable on a permanent global Security on an Interest Payment Date will be paid if other than in the manner provided in Section 307;</w:t>
      </w:r>
    </w:p>
    <w:p>
      <w:pPr>
        <w:spacing w:after="0" w:line="80" w:lineRule="exact"/>
        <w:rPr>
          <w:rFonts w:ascii="Times New Roman" w:cs="Times New Roman" w:eastAsia="Times New Roman" w:hAnsi="Times New Roman"/>
          <w:sz w:val="18"/>
          <w:szCs w:val="18"/>
          <w:color w:val="auto"/>
        </w:rPr>
      </w:pPr>
    </w:p>
    <w:p>
      <w:pPr>
        <w:ind w:right="40" w:firstLine="419"/>
        <w:spacing w:after="0" w:line="266"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of the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67" w:lineRule="exact"/>
        <w:rPr>
          <w:rFonts w:ascii="Times New Roman" w:cs="Times New Roman" w:eastAsia="Times New Roman" w:hAnsi="Times New Roman"/>
          <w:sz w:val="18"/>
          <w:szCs w:val="18"/>
          <w:color w:val="auto"/>
        </w:rPr>
      </w:pPr>
    </w:p>
    <w:p>
      <w:pPr>
        <w:ind w:right="620" w:firstLine="419"/>
        <w:spacing w:after="0" w:line="282"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issued upon the exercise of warrants, the time, manner and place for such Securities to be authenticated and delivered;</w:t>
      </w:r>
    </w:p>
    <w:p>
      <w:pPr>
        <w:spacing w:after="0" w:line="53" w:lineRule="exact"/>
        <w:rPr>
          <w:rFonts w:ascii="Times New Roman" w:cs="Times New Roman" w:eastAsia="Times New Roman" w:hAnsi="Times New Roman"/>
          <w:sz w:val="18"/>
          <w:szCs w:val="18"/>
          <w:color w:val="auto"/>
        </w:rPr>
      </w:pPr>
    </w:p>
    <w:p>
      <w:pPr>
        <w:ind w:right="120" w:firstLine="419"/>
        <w:spacing w:after="0" w:line="261"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under what circumstances and the Currency in which the Company will pay Additional Amounts as contemplated by [Article 10 on the Securities of the series to any Holder (including any modification to the definition of such term) in respect of any tax, assessment or governmental charge and, if so, whether the Company will have the option to redeem such Securities rather than pay such Additional Amounts (and the terms of any such option);</w:t>
      </w:r>
    </w:p>
    <w:p>
      <w:pPr>
        <w:spacing w:after="0" w:line="71" w:lineRule="exact"/>
        <w:rPr>
          <w:rFonts w:ascii="Times New Roman" w:cs="Times New Roman" w:eastAsia="Times New Roman" w:hAnsi="Times New Roman"/>
          <w:sz w:val="18"/>
          <w:szCs w:val="18"/>
          <w:color w:val="auto"/>
        </w:rPr>
      </w:pPr>
    </w:p>
    <w:p>
      <w:pPr>
        <w:ind w:right="200" w:firstLine="419"/>
        <w:spacing w:after="0" w:line="282"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are to be convertible into or exchangeable for any securities of any Person (including the Company), the terms and conditions upon which such Securities will be so convertible or exchangeable;</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are subject to subordination and, if so, the terms of such subordination; and</w:t>
      </w:r>
    </w:p>
    <w:p>
      <w:pPr>
        <w:spacing w:after="0" w:line="117" w:lineRule="exact"/>
        <w:rPr>
          <w:rFonts w:ascii="Times New Roman" w:cs="Times New Roman" w:eastAsia="Times New Roman" w:hAnsi="Times New Roman"/>
          <w:sz w:val="18"/>
          <w:szCs w:val="18"/>
          <w:color w:val="auto"/>
        </w:rPr>
      </w:pPr>
    </w:p>
    <w:p>
      <w:pPr>
        <w:ind w:right="300" w:firstLine="419"/>
        <w:spacing w:after="0" w:line="282" w:lineRule="auto"/>
        <w:tabs>
          <w:tab w:leader="none" w:pos="7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conditions, rights and preferences (or limitations on such rights and preferences) relating to the series (which terms shall not be inconsistent with the requirements of the Trust Indenture Act or the provisions of this Indenture).</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70" w:right="459" w:bottom="1440" w:gutter="0" w:footer="0" w:header="0"/>
        </w:sectPr>
      </w:pPr>
    </w:p>
    <w:bookmarkStart w:id="69" w:name="page70"/>
    <w:bookmarkEnd w:id="69"/>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or pursuant to authority granted by one or more Board Resolutions (subject to Section 303) and set forth in such Officers’ Certificate or in any such indenture supplemental hereto. Not all Securities of any one series need be issued at the same time, and, unless otherwise provided, a series may be reopened, without the consent of the Holders, for issuances of additional Securities of such series.</w:t>
      </w:r>
    </w:p>
    <w:p>
      <w:pPr>
        <w:spacing w:after="0" w:line="183"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If any of the terms of the Securities of any series are established by action taken pursuant to one or more Board Resolutions or pursuant to authority granted by one or more Board Resolutions, such Board Resolutions shall be delivered to the Trustee at or prior to the issuance of the first Security of such series.</w:t>
      </w:r>
    </w:p>
    <w:p>
      <w:pPr>
        <w:spacing w:after="0" w:line="176" w:lineRule="exact"/>
        <w:rPr>
          <w:sz w:val="20"/>
          <w:szCs w:val="20"/>
          <w:color w:val="auto"/>
        </w:rPr>
      </w:pPr>
    </w:p>
    <w:p>
      <w:pPr>
        <w:ind w:right="20" w:firstLine="991"/>
        <w:spacing w:after="0" w:line="277" w:lineRule="auto"/>
        <w:rPr>
          <w:sz w:val="20"/>
          <w:szCs w:val="20"/>
          <w:color w:val="auto"/>
        </w:rPr>
      </w:pPr>
      <w:r>
        <w:rPr>
          <w:rFonts w:ascii="Times New Roman" w:cs="Times New Roman" w:eastAsia="Times New Roman" w:hAnsi="Times New Roman"/>
          <w:sz w:val="17"/>
          <w:szCs w:val="17"/>
          <w:color w:val="auto"/>
        </w:rPr>
        <w:t xml:space="preserve">SECTION 302. </w:t>
      </w:r>
      <w:r>
        <w:rPr>
          <w:rFonts w:ascii="Times New Roman" w:cs="Times New Roman" w:eastAsia="Times New Roman" w:hAnsi="Times New Roman"/>
          <w:sz w:val="17"/>
          <w:szCs w:val="17"/>
          <w:u w:val="single" w:color="auto"/>
          <w:color w:val="auto"/>
        </w:rPr>
        <w:t>Denominations</w:t>
      </w:r>
      <w:r>
        <w:rPr>
          <w:rFonts w:ascii="Times New Roman" w:cs="Times New Roman" w:eastAsia="Times New Roman" w:hAnsi="Times New Roman"/>
          <w:sz w:val="17"/>
          <w:szCs w:val="17"/>
          <w:color w:val="auto"/>
        </w:rPr>
        <w:t>. The Securities of each series shall be issuable in such denominations as shall be specified as contemplated by Section 301. With respect to Securities of any series denominated in Dollars, in the absence of any such provisions with respect to the Securities of such series, the Registered Securities of such series, other than Registered Securities issued in global form (which may be of any denomination), shall be issuable in a minimum denomination of $2,000 and integral multiples of $1,000 above such minimum denomination and the Bearer Securities of such series, other than the Bearer Securities issued in global form (which may be of any denomination), shall be issuable in the denomination of $5,000.</w:t>
      </w:r>
    </w:p>
    <w:p>
      <w:pPr>
        <w:spacing w:after="0" w:line="168"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Execution, Authentication, Delivery and Dating</w:t>
      </w:r>
      <w:r>
        <w:rPr>
          <w:rFonts w:ascii="Times New Roman" w:cs="Times New Roman" w:eastAsia="Times New Roman" w:hAnsi="Times New Roman"/>
          <w:sz w:val="18"/>
          <w:szCs w:val="18"/>
          <w:color w:val="auto"/>
        </w:rPr>
        <w:t>. The Securities and any coupons appertaining thereto shall be executed on behalf of the Company by an individual or individuals duly authorized by the Board of Directors of the Company to execute the Securities and the coupons. The signature of any of these authorized persons on the Securities or coupons may be the manual or facsimile signatures of the present or any future such authorized person and may be imprinted or otherwise reproduced on the Securities.</w:t>
      </w:r>
    </w:p>
    <w:p>
      <w:pPr>
        <w:spacing w:after="0" w:line="18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Securities or coupons bearing the manual or facsimile signatures of individuals who were at the time of such execution of the Securities or coupons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Company may deliver Securities of any series, together with any coupons appertaining thereto, duly executed by the Company, to the Trustee for authentication, together with a Company Order for the authentication and delivery of such Securities, and the Trustee in accordance with such Company Order shall authenticate and deliver such Securities; provided, however, that, in connection with its original issuance, no Bearer Security shall be mailed or otherwise delivered to any location in the United States; and provided further that, unless otherwise specified with respect to any series of Securities pursuant to Section 301, a Bearer Security may be delivered in connection with its original issuance only if the Person entitled to receive such Bearer Security shall have furnished a certificate in the form set forth in Exhibit A-1</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70" w:name="page71"/>
    <w:bookmarkEnd w:id="7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this Indenture (or such other certificate as may be specified with respect to any series of Security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Bearer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cancelled. If not all the Securities of any series are to be issued at one time and if the Board Resolution, Officers’ Certificate pursuant to a Board Resolution, or supplemental indenture establishing such series shall so permit, such Company Order may set forth procedures acceptable to the Trustee for the issuance of such Securities and determining terms of particular Securities of such series such as interest rate or formula, maturity, any redemption or repayment provisions, date of issuance and date from which interest shall accrue.</w:t>
      </w:r>
    </w:p>
    <w:p>
      <w:pPr>
        <w:spacing w:after="0" w:line="192" w:lineRule="exact"/>
        <w:rPr>
          <w:sz w:val="20"/>
          <w:szCs w:val="20"/>
          <w:color w:val="auto"/>
        </w:rPr>
      </w:pPr>
    </w:p>
    <w:p>
      <w:pPr>
        <w:ind w:right="520" w:firstLine="991"/>
        <w:spacing w:after="0" w:line="266"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receive, and shall be fully protected in conclusively relying upon, an Opinion of Counsel stating in effect (subject to customary exceptions):</w:t>
      </w:r>
    </w:p>
    <w:p>
      <w:pPr>
        <w:spacing w:after="0" w:line="81" w:lineRule="exact"/>
        <w:rPr>
          <w:sz w:val="20"/>
          <w:szCs w:val="20"/>
          <w:color w:val="auto"/>
        </w:rPr>
      </w:pPr>
    </w:p>
    <w:p>
      <w:pPr>
        <w:ind w:left="1420" w:hanging="439"/>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form or forms of such Securities and any coupons have been established in conformity with the provisions of this Indenture;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terms of such Securities and any coupons have been established in conformity with the provisions of this Indenture;</w:t>
      </w:r>
    </w:p>
    <w:p>
      <w:pPr>
        <w:spacing w:after="0" w:line="130" w:lineRule="exact"/>
        <w:rPr>
          <w:rFonts w:ascii="Times New Roman" w:cs="Times New Roman" w:eastAsia="Times New Roman" w:hAnsi="Times New Roman"/>
          <w:sz w:val="18"/>
          <w:szCs w:val="18"/>
          <w:color w:val="auto"/>
        </w:rPr>
      </w:pPr>
    </w:p>
    <w:p>
      <w:pPr>
        <w:ind w:left="1420" w:right="200" w:hanging="439"/>
        <w:spacing w:after="0" w:line="256" w:lineRule="auto"/>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Securities and coupons, when completed by appropriate insertions and executed and delivered by the Company to the Trustee for authentication in accordance with this Indenture, authenticated and delivered by the Trustee in accordance with this Indenture and issued in the manner and subject to any conditions specified in such Opinion of Counsel, will be the legal, valid and binding obligations of the Company enforceable in accordance with their terms, subject to the effect of any applicable bankruptcy, insolvency, reorganization, moratorium and other similar laws affecting creditors’ rights generally (including without limitation on all laws relating to fraudulent transfers) and to general principles of equity;</w:t>
      </w:r>
    </w:p>
    <w:p>
      <w:pPr>
        <w:spacing w:after="0" w:line="92" w:lineRule="exact"/>
        <w:rPr>
          <w:rFonts w:ascii="Times New Roman" w:cs="Times New Roman" w:eastAsia="Times New Roman" w:hAnsi="Times New Roman"/>
          <w:sz w:val="18"/>
          <w:szCs w:val="18"/>
          <w:color w:val="auto"/>
        </w:rPr>
      </w:pPr>
    </w:p>
    <w:p>
      <w:pPr>
        <w:jc w:val="both"/>
        <w:ind w:left="1420" w:hanging="439"/>
        <w:spacing w:after="0" w:line="266" w:lineRule="auto"/>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laws and requirements in respect of the execution and delivery by the Company of such Securities, coupons, if any, and of the supplemental indentures, if any, have been complied with and that authentication and delivery of such Securities and coupons, if any, and the execution and delivery of the supplemental indenture, if any, by the Trustee will not violate the terms of the Indenture;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71" w:name="page72"/>
    <w:bookmarkEnd w:id="71"/>
    <w:p>
      <w:pPr>
        <w:ind w:left="1420" w:hanging="439"/>
        <w:spacing w:after="0" w:line="282"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the Company has the corporate power to issue such Securities and any coupons and has duly taken all necessary corporate action with respect to such issuance; and</w:t>
      </w:r>
    </w:p>
    <w:p>
      <w:pPr>
        <w:spacing w:after="0" w:line="67" w:lineRule="exact"/>
        <w:rPr>
          <w:rFonts w:ascii="Times New Roman" w:cs="Times New Roman" w:eastAsia="Times New Roman" w:hAnsi="Times New Roman"/>
          <w:sz w:val="18"/>
          <w:szCs w:val="18"/>
          <w:color w:val="auto"/>
        </w:rPr>
      </w:pPr>
    </w:p>
    <w:p>
      <w:pPr>
        <w:jc w:val="both"/>
        <w:ind w:left="1420" w:right="60" w:hanging="439"/>
        <w:spacing w:after="0" w:line="266"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issuance of such Securities and coupons, if any, will not contravene the articles of incorporation or by-laws of the Company or result in any violation of any of the terms or provisions of any law or regulation or of any indenture, mortgage or other agreement known to such Counsel by which the Company is bound.</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Notwithstanding the provisions of Section 301 and of the preceding two paragraphs, if not all the Securities of any series are to be issued at one time, it shall not be necessary to deliver the Officers’ Certificate otherwise required pursuant to Section 301 or the Company Order and Opinion of Counsel otherwise required pursuant to the preceding two paragraphs prior to or at the time of issuance of each Security, but such documents shall be delivered prior to or at the time of issuance of the first Security of such series.</w:t>
      </w:r>
    </w:p>
    <w:p>
      <w:pPr>
        <w:spacing w:after="0" w:line="180"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not be required to authenticate and deliver any such Securities if the issue of such Securities pursuant to this Indenture is unlawful or will affect the Trustee’s own rights, duties or immunities under the Securities and this Indenture or otherwise in a manner which is not reasonably acceptable to the Trustee.</w:t>
      </w:r>
    </w:p>
    <w:p>
      <w:pPr>
        <w:spacing w:after="0" w:line="176"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Each Registered Security shall be dated the date of its authentication and each Bearer Security shall be dated as of the date specified as contemplated by Section 301.</w:t>
      </w:r>
    </w:p>
    <w:p>
      <w:pPr>
        <w:spacing w:after="0" w:line="162"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No Security or coupon shall be entitled to any benefit under this Indenture or be valid or obligatory for any purpose unless there appears on such Security a certificate of authentication substantially in the form provided for herein duly executed by the Trustee by manual signature of an authorized signatory, and such certificate upon any Security shall be conclusive evidence, and the only evidence, that such Security has been duly authenticated and delivered hereunder and is entitled to the benefits of this Indenture.</w:t>
      </w:r>
    </w:p>
    <w:p>
      <w:pPr>
        <w:spacing w:after="0" w:line="180"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any Security shall have been authenticated and delivered hereunder but never issued and sold by the Company, and the Company shall deliver such Security to the Trustee for cancellation as provided in Section 310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83"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 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or coupons may determine, as conclusively evidenced by their execution of such Securities or coupons, as the case may be. Such temporary Securities may be in global form.</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72" w:name="page73"/>
    <w:bookmarkEnd w:id="72"/>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unmatured coupons appertaining thereto), the Company shall execute and the Trustee, upon receipt of a written instruction, shall authenticate and deliver in exchange therefor a like principal amount of definitive Securities of the same series and of like tenor of authorized denominations; provided, however, that no definitive Bearer Security shall be delivered in exchange for a temporary Registered Security; and provided further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92" w:lineRule="exact"/>
        <w:rPr>
          <w:sz w:val="20"/>
          <w:szCs w:val="20"/>
          <w:color w:val="auto"/>
        </w:rPr>
      </w:pPr>
    </w:p>
    <w:p>
      <w:pPr>
        <w:ind w:right="540" w:firstLine="991"/>
        <w:spacing w:after="0" w:line="289" w:lineRule="auto"/>
        <w:rPr>
          <w:sz w:val="20"/>
          <w:szCs w:val="20"/>
          <w:color w:val="auto"/>
        </w:rPr>
      </w:pPr>
      <w:r>
        <w:rPr>
          <w:rFonts w:ascii="Times New Roman" w:cs="Times New Roman" w:eastAsia="Times New Roman" w:hAnsi="Times New Roman"/>
          <w:sz w:val="17"/>
          <w:szCs w:val="17"/>
          <w:color w:val="auto"/>
        </w:rPr>
        <w:t>If temporary Securities of any series are issued in global form, any such temporary global Security shall, unless otherwise provided therein, be delivered to the London office of a depositary or common depositary (the “Common Depositary”), for the benefit of Euroclear and Clearstream, for credit to the respective accounts of the beneficial owners of such Securities (or to such other accounts as they may direct).</w:t>
      </w:r>
    </w:p>
    <w:p>
      <w:pPr>
        <w:spacing w:after="0" w:line="15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Without unnecessary delay but in any event not later than the date specified in, or determined pursuant to the terms of, any such temporary global Security (the “Exchange Date”), the Company shall deliver to the Trustee definitive Securities of the same series executed by the Company, in aggregate principal amount equal to the principal amount of such temporary global Security. On or after the Exchange Date such temporary global Security shall be surrendered by the Common Depositary to the Trustee, as the Company’s agent for such purpose, to be exchanged, in whole or from time to time in part, for definitive Securities of the same series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provided that, unless otherwise specified in such temporary global Security, upon such presentation by the Common Depositary, such temporary global Security is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73" w:name="page74"/>
    <w:bookmarkEnd w:id="73"/>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exchanged, each in the form set forth in Exhibit A-2 to this Indenture (or in such other form as may be established pursuant to Section 301); and provided, however, that definitive Bearer Securities shall be delivered in exchange for a portion of a temporary global Security only in compliance with the requirements of Section 303.</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Unless otherwise specified in such temporary global Security, the interest of a beneficial owner of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Exhibit A-1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Euroclear or Clearstream. Definitive Securities in bearer form to be delivered in exchange for any portion of a temporary global Security shall be delivered only outside the United States.</w:t>
      </w:r>
    </w:p>
    <w:p>
      <w:pPr>
        <w:spacing w:after="0" w:line="194"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or the applicable Paying Agent of a certificate or certificates in the form set forth in Exhibit A-2 to this Indenture (or in such other form as may be established pursuant to Section 301), for credit without further interest thereon on or after such Interest Payment Date to the respective accounts of the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in Exhibit A-1 to this Indenture (or in such other form as may be established pursuant to Section 301). Notwithstanding anything to the contrary herein contained, the certifications made pursuant to this paragraph shall satisfy the certification requirements of the preceding two paragraphs of this Section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premium, if any) or interest, if any,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or the applicable Paying Agent immediately prior to the expiration of two years after such Interest Payment Date in order to be repaid to the Company in accordance with (but otherwise subject to) [Article 10].</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40" w:top="270" w:right="499" w:bottom="1440" w:gutter="0" w:footer="0" w:header="0"/>
        </w:sectPr>
      </w:pPr>
    </w:p>
    <w:bookmarkStart w:id="74" w:name="page75"/>
    <w:bookmarkEnd w:id="74"/>
    <w:p>
      <w:pPr>
        <w:ind w:right="140" w:firstLine="991"/>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305. </w:t>
      </w:r>
      <w:r>
        <w:rPr>
          <w:rFonts w:ascii="Times New Roman" w:cs="Times New Roman" w:eastAsia="Times New Roman" w:hAnsi="Times New Roman"/>
          <w:sz w:val="17"/>
          <w:szCs w:val="17"/>
          <w:u w:val="single" w:color="auto"/>
          <w:color w:val="auto"/>
        </w:rPr>
        <w:t>Registration, Registration of Transfer and Exchange</w:t>
      </w:r>
      <w:r>
        <w:rPr>
          <w:rFonts w:ascii="Times New Roman" w:cs="Times New Roman" w:eastAsia="Times New Roman" w:hAnsi="Times New Roman"/>
          <w:sz w:val="17"/>
          <w:szCs w:val="17"/>
          <w:color w:val="auto"/>
        </w:rPr>
        <w:t>. The Company or the Trustee shall cause to be kept at the Corporate Trust Office of the Trustee a register for each series of Securities (the registers maintained in the Corporate Trust Office of the Trustee and in any other office or agency of the Company in a Place of Payment being herein sometimes collectively referred to as the “Security Register”) in which, subject to such reasonable regulations as it may prescribe, the Company shall provide for the registration of Registered Securities and of transfers of Registered Securities; provided, however, that there shall be only one Security Register per series of Securities. The Security Register shall be in written form or any other form capable of being converted into written form within a reasonable time. At all reasonable times, the Security Register shall be open to inspection by the Trustee. The Trustee is hereby initially appointed as security registrar (the “Security Registrar”) for the purpose of registering Registered Securities and transfers of Registered Securities as herein provided and for facilitating exchanges of temporary global Securities for permanent global Securities or definitive Securities, or both, or of permanent global Securities for definitive Securities, as herein provided.</w:t>
      </w:r>
    </w:p>
    <w:p>
      <w:pPr>
        <w:spacing w:after="0" w:line="173"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Upon surrender for registration of transfer of any Registered Security of any series at the office or agency in a Place of Payment for that series, the Company shall execute, and the Trustee shall authenticate and deliver, in the name of the designated transferee, one or more new Registered Securities of the same series, of any authorized denominations and of a like aggregate principal amount and tenor.</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At the option of the Holder, Registered Securities of any series may be exchanged for other Registered Securities of the same series, of any authorized denomination and of a like aggregate principal amount, upon surrender of the Registered Securities to be exchanged at such office or agency. Whenever any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If (but only if) expressly permitted in or pursuant to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 if there is furnished to them such security or indemnity as they may reasonably require to save each of them and any Paying Agent harmless. If thereafter the Holder of such Security shall surrender to any Paying Agent any such missing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75" w:name="page76"/>
    <w:bookmarkEnd w:id="75"/>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coupon in respect of which such a payment shall have been made, such Holder shall be entitled to receive the amount of such payment; provided, however, that, except as otherwise provided in [Article 10],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w:t>
      </w:r>
    </w:p>
    <w:p>
      <w:pPr>
        <w:spacing w:after="0" w:line="194"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Whenever any Securities are so surrendered for exchange, the Company shall execute, and the Trustee shall authenticate and deliver, the Securities that the Holder making the exchange is entitled to receive.</w:t>
      </w:r>
    </w:p>
    <w:p>
      <w:pPr>
        <w:spacing w:after="0" w:line="16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Notwithstanding the foregoing, except as otherwise specified as contemplated by Section 301, any permanent global Security shall be exchangeable only as provided in this paragraph. Unless otherwise specified pursuant to Section 301, all Bearer Securities issued in permanent global form, upon request of the beneficial owner and in accordance with the following provisions, will be exchangeable for definitive Bearer Securities. If any beneficial owner of an interest in a permanent global Security is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deliver to the Trustee definitive Securities of that series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Common Depositary or such other depositary as shall be specified in the Company Order with respect thereto to the Trustee, as the Company’s agent for such purpose, to be exchanged, in whole or from time to time in part, for definitive Securities of the same series without charge, and the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which, unless the Securities of the series are not issuable both as Bearer Securities and as Registered Securities, as specified as contemplated by Section 301, shall be in the form of Bearer Securities or Registered Securities, or any combination thereof, as shall be specified by the beneficial owner thereof; provided, however, that no such exchanges may occur during a period beginning at the opening of business 15 days before any selection of Securities to be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76" w:name="page77"/>
    <w:bookmarkEnd w:id="7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redeemed and ending on the relevant Redemption Date if the Security for which exchange is requested may be among those selected for redemption; and provided, further, that no Bearer Security delivered in exchange for a portion of a permanent global Security shall be mailed or otherwise delivered to any location in the United States. If a definitive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definitive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88" w:lineRule="exact"/>
        <w:rPr>
          <w:sz w:val="20"/>
          <w:szCs w:val="20"/>
          <w:color w:val="auto"/>
        </w:rPr>
      </w:pPr>
    </w:p>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4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Every Registered Security presented or surrendered for registration of transfer or for exchange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Sections 304, 906, 1107 or 1305 not involving any transfer.</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If at any time the Depositary for any permanent global Registered Securities of any series notifies the Company that it is unwilling or unable to continue as Depositary for such permanent global Registered Securities or if at any time the Depositary for such permanent global Registered Securities shall no longer be eligible to so continue under applicable law, the Company shall appoint a successor Depositary eligible under applicable law with respect to such permanent global Registered Securities. If a successor Depositary eligible under applicable law for such Registered Global Securities is not appointed by the Company within 90 days after the Company receives such notice or becomes aware of such ineligibility or if there has occurred and is continuing an Event of Default with respect to the Securities of any series, the Company will execute, and the Trustee, upon receipt of the Company Order for the authentication and delivery of definitive Registered Securities of such series and tenor, will authenticate and deliver such definitive Registered Securities of such series and tenor, in any authorized denominations, in an aggregate principal amount equal to the principal amount of such permanent global Registered Securities, in exchange for such permanent global Registered Securities.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70" w:right="499" w:bottom="1440" w:gutter="0" w:footer="0" w:header="0"/>
        </w:sectPr>
      </w:pPr>
    </w:p>
    <w:bookmarkStart w:id="77" w:name="page78"/>
    <w:bookmarkEnd w:id="77"/>
    <w:p>
      <w:pPr>
        <w:ind w:left="4" w:right="1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at any time and in its sole discretion determine that any permanent global Registered Securities of any series shall no longer be maintained in global form. In such event the Company will execute, and the Trustee, upon receipt of the Company’s order for the authentication and delivery of definitive Registered Securities of such series and tenor, will authenticate and deliver, definitive Registered Securities of such series and tenor in any authorized denominations, in an aggregate principal amount equal to the principal amount of such permanent global Registered Securities, in exchange for such permanent global Registered Securities.</w:t>
      </w:r>
    </w:p>
    <w:p>
      <w:pPr>
        <w:spacing w:after="0" w:line="183" w:lineRule="exact"/>
        <w:rPr>
          <w:sz w:val="20"/>
          <w:szCs w:val="20"/>
          <w:color w:val="auto"/>
        </w:rPr>
      </w:pPr>
    </w:p>
    <w:p>
      <w:pPr>
        <w:jc w:val="both"/>
        <w:ind w:left="4" w:firstLine="991"/>
        <w:spacing w:after="0" w:line="272" w:lineRule="auto"/>
        <w:rPr>
          <w:sz w:val="20"/>
          <w:szCs w:val="20"/>
          <w:color w:val="auto"/>
        </w:rPr>
      </w:pPr>
      <w:r>
        <w:rPr>
          <w:rFonts w:ascii="Times New Roman" w:cs="Times New Roman" w:eastAsia="Times New Roman" w:hAnsi="Times New Roman"/>
          <w:sz w:val="17"/>
          <w:szCs w:val="17"/>
          <w:color w:val="auto"/>
        </w:rPr>
        <w:t>The Company shall not be required (i) to issue, register the transfer of or exchange Securities of any series during a period beginning at the opening of business 15 days before the day of the selection for redemption of Securities of that series under Section 1103 or 1203 and ending at the close of business on (A) if Securities of the series are issuable only as Registered Securities, the day of the mailing of the relevant notice of redemption and</w:t>
      </w:r>
    </w:p>
    <w:p>
      <w:pPr>
        <w:spacing w:after="0" w:line="2" w:lineRule="exact"/>
        <w:rPr>
          <w:sz w:val="20"/>
          <w:szCs w:val="20"/>
          <w:color w:val="auto"/>
        </w:rPr>
      </w:pPr>
    </w:p>
    <w:p>
      <w:pPr>
        <w:ind w:left="4" w:right="80" w:hanging="4"/>
        <w:spacing w:after="0" w:line="252" w:lineRule="auto"/>
        <w:tabs>
          <w:tab w:leader="none" w:pos="28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of the series are issuable as Bearer Securities, the day of the first publication of the relevant notice of redemption or, if Securities of the series are also issuable as Registered Securities and there is no publication, the mailing of the relevant notice of redemption, or (ii) to register the transfer of or exchange any Registered Security so selected for redemption in whole or in part, except the unredeemed portion of any Security being redeemed in part, or (iii) to exchange any Bearer Security so selected for redemption except that such a Bearer Security may be exchanged for a Registered Security of that series and like tenor, provided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188"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that may be imposed under this Indenture with respect to the Securities of any series pursuant to the terms thereof established as contemplated by Section 301 or under applicable law with respect to any transfer of any interest in any such Security (including any transfers between or among any depositary (including any Depositary or Common Depositary), or its nominee, as a Holder of a Security issued in global form, any participants in such depositary or owners or holders of beneficial interests in any such global Security) other than to require delivery of such certificates and other documentation or evidence as are expressly required by, and to do so if and when expressly required by, the terms of such Securities if and as may be so established in respect of such Securities, and to examine the same to determine substantial compliance as to form with the express requirements thereof.</w:t>
      </w:r>
    </w:p>
    <w:p>
      <w:pPr>
        <w:spacing w:after="0" w:line="189" w:lineRule="exact"/>
        <w:rPr>
          <w:sz w:val="20"/>
          <w:szCs w:val="20"/>
          <w:color w:val="auto"/>
        </w:rPr>
      </w:pPr>
    </w:p>
    <w:p>
      <w:pPr>
        <w:ind w:left="4" w:right="3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 If any mutilated Security or a Security with a mutilated coupon appertaining to it is surrendered to the Trustee, the Company shall execute and the Trustee shall authenticate and deliver in exchange therefor a new Security of the same series and of like tenor and principal amount and bearing a number not contemporaneously Outstanding, with coupons corresponding to the coupons, if any, appertaining to the surrendered Security.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78" w:name="page79"/>
    <w:bookmarkEnd w:id="78"/>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there shall be delivered to the Company and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Company Order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of like tenor and principal amount and bearing a number not contemporaneously Outstanding, with coupons corresponding to the coupons, if any, appertaining to such destroyed, lost or stolen Security or to the Security to which such destroyed, lost or stolen coupon appertains.</w:t>
      </w:r>
    </w:p>
    <w:p>
      <w:pPr>
        <w:spacing w:after="0" w:line="189"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mutilated, destroyed, lost or stolen Security or to the Security to which such mutilated, destroyed, lost or stolen coupon appertains, pay such Security or coupon; provided, however, that payment of principal of (and premium, if any) and interest, if any, on Bearer Securities shall, except as otherwise provided in [Article 10],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89"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76"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Every new Security of any series, with its coupons, if any, issued pursuant to this Section in lieu of any mutilated, destroyed, lost or stolen Security, or in exchange for a Security to which a mutilated, destroyed, lost or stolen coupon appertains, shall constitute an original additional contractual obligation of the Company, whether or not the mutilated, destroyed, lost or stolen Security and its coupons, if any, or the mutilated,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83"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62"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 xml:space="preserve">SECTION 307. </w:t>
      </w:r>
      <w:r>
        <w:rPr>
          <w:rFonts w:ascii="Times New Roman" w:cs="Times New Roman" w:eastAsia="Times New Roman" w:hAnsi="Times New Roman"/>
          <w:sz w:val="17"/>
          <w:szCs w:val="17"/>
          <w:u w:val="single" w:color="auto"/>
          <w:color w:val="auto"/>
        </w:rPr>
        <w:t>Payment of Interest; Interest Rights Preserved; Optional Interest Reset</w:t>
      </w:r>
      <w:r>
        <w:rPr>
          <w:rFonts w:ascii="Times New Roman" w:cs="Times New Roman" w:eastAsia="Times New Roman" w:hAnsi="Times New Roman"/>
          <w:sz w:val="17"/>
          <w:szCs w:val="17"/>
          <w:color w:val="auto"/>
        </w:rPr>
        <w:t>. (i) Unless otherwise provided as contemplated by Section 301 with respect to any series of Securities, interest, if any, on any Registered Security which is payable, and is punctually paid or duly provided for, on any Interest Payment Date shall be paid to the Person in whose name such Security (or one or more Predecessor Securities) is registered at the close of business on the Regular Record Date for such interest at the office or agency of the Company maintained for such purpose pursuant to [Article 10]; provided, however, that each installment of interest, if any, on any Registered Security (other than a global Security) on an Interest</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79" w:name="page80"/>
    <w:bookmarkEnd w:id="79"/>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Date may at the Company’s option be paid by (i) mailing a check for such interest, payable to or upon the written order of the Person entitled thereto pursuant to Section 309, to the address of such Person as it appears on the Security Register or (ii) transfer to an account located in the United States maintained by the payee.</w:t>
      </w:r>
    </w:p>
    <w:p>
      <w:pPr>
        <w:spacing w:after="0" w:line="176"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Unless otherwise provided as contemplated by Section 301 with respect to the Securities of any series, payment of interest, if any, may be made, in the case of a Bearer Security, by transfer to an account located outside the United States maintained by the payee.</w:t>
      </w:r>
    </w:p>
    <w:p>
      <w:pPr>
        <w:spacing w:after="0" w:line="162"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Unless otherwise provided as contemplated by Section 301, every permanent global Security will provide that interest, if any, payable on any Interest Payment Date will be paid to each of Euroclear and Clearstream with respect to that portion of such permanent global Security held for its account by the Common Depositary, for the purpose of permitting each of Euroclear and Clearstream to credit the interest, if any, received by it in respect of such permanent global Security to the accounts of the beneficial owners thereof.</w:t>
      </w:r>
    </w:p>
    <w:p>
      <w:pPr>
        <w:spacing w:after="0" w:line="180" w:lineRule="exact"/>
        <w:rPr>
          <w:sz w:val="20"/>
          <w:szCs w:val="20"/>
          <w:color w:val="auto"/>
        </w:rPr>
      </w:pPr>
    </w:p>
    <w:p>
      <w:pPr>
        <w:jc w:val="both"/>
        <w:ind w:right="340" w:firstLine="991"/>
        <w:spacing w:after="0" w:line="258" w:lineRule="auto"/>
        <w:rPr>
          <w:sz w:val="20"/>
          <w:szCs w:val="20"/>
          <w:color w:val="auto"/>
        </w:rPr>
      </w:pPr>
      <w:r>
        <w:rPr>
          <w:rFonts w:ascii="Times New Roman" w:cs="Times New Roman" w:eastAsia="Times New Roman" w:hAnsi="Times New Roman"/>
          <w:sz w:val="18"/>
          <w:szCs w:val="18"/>
          <w:color w:val="auto"/>
        </w:rPr>
        <w:t>Any interest on any Registered Security of any series which is payable, but is not punctually paid or duly provided for, on any Interest Payment Date shall forthwith cease to be payable to the Holder on the relevant Regular Record Date by virtue of having been such Holder, and such defaulted interest and, if applicable, interest on such defaulted interest (to the extent lawful) at the rate or formula specified in the Securities of such series (such defaulted interest and, if applicable, interest thereon herein collectively called “Defaulted Interest”) may be paid by the Company, at its election in each case, as provided in clause (1) or (2) below:</w:t>
      </w:r>
    </w:p>
    <w:p>
      <w:pPr>
        <w:spacing w:after="0" w:line="75" w:lineRule="exact"/>
        <w:rPr>
          <w:sz w:val="20"/>
          <w:szCs w:val="20"/>
          <w:color w:val="auto"/>
        </w:rPr>
      </w:pPr>
    </w:p>
    <w:p>
      <w:pPr>
        <w:ind w:left="440" w:firstLine="419"/>
        <w:spacing w:after="0" w:line="252"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and at the same time the Company shall deposit with the Trustee an amount of money in the Currency in which the Securities of such series are payable (except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that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in the manner provided in Section 106, not less than 10 days prior to such Special Record Date. Notice of the proposed payment of such Defaulted Interest and the Special Record Date therefor having been so given, such Defaulted Interest shall be paid to the Persons in whose name the Registered Securities of such series (or their respective Predecessor Securities) are registered at the close of business on such Special Record Date and shall no longer be payable pursuant to the following clause (2).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80" w:name="page81"/>
    <w:bookmarkEnd w:id="80"/>
    <w:p>
      <w:pPr>
        <w:ind w:left="440" w:right="60" w:firstLine="419"/>
        <w:spacing w:after="0" w:line="261"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72" w:lineRule="exact"/>
        <w:rPr>
          <w:sz w:val="20"/>
          <w:szCs w:val="20"/>
          <w:color w:val="auto"/>
        </w:rPr>
      </w:pPr>
    </w:p>
    <w:p>
      <w:pPr>
        <w:ind w:left="1120" w:hanging="261"/>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307(b) may be made applicable to any series of Securities pursuant to Section 301 (with such</w:t>
      </w:r>
    </w:p>
    <w:p>
      <w:pPr>
        <w:spacing w:after="0" w:line="27" w:lineRule="exact"/>
        <w:rPr>
          <w:rFonts w:ascii="Times New Roman" w:cs="Times New Roman" w:eastAsia="Times New Roman" w:hAnsi="Times New Roman"/>
          <w:sz w:val="18"/>
          <w:szCs w:val="18"/>
          <w:color w:val="auto"/>
        </w:rPr>
      </w:pPr>
    </w:p>
    <w:p>
      <w:pPr>
        <w:ind w:left="44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“Optional Reset Date”). The Company may exercise such option with respect to such Security by notifying the Trustee of such exercise at least 50 but not more than 60 days prior to an Optional Reset Date for such Security. Not later than 40 days prior to each Optional Reset Date, the Trustee shall transmit, in the manner provided for in Section 106, to the Holder of any such Security a notice (the “Reset Notice”)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“Subsequent Interest Period”), including the date or dates on which or the period or periods during which and the price or prices at which such redemption may occur during the Subsequent Interest Period.</w:t>
      </w:r>
    </w:p>
    <w:p>
      <w:pPr>
        <w:spacing w:after="0" w:line="19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Notwithstanding the foregoing, not later than 20 days prior to the Optional Reset Date, the Company may, at its option, revoke the interest rate (or the spread or spread multiplier used to calculate such interest rate, if applicable) provided for in the Reset Notice and establish an interest rate (or a spread or spread multiplier used to calculate such interest rate, if applicable) that is higher than the interest rate (or the spread or spread multiplier, if applicable) provided for in the Reset Notice, for the Subsequent Interest Period by causing the Trustee to transmit, in the manner provided for in Section 106, notice of such higher interest rate (or such higher spread or spread multiplier,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if applicable).</w:t>
      </w:r>
    </w:p>
    <w:p>
      <w:pPr>
        <w:spacing w:after="0" w:line="188"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81" w:name="page82"/>
    <w:bookmarkEnd w:id="81"/>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w:t>
      </w:r>
    </w:p>
    <w:p>
      <w:pPr>
        <w:spacing w:after="0" w:line="176"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Optional Extension of Maturity</w:t>
      </w:r>
      <w:r>
        <w:rPr>
          <w:rFonts w:ascii="Times New Roman" w:cs="Times New Roman" w:eastAsia="Times New Roman" w:hAnsi="Times New Roman"/>
          <w:sz w:val="18"/>
          <w:szCs w:val="18"/>
          <w:color w:val="auto"/>
        </w:rPr>
        <w:t>. The provisions of this Section 308 may be made applicable to any series of Securities pursuant to Section 301 (with such modifications, additions or substitutions as may be specified pursuant to such Section 301). The Maturity of any Security of such series may be extended at the option of the Company for the period or periods specified on the face of such Security (each an “Extension Period”) up to but not beyond the Stated Maturity set forth on the face of such Security. The Company may exercise such option with respect to any Security by notifying the Trustee of such exercise at least 50 but not more than 60 days prior to the Maturity of such Security in effect prior to the exercise of such option. If the Company exercises such option, the Trustee shall transmit, in the manner provided for in Section 106, to the Holder of such Security not later than 40 days prior to the Maturity a notice (the “Extension Notice”) indicating (i) the election of the Company to extend the Maturity, (ii) the new Maturity, (iii) the interest rate, if any, applicable to the Extension Period and (iv) the provisions, if any, for redemption during such Extension Period. Upon the Trustee’s transmittal of the Extension Notice, the Maturity of such Security shall be extended automatically and, except as modified by the Extension Notice and as described in the next paragraph, such Security will have the same terms as prior to the transmittal of such Extension Notice.</w:t>
      </w:r>
    </w:p>
    <w:p>
      <w:pPr>
        <w:spacing w:after="0" w:line="192"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Notwithstanding the foregoing, not later than 20 days before the Maturity of such Security, the Company may, at its option, revoke the interest rate provided for in the Extension Notice and establish a higher interest rate for the Extension Period by causing the Trustee to transmit, in the manner provided for in Section 106, notice of such higher interest rate (or such higher spread or spread multiplier, if applicable) to the Holder of such Security. Such notice shall be irrevocable. All Securities with respect to which the Maturity is extended will bear such higher interest rate.</w:t>
      </w:r>
    </w:p>
    <w:p>
      <w:pPr>
        <w:spacing w:after="0" w:line="180"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If the Company extends the Maturity of any Security, the Holder will have the option to elect repayment of such Security by the Company at Maturity at a price equal to the principal amount thereof, plus interest accrued to such date. In order to obtain repayment at Maturity once the Company has extended the Maturity thereof, the Holder must follow the procedures set forth in Article Thirteen for repayment at the option of Holders, except that the period for delivery or notification to the Trustee shall be at least 25 but not more than 35 days prior to the Maturity and except that, if the Holder has tendered any Security for repayment pursuant to an Extension Notice, the Holder may by written notice to the Trustee revoke such tender for repayment until the close of business on the tenth day before the Maturity.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82" w:name="page83"/>
    <w:bookmarkEnd w:id="82"/>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309. </w:t>
      </w: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Prior to due presentment of a Registered Security for registration of transfer, the Company, the Trustee and any agent of the Company or the Trustee may treat the Person in whose name such Registered Securit is registered as the absolute owner of such Registered Security for the purpose of receiving payment of principal of (and premium, if any) and (subject to Sections 305 and 307) interest, if any, on such Registered Security and for all other purposes whatsoever, whether or not such Registered Security be overdue, and none of the Company, the Trustee or any agent of the Company or the Trustee shall be affected by notice to the contrary.</w:t>
      </w:r>
    </w:p>
    <w:p>
      <w:pPr>
        <w:spacing w:after="0" w:line="18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Title to any Bearer Security and any coupons appertaining thereto shall pass by delivery. The Company, the Trustee and any agent of the Company or the Trustee may treat the bearer of any Bearer Security and the bearer of any coupon as the absolute owner of such Bearer Security or coupon for the purpose of receiving payment thereof or on account thereof and for all other purposes whatsoever, whether or not such Bearer Security or coupons be overdue, and none of the Company, the Trustee or any agent of the Company or the Trustee shall be affected by notice to the contrary.</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None of the Company, the Trustee, any Paying Agent or the Security Registrar shall have any responsibility or liability for any aspect of the records relating to or payments made on account of beneficial ownership interests of a Security in global form or for maintaining, supervising or reviewing any records relating to such beneficial ownership interests. The Company, the Trustee and the Securities Registrar shall be entitled to deal with any depositary (including any Depositary or Common Depositary), and any nominee thereof, that is the Holder of any such global Security for all purposes of this Indenture relating to such global Security (including the payment of principal, premium, if any, and interest and Additional Amounts, if any, the giving of instructions or directions by or to the owner or holder of a beneficial ownership interest in such global Security) as the sole Holder of such global Security and shall have no obligations to the beneficial owners thereof. None of the Company, the Trustee, any Paying Agent or the Security Registrar shall have any responsibility or liability for any acts or omissions of any such depositary with respect to such global Security, for the records of any such depositary, including records in respect of beneficial ownership interests in respect of any such global Security, for any transactions between such depositary and any participant in such depositary or between or among any such depositary, any such participant and/or any holder or owner of a beneficial interest in such global Security or for any transfers of beneficial interests in any such global Security.</w:t>
      </w:r>
    </w:p>
    <w:p>
      <w:pPr>
        <w:spacing w:after="0" w:line="19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depositary (including any Depositary or Common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83" w:name="page84"/>
    <w:bookmarkEnd w:id="83"/>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310.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All Securities and coupons surrendered for payment, redemption, repayment at the option of the Holder, registration of transfer or exchange or for credit against any current or future sinking fund payment shall, if surrendered to any Person other than the Trustee, be delivered to the Trustee. All Securities and coupons so delivered to the Trustee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All cancelled Securities and coupons held by the Trustee shall be disposed of by the Trustee in accordance with its customary procedures and, if requested by the Company in writing, the Trustee shall provide certification of their disposal to the Company, unless by Company Order the Company shall timely direct that cancelled Securities be returned to it.</w:t>
      </w:r>
    </w:p>
    <w:p>
      <w:pPr>
        <w:spacing w:after="0" w:line="190"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 Except as otherwise specified as contemplated by Section 301 with respect to Securities of any series, interest, if any, on the Securities of each series shall be computed on the basis of a 360-day year of twelve 30-day months.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Currency and Manner of Payments in Respect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6" w:lineRule="auto"/>
        <w:tabs>
          <w:tab w:leader="none" w:pos="11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with respect to any series of Securities pursuant to Section 301, with respect to Registered Securities of any series not permitting the election provided for in paragraph (b) below or the Holders of which have not made the election provided for in paragraph (b) below, and with respect to Bearer Securities of any series, except as provided in paragraph (d) below, payment of the principal of (and premium, if any) and interest, if any, on any Registered Security or Bearer Security of such series will be made in the Currency in which such Registered Security or Bearer Security, as the case may be, is payable. The provisions of this Section 312 may be modified or superseded with respect to any Securities pursuant to Section 301.</w:t>
      </w:r>
    </w:p>
    <w:p>
      <w:pPr>
        <w:spacing w:after="0" w:line="79"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provided pursuant to Section 301 with respect to Registered Securities of any series that Holders shall have the option, subject to paragraphs (d) and (e) below, to receive payments of principal of (or premium, if any) or interest, if any, on such Registered Securities in any of the Currencies which may be designated for such election by delivering to the Trustee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84" w:name="page85"/>
    <w:bookmarkEnd w:id="8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Registered Security who shall not have delivered any such election to the Trustee not later than the close of business on the applicable Election Date will be paid the amount due on the applicable payment date in the relevant Currency as provided in Section 312(a). The Trustee shall notify the Exchange Rate Agent as soon as practicable after the Election Date of the aggregate principal amount of Registered Securities for which Holders have made such written election.</w:t>
      </w:r>
    </w:p>
    <w:p>
      <w:pPr>
        <w:spacing w:after="0" w:line="79" w:lineRule="exact"/>
        <w:rPr>
          <w:sz w:val="20"/>
          <w:szCs w:val="20"/>
          <w:color w:val="auto"/>
        </w:rPr>
      </w:pPr>
    </w:p>
    <w:p>
      <w:pPr>
        <w:ind w:right="20" w:firstLine="419"/>
        <w:spacing w:after="0" w:line="253" w:lineRule="auto"/>
        <w:tabs>
          <w:tab w:leader="none" w:pos="6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pursuant to Section 301, if the election referred to in paragraph (b) above has been provided for pursuant to Section 301, then, unless otherwise specified pursuant to Section 301, not later than the fourth Business Day after the Election Date for each payment date for Registered Securities of any series, the Exchange Rate Agent will deliver to the Company a written notice specifying the Currency in which Registered Securities of such series are payable, the respective aggregate amounts of principal of (and premium, if any) and interest, if any, on the Registered Securities to be paid on such payment date and the amounts in such Currency so payable in respect of the Registered Securities as to which the Holders of Registered Securities of such series shall have elected to be paid in another Currency as provided in paragraph (b) above. If the election referred to in paragraph (b) above has been provided for pursuant to Section 301 and if at least one Holder has made such election, then, unless otherwise specified pursuant to Section 301, on the second Business Day preceding such payment date the Company will deliver to the Trustee an Exchange Rate Officer’s Certificate in respect of the Dollar or Foreign Currency payments to be made on such payment date. Unless otherwise specified pursuant to Section 301, the Dollar or Foreign Currency amount receivable by Holders of Registered Securities who have elected payment in a Currency as provided in paragraph (b) above shall be determined by the Company on the basis of the applicable Market Exchange Rate in effect on the third Business Day (the “Valuation Date”) immediately preceding each payment date, and such determination shall be conclusive and binding for all purposes, absent manifest error.</w:t>
      </w:r>
    </w:p>
    <w:p>
      <w:pPr>
        <w:spacing w:after="0" w:line="79" w:lineRule="exact"/>
        <w:rPr>
          <w:rFonts w:ascii="Times New Roman" w:cs="Times New Roman" w:eastAsia="Times New Roman" w:hAnsi="Times New Roman"/>
          <w:sz w:val="18"/>
          <w:szCs w:val="18"/>
          <w:color w:val="auto"/>
        </w:rPr>
      </w:pPr>
    </w:p>
    <w:p>
      <w:pPr>
        <w:ind w:right="20" w:firstLine="419"/>
        <w:spacing w:after="0" w:line="254" w:lineRule="auto"/>
        <w:tabs>
          <w:tab w:leader="none" w:pos="67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Conversion Event occurs with respect to a Foreign Currency in which any of the Securities are denominated or payable other than pursuant to an election provided for pursuant to paragraph (b) above, then with respect to each date for the payment of principal of (and premium, if any) and interest, if any, on the applicable Securities denominated or payable in such Foreign Currency occurring after the last date on which such Foreign Currency was used (the “Conversion Date”), the Dollar shall be the Currency of payment for use on each such payment date. Unless otherwise specified pursuant to Section 301, the Dollar amount to be paid by the Company to the Trustee and by the Trustee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w:t>
      </w:r>
    </w:p>
    <w:p>
      <w:pPr>
        <w:spacing w:after="0" w:line="12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20"/>
          </w:cols>
          <w:pgMar w:left="880" w:top="270" w:right="499" w:bottom="1440" w:gutter="0" w:footer="0" w:header="0"/>
        </w:sectPr>
      </w:pPr>
    </w:p>
    <w:bookmarkStart w:id="85" w:name="page86"/>
    <w:bookmarkEnd w:id="85"/>
    <w:p>
      <w:pPr>
        <w:ind w:left="440" w:right="100" w:firstLine="419"/>
        <w:spacing w:after="0" w:line="258" w:lineRule="auto"/>
        <w:tabs>
          <w:tab w:leader="none" w:pos="11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specified pursuant to Section 301, if the Holder of a Registered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above.</w:t>
      </w:r>
    </w:p>
    <w:p>
      <w:pPr>
        <w:spacing w:after="0" w:line="75" w:lineRule="exact"/>
        <w:rPr>
          <w:rFonts w:ascii="Times New Roman" w:cs="Times New Roman" w:eastAsia="Times New Roman" w:hAnsi="Times New Roman"/>
          <w:sz w:val="18"/>
          <w:szCs w:val="18"/>
          <w:color w:val="auto"/>
        </w:rPr>
      </w:pPr>
    </w:p>
    <w:p>
      <w:pPr>
        <w:jc w:val="both"/>
        <w:ind w:left="440" w:right="600" w:firstLine="419"/>
        <w:spacing w:after="0" w:line="312" w:lineRule="auto"/>
        <w:tabs>
          <w:tab w:leader="none" w:pos="1088"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Equivalent of the Foreign Currency” shall be determined by the Exchange Rate Agent and shall be obtained for each subsequent payment date by converting the specified Foreign Currency into Dollars at the Market Exchange Rate on the Conversion Date.</w:t>
      </w:r>
    </w:p>
    <w:p>
      <w:pPr>
        <w:spacing w:after="0" w:line="31" w:lineRule="exact"/>
        <w:rPr>
          <w:rFonts w:ascii="Times New Roman" w:cs="Times New Roman" w:eastAsia="Times New Roman" w:hAnsi="Times New Roman"/>
          <w:sz w:val="17"/>
          <w:szCs w:val="17"/>
          <w:color w:val="auto"/>
        </w:rPr>
      </w:pPr>
    </w:p>
    <w:p>
      <w:pPr>
        <w:ind w:left="440" w:right="160" w:firstLine="419"/>
        <w:spacing w:after="0" w:line="266" w:lineRule="auto"/>
        <w:tabs>
          <w:tab w:leader="none" w:pos="11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Equivalent of the Currency Unit” shall be determined by the Exchange Rate Agent and subject to the provisions of paragraph (h) below shall be the sum of each amount obtained by converting the Specified Amount of each Component Currency into Dollars at the Market Exchange Rate for such Component Currency on the Valuation Date with respect to each payment.</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312 the following terms shall have the following meanings: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“Component Currency” shall mean any Currency which, on the Conversion Date, was a component currency of the relevant currency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w:t>
      </w:r>
    </w:p>
    <w:p>
      <w:pPr>
        <w:spacing w:after="0" w:line="20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A “Specified Amount” of a Component Currency shall mean the number of units of such Component Currency or fractions thereof which were represented in the relevant currency unit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value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a Conversion Event (other than any event referred to above in this definition of “Specified Amount”)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86" w:name="page87"/>
    <w:bookmarkEnd w:id="86"/>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“Election Date” shall mean the date for any series of Registered Securities as specified pursuant to clause (13) of Section 301 by which the written election referred to in paragraph (b) above may be made.</w:t>
      </w:r>
    </w:p>
    <w:p>
      <w:pPr>
        <w:spacing w:after="0" w:line="162"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 and all Holders of such Securities denominated or payable in the relevant Currency. The Exchange Rate Agent shall promptly give written notice to the Company and the Trustee of any such decision or determination.</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In the event that the Company determines in good faith that a Conversion Event has occurred with respect to a Foreign Currency, the Company will immediately give written notice thereof to the Trustee and to the Exchange Rate Agent (and the Trustee will promptly thereafter give notice in the manner provided for in Section 106 to the affected Holders) specifying the Conversion Date. In the event the Company so determines that a Conversion Event has occurred with respect to any Foreign Currency unit in which Securities are denominated or payable, the Company will immediately give written notice thereof to the Trustee and to the Exchange Rate Agent (and the Trustee will promptly thereafter give notice in the manner provided for in Section 106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 and the Exchange Rate Agent. The Trustee shall be fully justified and protected in conclusively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19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Appointment and Resignation of Successor Exchange Rate Agent</w:t>
      </w:r>
      <w:r>
        <w:rPr>
          <w:rFonts w:ascii="Times New Roman" w:cs="Times New Roman" w:eastAsia="Times New Roman" w:hAnsi="Times New Roman"/>
          <w:sz w:val="18"/>
          <w:szCs w:val="18"/>
          <w:color w:val="auto"/>
        </w:rPr>
        <w:t>. (a) Unless otherwise specified pursuant to Section 301, if and so long as the Securities of any series (i) are denominated in a Foreign Currency or (ii) may be payable in a Foreign Currency,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301 for the purpose of determining the applicable rate of exchange and, if applicable, for the purpose of converting the denominated Currency into the applicable payment Currency for the payment of principal (and premium, if any) and interest, if any, pursuant to Section 312.</w:t>
      </w:r>
    </w:p>
    <w:p>
      <w:pPr>
        <w:spacing w:after="0" w:line="81" w:lineRule="exact"/>
        <w:rPr>
          <w:sz w:val="20"/>
          <w:szCs w:val="20"/>
          <w:color w:val="auto"/>
        </w:rPr>
      </w:pPr>
    </w:p>
    <w:p>
      <w:pPr>
        <w:ind w:left="440" w:firstLine="419"/>
        <w:spacing w:after="0" w:line="266" w:lineRule="auto"/>
        <w:tabs>
          <w:tab w:leader="none" w:pos="11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87" w:name="page88"/>
    <w:bookmarkEnd w:id="87"/>
    <w:p>
      <w:pPr>
        <w:ind w:left="440" w:right="60" w:firstLine="419"/>
        <w:spacing w:after="0" w:line="255" w:lineRule="auto"/>
        <w:tabs>
          <w:tab w:leader="none" w:pos="110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9"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 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and any right to receive Additional Amounts, as contemplated by [Article 10]) and the Trustee, at the expense of the Company, shall execute proper instruments acknowledging satisfaction and discharge of this Indenture as to such series when</w:t>
      </w:r>
    </w:p>
    <w:p>
      <w:pPr>
        <w:spacing w:after="0" w:line="75" w:lineRule="exact"/>
        <w:rPr>
          <w:sz w:val="20"/>
          <w:szCs w:val="20"/>
          <w:color w:val="auto"/>
        </w:rPr>
      </w:pPr>
    </w:p>
    <w:p>
      <w:pPr>
        <w:ind w:left="1100" w:hanging="241"/>
        <w:spacing w:after="0"/>
        <w:tabs>
          <w:tab w:leader="none" w:pos="11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3"/>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and all coupons, if any, appertaining thereto (other than</w:t>
      </w:r>
    </w:p>
    <w:p>
      <w:pPr>
        <w:spacing w:after="0" w:line="27" w:lineRule="exact"/>
        <w:rPr>
          <w:rFonts w:ascii="Times New Roman" w:cs="Times New Roman" w:eastAsia="Times New Roman" w:hAnsi="Times New Roman"/>
          <w:sz w:val="18"/>
          <w:szCs w:val="18"/>
          <w:color w:val="auto"/>
        </w:rPr>
      </w:pPr>
    </w:p>
    <w:p>
      <w:pPr>
        <w:ind w:left="980" w:right="60" w:firstLine="7"/>
        <w:spacing w:after="0" w:line="265" w:lineRule="auto"/>
        <w:tabs>
          <w:tab w:leader="none" w:pos="1195" w:val="left"/>
        </w:tabs>
        <w:numPr>
          <w:ilvl w:val="2"/>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w:t>
      </w:r>
    </w:p>
    <w:p>
      <w:pPr>
        <w:ind w:left="980" w:firstLine="7"/>
        <w:spacing w:after="0" w:line="255" w:lineRule="auto"/>
        <w:tabs>
          <w:tab w:leader="none" w:pos="1285"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coupons of such series for whose payment money has theretofore been deposited in trust with the Trustee or any Paying Agent or segregated and held in trust by the Company and thereafter repaid to the Company or discharged from such trust, as provided in [Article 10]) have been delivered to the Trustee for cancellation; or</w:t>
      </w:r>
    </w:p>
    <w:p>
      <w:pPr>
        <w:spacing w:after="0" w:line="77"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66" w:val="left"/>
        </w:tabs>
        <w:numPr>
          <w:ilvl w:val="3"/>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and, in the case of (i) or (ii) below, any coupons appertaining thereto not theretofore delivered to the Trustee for cancellation</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88" w:name="page89"/>
    <w:bookmarkEnd w:id="88"/>
    <w:p>
      <w:pPr>
        <w:ind w:left="1420" w:hanging="43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become due and payable at their Stated Maturity within one year, or</w:t>
      </w:r>
    </w:p>
    <w:p>
      <w:pPr>
        <w:spacing w:after="0" w:line="130" w:lineRule="exact"/>
        <w:rPr>
          <w:rFonts w:ascii="Times New Roman" w:cs="Times New Roman" w:eastAsia="Times New Roman" w:hAnsi="Times New Roman"/>
          <w:sz w:val="18"/>
          <w:szCs w:val="18"/>
          <w:color w:val="auto"/>
        </w:rPr>
      </w:pPr>
    </w:p>
    <w:p>
      <w:pPr>
        <w:ind w:left="1420" w:right="180" w:hanging="439"/>
        <w:spacing w:after="0" w:line="282" w:lineRule="auto"/>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54"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and the Company, in the case of (i), (ii) or (iii) above, has irrevocably deposited or caused to be deposited with the Trustee as trust funds in trust for such purpose an amount, in the Currency in which the Securities of such series are payable, sufficient to pay and discharge the entire indebtedness on such Securities and such coupons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spacing w:after="0" w:line="75" w:lineRule="exact"/>
        <w:rPr>
          <w:sz w:val="20"/>
          <w:szCs w:val="20"/>
          <w:color w:val="auto"/>
        </w:rPr>
      </w:pPr>
    </w:p>
    <w:p>
      <w:pPr>
        <w:ind w:left="1120" w:hanging="261"/>
        <w:spacing w:after="0"/>
        <w:tabs>
          <w:tab w:leader="none" w:pos="11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or under the Securities; and</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0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under Section 606 and, if money shall have been deposited with the Trustee pursuant to subclause (B) of clause (a) of this Section, the obligations of the Trustee under Section 402 and [Article 10], and the penultimate paragraph of Section 1405 shall survive.</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Application of Trust Money</w:t>
      </w:r>
      <w:r>
        <w:rPr>
          <w:rFonts w:ascii="Times New Roman" w:cs="Times New Roman" w:eastAsia="Times New Roman" w:hAnsi="Times New Roman"/>
          <w:sz w:val="18"/>
          <w:szCs w:val="18"/>
          <w:color w:val="auto"/>
        </w:rPr>
        <w:t>.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to the Persons entitled thereto, of the principal (and premium, if any) and interest, if any, for whose payment such money has been deposited with the Trustee; but such money need not be segregated from other funds except to the extent required by law. Money so held in trust is subject to the Trustee’s rights under Section 606.</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2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89" w:name="page90"/>
    <w:bookmarkEnd w:id="89"/>
    <w:p>
      <w:pPr>
        <w:ind w:right="620" w:firstLine="948"/>
        <w:spacing w:after="0" w:line="282" w:lineRule="auto"/>
        <w:tabs>
          <w:tab w:leader="none" w:pos="120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 in the payment of any interest on any Security of that series, or any related coupon, when such interest or coupon becomes due and payable, and continuance of such default for a period of 30 days; or</w:t>
      </w:r>
    </w:p>
    <w:p>
      <w:pPr>
        <w:spacing w:after="0" w:line="53"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Security of that series at its Maturity; or</w:t>
      </w:r>
    </w:p>
    <w:p>
      <w:pPr>
        <w:spacing w:after="0" w:line="117" w:lineRule="exact"/>
        <w:rPr>
          <w:rFonts w:ascii="Times New Roman" w:cs="Times New Roman" w:eastAsia="Times New Roman" w:hAnsi="Times New Roman"/>
          <w:sz w:val="18"/>
          <w:szCs w:val="18"/>
          <w:color w:val="auto"/>
        </w:rPr>
      </w:pPr>
    </w:p>
    <w:p>
      <w:pPr>
        <w:ind w:right="120" w:firstLine="948"/>
        <w:spacing w:after="0" w:line="282" w:lineRule="auto"/>
        <w:tabs>
          <w:tab w:leader="none" w:pos="120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principal payment into the sinking fund, when and as due by the terms of any Security of that series and Article Twelve; or</w:t>
      </w:r>
    </w:p>
    <w:p>
      <w:pPr>
        <w:spacing w:after="0" w:line="53" w:lineRule="exact"/>
        <w:rPr>
          <w:rFonts w:ascii="Times New Roman" w:cs="Times New Roman" w:eastAsia="Times New Roman" w:hAnsi="Times New Roman"/>
          <w:sz w:val="18"/>
          <w:szCs w:val="18"/>
          <w:color w:val="auto"/>
        </w:rPr>
      </w:pPr>
    </w:p>
    <w:p>
      <w:pPr>
        <w:ind w:right="20" w:firstLine="948"/>
        <w:spacing w:after="0" w:line="256" w:lineRule="auto"/>
        <w:tabs>
          <w:tab w:leader="none" w:pos="120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agreement of the Company in this Indenture which affects or is applicable to the Securities of that series (other than a default in the performance or breach of a covenant or agreement that is elsewhere in this Section specifically dealt with or which has expressly been included in this Indenture solely for the benefit of other series of Securities), and continuance of such default or breach for a period of after receipt of notice given, by registered or certified mail, to the Company by the Trustee or to the Company and the Trustee by the Holders of at least 25% in principal amount of all Outstanding Securities of that series a written notice specifying such default or breach and requiring it to be remedied and stating that such notice is a “Notice of Default” hereunder;or</w:t>
      </w:r>
    </w:p>
    <w:p>
      <w:pPr>
        <w:spacing w:after="0" w:line="79" w:lineRule="exact"/>
        <w:rPr>
          <w:rFonts w:ascii="Times New Roman" w:cs="Times New Roman" w:eastAsia="Times New Roman" w:hAnsi="Times New Roman"/>
          <w:sz w:val="18"/>
          <w:szCs w:val="18"/>
          <w:color w:val="auto"/>
        </w:rPr>
      </w:pPr>
    </w:p>
    <w:p>
      <w:pPr>
        <w:ind w:firstLine="948"/>
        <w:spacing w:after="0" w:line="256" w:lineRule="auto"/>
        <w:tabs>
          <w:tab w:leader="none" w:pos="120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having jurisdiction in the premises of (A) a decree or order for relief in respect of the Company in an involuntary case or proceeding under Bankruptcy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their property, or ordering the winding up or liquidation of their affairs, and the continuance of any such decree or order for relief or any such other decree or order unstayed and in effect for a period of 90 consecutive days; or</w:t>
      </w:r>
    </w:p>
    <w:p>
      <w:pPr>
        <w:spacing w:after="0" w:line="79" w:lineRule="exact"/>
        <w:rPr>
          <w:rFonts w:ascii="Times New Roman" w:cs="Times New Roman" w:eastAsia="Times New Roman" w:hAnsi="Times New Roman"/>
          <w:sz w:val="18"/>
          <w:szCs w:val="18"/>
          <w:color w:val="auto"/>
        </w:rPr>
      </w:pPr>
    </w:p>
    <w:p>
      <w:pPr>
        <w:ind w:firstLine="948"/>
        <w:spacing w:after="0" w:line="255" w:lineRule="auto"/>
        <w:tabs>
          <w:tab w:leader="none" w:pos="120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Company of a voluntary case or proceeding under Bankruptcy Law or of any other case or proceeding to be adjudicated a bankrupt or insolvent, or the consent by them to the entry of a decree or order for relief in respect of the Company is an involuntary case or proceeding under Bankruptcy Law or to the commencement of any bankruptcy or insolvency case or proceeding against them, or the filing by them of a petition or answer or consent seeking reorganization or relief under any applicable Federal or State law, or the consent by them to the filing of such petition or to the appointment of or taking possession by a custodian, receiver, liquidator, assignee, trustee, sequestrator or similar official of the Company or of any substantial part of their property, or the making by them of an assignment for the benefit of creditors, or the admission by them in writing of their inability to pay their debts generally as they become due; or</w:t>
      </w:r>
    </w:p>
    <w:p>
      <w:pPr>
        <w:spacing w:after="0" w:line="80"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any other Event of Default provided pursuant to Sections 301 or 901 with respect to Securities of that series.]</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60"/>
          </w:cols>
          <w:pgMar w:left="880" w:top="270" w:right="459" w:bottom="1440" w:gutter="0" w:footer="0" w:header="0"/>
        </w:sectPr>
      </w:pPr>
    </w:p>
    <w:bookmarkStart w:id="90" w:name="page91"/>
    <w:bookmarkEnd w:id="9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2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 Within 90 days after the occurrence of any Default hereunder with respect to the Securities of any series, the Trustee shall transmit, in the manner and to the extent provided in TIA Section 313(c), notice of such default hereunder known to a Responsible Officer of the Trustee, unless such Default shall have been cured or waived; provided, however, that, except in the case of a Default in the payment of the principal of (or premium, if any) or interest, if any, on any Security of such series or in the payment of any sinking fund installment with respect to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best interest of the Holders of Securities of such series and any related coupons; and, provided further, that in the case of any default or breach of the character specified in Section 501[_] with respect to Securities and coupons of such series, no such notice to Holders shall be given until at least 30 days after the occurrence thereof.</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Certain Duties, Responsibilities and Rights of Trustee</w:t>
      </w:r>
      <w:r>
        <w:rPr>
          <w:rFonts w:ascii="Times New Roman" w:cs="Times New Roman" w:eastAsia="Times New Roman" w:hAnsi="Times New Roman"/>
          <w:sz w:val="18"/>
          <w:szCs w:val="18"/>
          <w:color w:val="auto"/>
        </w:rPr>
        <w:t>. Subject to the provisions of TIA Sections 315(a) through 315(d):</w:t>
      </w:r>
    </w:p>
    <w:p>
      <w:pPr>
        <w:spacing w:after="0" w:line="117" w:lineRule="exact"/>
        <w:rPr>
          <w:sz w:val="20"/>
          <w:szCs w:val="20"/>
          <w:color w:val="auto"/>
        </w:rPr>
      </w:pPr>
    </w:p>
    <w:p>
      <w:pPr>
        <w:ind w:left="1640" w:hanging="252"/>
        <w:spacing w:after="0"/>
        <w:tabs>
          <w:tab w:leader="none" w:pos="16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117"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1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71"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63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Event of Default has occurred and is continuing with respect to the Securities of any series,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67"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3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own negligent action, its own negligent failure to act, or its own willful misconduct, except that: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70" w:right="479" w:bottom="1440" w:gutter="0" w:footer="0" w:header="0"/>
        </w:sectPr>
      </w:pPr>
    </w:p>
    <w:bookmarkStart w:id="91" w:name="page92"/>
    <w:bookmarkEnd w:id="91"/>
    <w:p>
      <w:pPr>
        <w:ind w:left="660" w:hanging="241"/>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subparagraph (3) does not limit the effect of subparagraph (1) of this paragraph or the penultimate paragraph of this Section 602;</w:t>
      </w:r>
    </w:p>
    <w:p>
      <w:pPr>
        <w:spacing w:after="0" w:line="117" w:lineRule="exact"/>
        <w:rPr>
          <w:rFonts w:ascii="Times New Roman" w:cs="Times New Roman" w:eastAsia="Times New Roman" w:hAnsi="Times New Roman"/>
          <w:sz w:val="18"/>
          <w:szCs w:val="18"/>
          <w:color w:val="auto"/>
        </w:rPr>
      </w:pPr>
    </w:p>
    <w:p>
      <w:pPr>
        <w:ind w:right="120" w:firstLine="419"/>
        <w:spacing w:after="0" w:line="282" w:lineRule="auto"/>
        <w:tabs>
          <w:tab w:leader="none" w:pos="6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that the Trustee was negligent in ascertaining the pertinent facts; and</w:t>
      </w:r>
    </w:p>
    <w:p>
      <w:pPr>
        <w:spacing w:after="0" w:line="53" w:lineRule="exact"/>
        <w:rPr>
          <w:rFonts w:ascii="Times New Roman" w:cs="Times New Roman" w:eastAsia="Times New Roman" w:hAnsi="Times New Roman"/>
          <w:sz w:val="18"/>
          <w:szCs w:val="18"/>
          <w:color w:val="auto"/>
        </w:rPr>
      </w:pPr>
    </w:p>
    <w:p>
      <w:pPr>
        <w:ind w:right="140" w:firstLine="419"/>
        <w:spacing w:after="0" w:line="261" w:lineRule="auto"/>
        <w:tabs>
          <w:tab w:leader="none" w:pos="6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a majority in principal amount of the Outstanding Securities of the affected series relating to the time, method and place of conducting any proceeding for any remedy available to the Trustee, or exercising any trust or power conferred upon the Trustee, under this Indenture;</w:t>
      </w:r>
    </w:p>
    <w:p>
      <w:pPr>
        <w:spacing w:after="0" w:line="71" w:lineRule="exact"/>
        <w:rPr>
          <w:rFonts w:ascii="Times New Roman" w:cs="Times New Roman" w:eastAsia="Times New Roman" w:hAnsi="Times New Roman"/>
          <w:sz w:val="18"/>
          <w:szCs w:val="18"/>
          <w:color w:val="auto"/>
        </w:rPr>
      </w:pPr>
    </w:p>
    <w:p>
      <w:pPr>
        <w:ind w:left="540" w:right="100" w:firstLine="408"/>
        <w:spacing w:after="0" w:line="266" w:lineRule="auto"/>
        <w:tabs>
          <w:tab w:leader="none" w:pos="119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67"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19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Request or Company Order and any resolution of the Board of Directors of the Company may be sufficiently evidenced by a Board Resolution of the Company;</w:t>
      </w:r>
    </w:p>
    <w:p>
      <w:pPr>
        <w:spacing w:after="0" w:line="53" w:lineRule="exact"/>
        <w:rPr>
          <w:rFonts w:ascii="Times New Roman" w:cs="Times New Roman" w:eastAsia="Times New Roman" w:hAnsi="Times New Roman"/>
          <w:sz w:val="18"/>
          <w:szCs w:val="18"/>
          <w:color w:val="auto"/>
        </w:rPr>
      </w:pPr>
    </w:p>
    <w:p>
      <w:pPr>
        <w:ind w:left="540" w:firstLine="408"/>
        <w:spacing w:after="0" w:line="266" w:lineRule="auto"/>
        <w:tabs>
          <w:tab w:leader="none" w:pos="119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w:t>
      </w:r>
    </w:p>
    <w:p>
      <w:pPr>
        <w:spacing w:after="0" w:line="67" w:lineRule="exact"/>
        <w:rPr>
          <w:rFonts w:ascii="Times New Roman" w:cs="Times New Roman" w:eastAsia="Times New Roman" w:hAnsi="Times New Roman"/>
          <w:sz w:val="18"/>
          <w:szCs w:val="18"/>
          <w:color w:val="auto"/>
        </w:rPr>
      </w:pPr>
    </w:p>
    <w:p>
      <w:pPr>
        <w:jc w:val="both"/>
        <w:ind w:left="540" w:right="20" w:firstLine="408"/>
        <w:spacing w:after="0" w:line="266" w:lineRule="auto"/>
        <w:tabs>
          <w:tab w:leader="none" w:pos="119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or written opinion of such counsel or any Opinion of Counsel shall be full and complete authorization and protection in respect of any action taken, suffered or omitted by it hereunder in good faith and in reliance thereon;</w:t>
      </w:r>
    </w:p>
    <w:p>
      <w:pPr>
        <w:spacing w:after="0" w:line="67" w:lineRule="exact"/>
        <w:rPr>
          <w:rFonts w:ascii="Times New Roman" w:cs="Times New Roman" w:eastAsia="Times New Roman" w:hAnsi="Times New Roman"/>
          <w:sz w:val="18"/>
          <w:szCs w:val="18"/>
          <w:color w:val="auto"/>
        </w:rPr>
      </w:pPr>
    </w:p>
    <w:p>
      <w:pPr>
        <w:ind w:left="540" w:right="20" w:firstLine="408"/>
        <w:spacing w:after="0" w:line="261" w:lineRule="auto"/>
        <w:tabs>
          <w:tab w:leader="none" w:pos="119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it against the costs, expenses and liabilities which might be incurred by it in compliance with such request or direction;</w:t>
      </w:r>
    </w:p>
    <w:p>
      <w:pPr>
        <w:spacing w:after="0" w:line="71" w:lineRule="exact"/>
        <w:rPr>
          <w:rFonts w:ascii="Times New Roman" w:cs="Times New Roman" w:eastAsia="Times New Roman" w:hAnsi="Times New Roman"/>
          <w:sz w:val="18"/>
          <w:szCs w:val="18"/>
          <w:color w:val="auto"/>
        </w:rPr>
      </w:pPr>
    </w:p>
    <w:p>
      <w:pPr>
        <w:ind w:left="540" w:right="100" w:firstLine="408"/>
        <w:spacing w:after="0" w:line="258" w:lineRule="auto"/>
        <w:tabs>
          <w:tab w:leader="none" w:pos="119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560"/>
          </w:cols>
          <w:pgMar w:left="880" w:top="270" w:right="459" w:bottom="1440" w:gutter="0" w:footer="0" w:header="0"/>
        </w:sectPr>
      </w:pPr>
    </w:p>
    <w:bookmarkStart w:id="92" w:name="page93"/>
    <w:bookmarkEnd w:id="92"/>
    <w:p>
      <w:pPr>
        <w:ind w:left="980" w:right="160" w:firstLine="408"/>
        <w:spacing w:after="0" w:line="266" w:lineRule="auto"/>
        <w:tabs>
          <w:tab w:leader="none" w:pos="17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execute any of the trusts or powers hereunder or perform any duties hereunder either directly or by or through agents, attorneys, custodians, or nominees and the Trustee shall not be responsible for any misconduct or negligence on the part of any agent, attorney, custodian, or nominee appointed with due care by it hereunder;</w:t>
      </w:r>
    </w:p>
    <w:p>
      <w:pPr>
        <w:spacing w:after="0" w:line="6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71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or omitted by it in good faith and believed by it to be authorized or within the discretion or rights or powers conferred upon it by this Indenture;</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61" w:lineRule="auto"/>
        <w:tabs>
          <w:tab w:leader="none" w:pos="17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Trustee is also acting as Paying Agent, Security Registrar or in any other capacity hereunder, the rights, privileges, protections, immunities and benefits afforded to the Trustee pursuant to this Article Six, including, without limitation, its right to be indemnified, shall also be afforded to the Trustee in its capacity as such Paying Agent, Security Registrar or in such other capacity and each agent, custodian and other Person employed to act hereunder;</w:t>
      </w:r>
    </w:p>
    <w:p>
      <w:pPr>
        <w:spacing w:after="0" w:line="71" w:lineRule="exact"/>
        <w:rPr>
          <w:rFonts w:ascii="Times New Roman" w:cs="Times New Roman" w:eastAsia="Times New Roman" w:hAnsi="Times New Roman"/>
          <w:sz w:val="18"/>
          <w:szCs w:val="18"/>
          <w:color w:val="auto"/>
        </w:rPr>
      </w:pPr>
    </w:p>
    <w:p>
      <w:pPr>
        <w:jc w:val="both"/>
        <w:ind w:left="980" w:right="60" w:firstLine="408"/>
        <w:spacing w:after="0" w:line="261" w:lineRule="auto"/>
        <w:tabs>
          <w:tab w:leader="none" w:pos="17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case of an Event of Default described under clauses [_____] of Section 501, the Trustee shall not be deemed to know or be charged with knowledge of any Default or Event of Default with respect to the Securities of any series for which it is acting as Trustee unless a Responsible Officer of the Trustee shall have received written notice thereof at the Corporate Trust Office of the Trustee from the Company or a Holder of such Securities and such notice references this Indenture and such Securities;</w:t>
      </w:r>
    </w:p>
    <w:p>
      <w:pPr>
        <w:spacing w:after="0" w:line="71"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required to give any bond or surety in respect of the performance of its powers and duties hereunder; and</w:t>
      </w:r>
    </w:p>
    <w:p>
      <w:pPr>
        <w:spacing w:after="0" w:line="128" w:lineRule="exact"/>
        <w:rPr>
          <w:rFonts w:ascii="Times New Roman" w:cs="Times New Roman" w:eastAsia="Times New Roman" w:hAnsi="Times New Roman"/>
          <w:sz w:val="17"/>
          <w:szCs w:val="17"/>
          <w:color w:val="auto"/>
        </w:rPr>
      </w:pPr>
    </w:p>
    <w:p>
      <w:pPr>
        <w:ind w:left="1740" w:hanging="352"/>
        <w:spacing w:after="0"/>
        <w:tabs>
          <w:tab w:leader="none" w:pos="17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punitive or consequential loss or damage.</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6"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Section 602.</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Trustee Not Responsible for Recitals or Issuance of Securities</w:t>
      </w:r>
      <w:r>
        <w:rPr>
          <w:rFonts w:ascii="Times New Roman" w:cs="Times New Roman" w:eastAsia="Times New Roman" w:hAnsi="Times New Roman"/>
          <w:sz w:val="18"/>
          <w:szCs w:val="18"/>
          <w:color w:val="auto"/>
        </w:rPr>
        <w:t>. The recitals contained herein and in the Securities, except for the Trustee’s certificates of authentication, and in any coupons shall be taken as the statements of the Company and neither the Trustee nor any Authenticating Agent assumes any responsibility for their correctness.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93" w:name="page94"/>
    <w:bookmarkEnd w:id="93"/>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Neither the Trustee nor any Authenticating Agent shall be accountable for the use or application by the Company of Securities or the proceeds thereof.</w:t>
      </w:r>
    </w:p>
    <w:p>
      <w:pPr>
        <w:spacing w:after="0" w:line="180"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 The Trustee, any Authenticating Agent, any Paying Agent, any Security Registrar or any other agent of the Company or of the Trustee, in its individual or any other capacity, may become the owner or pledgee of Securities and coupons and, subject to TIA Sections 310(b) and 311, may otherwise deal with the Company with the same rights it would have if it were not Trustee, Authenticating Agent, Paying Agent, Security Registrar or such other agent.</w:t>
      </w:r>
    </w:p>
    <w:p>
      <w:pPr>
        <w:spacing w:after="0" w:line="180"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Money Held in Trust</w:t>
      </w:r>
      <w:r>
        <w:rPr>
          <w:rFonts w:ascii="Times New Roman" w:cs="Times New Roman" w:eastAsia="Times New Roman" w:hAnsi="Times New Roman"/>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 for the investment thereof.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 The Company agrees:</w:t>
      </w:r>
    </w:p>
    <w:p>
      <w:pPr>
        <w:spacing w:after="0" w:line="117" w:lineRule="exact"/>
        <w:rPr>
          <w:sz w:val="20"/>
          <w:szCs w:val="20"/>
          <w:color w:val="auto"/>
        </w:rPr>
      </w:pPr>
    </w:p>
    <w:p>
      <w:pPr>
        <w:ind w:left="980" w:right="60" w:firstLine="408"/>
        <w:spacing w:after="0" w:line="266" w:lineRule="auto"/>
        <w:tabs>
          <w:tab w:leader="none" w:pos="16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Trustee from time to time such compensation as shall be agreed in writing between the Company and the Trustee for all services rendered by it hereunder (which compensation shall not be limited by any provision of law in regard to the compensation of a trustee of an express trust);</w:t>
      </w:r>
    </w:p>
    <w:p>
      <w:pPr>
        <w:spacing w:after="0" w:line="67" w:lineRule="exact"/>
        <w:rPr>
          <w:rFonts w:ascii="Times New Roman" w:cs="Times New Roman" w:eastAsia="Times New Roman" w:hAnsi="Times New Roman"/>
          <w:sz w:val="18"/>
          <w:szCs w:val="18"/>
          <w:color w:val="auto"/>
        </w:rPr>
      </w:pPr>
    </w:p>
    <w:p>
      <w:pPr>
        <w:ind w:left="980" w:firstLine="408"/>
        <w:spacing w:after="0" w:line="261" w:lineRule="auto"/>
        <w:tabs>
          <w:tab w:leader="none" w:pos="16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gross negligence or willful misconduct; and</w:t>
      </w:r>
    </w:p>
    <w:p>
      <w:pPr>
        <w:spacing w:after="0" w:line="71" w:lineRule="exact"/>
        <w:rPr>
          <w:rFonts w:ascii="Times New Roman" w:cs="Times New Roman" w:eastAsia="Times New Roman" w:hAnsi="Times New Roman"/>
          <w:sz w:val="18"/>
          <w:szCs w:val="18"/>
          <w:color w:val="auto"/>
        </w:rPr>
      </w:pPr>
    </w:p>
    <w:p>
      <w:pPr>
        <w:ind w:left="980" w:right="60" w:firstLine="408"/>
        <w:spacing w:after="0" w:line="258" w:lineRule="auto"/>
        <w:tabs>
          <w:tab w:leader="none" w:pos="16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Trustee and any predecessor trustee and its and their officers, directors, employees, and agents for, and to hold it or them harmless against, any loss, liability or expense incurred without gross negligence or willful misconduct on its or their part, arising out of or in connection with the acceptance or administration of the trust or trusts hereunder, including the costs and expenses (including reasonable fees and expenses of counsel) of defending itself or themselves against any claim or liability in connection with the exercise or performance of any of its or their powers or duties hereunder.</w:t>
      </w:r>
    </w:p>
    <w:p>
      <w:pPr>
        <w:spacing w:after="0" w:line="183"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The obligations of the Company under this Section to compensate the Trustee, to pay or reimburse the Trustee for expenses, disbursements and advances and to indemnify and hold harmless the Trustee shall constitute additional indebtedness hereunder and shall survive the satisfaction and discharge of this Indenture, the resignation or removal of the Trustee and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70" w:right="439" w:bottom="1440" w:gutter="0" w:footer="0" w:header="0"/>
        </w:sectPr>
      </w:pPr>
    </w:p>
    <w:bookmarkStart w:id="94" w:name="page95"/>
    <w:bookmarkEnd w:id="94"/>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of this Indenture for any reason. As security for the performance of such obligations of the Company, the Trustee shall have a claim and lien prior to the Securities upon all property and funds held or collected by the Trustee as such, except funds held in trust for the payment of principal of (or premium, if any) or interest, if any, on particular Securities or any coupons.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When the Trustee incurs expenses or renders services in connection with an Event of Default specified in Section 501[____]), the expenses</w:t>
      </w:r>
    </w:p>
    <w:p>
      <w:pPr>
        <w:spacing w:after="0" w:line="27" w:lineRule="exact"/>
        <w:rPr>
          <w:sz w:val="20"/>
          <w:szCs w:val="20"/>
          <w:color w:val="auto"/>
        </w:rPr>
      </w:pPr>
    </w:p>
    <w:p>
      <w:pPr>
        <w:ind w:right="1080"/>
        <w:spacing w:after="0" w:line="260" w:lineRule="auto"/>
        <w:rPr>
          <w:sz w:val="20"/>
          <w:szCs w:val="20"/>
          <w:color w:val="auto"/>
        </w:rPr>
      </w:pPr>
      <w:r>
        <w:rPr>
          <w:rFonts w:ascii="Times New Roman" w:cs="Times New Roman" w:eastAsia="Times New Roman" w:hAnsi="Times New Roman"/>
          <w:sz w:val="18"/>
          <w:szCs w:val="18"/>
          <w:color w:val="auto"/>
        </w:rPr>
        <w:t>(including reasonable charges and expense of its counsel) of and the compensation for such services are intended to constitute expenses of administration under any applicable U.S. federal or state bankruptcy, insolvency or other similar law.</w:t>
      </w:r>
    </w:p>
    <w:p>
      <w:pPr>
        <w:spacing w:after="0" w:line="181"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The provisions of this Section shall survive the satisfaction and discharge of this Indenture, the termination of this Indenture for any reason and the earlier resignation or removal of the Trustee.</w:t>
      </w:r>
    </w:p>
    <w:p>
      <w:pPr>
        <w:spacing w:after="0" w:line="162"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Corporate Trustee Required; Eligibility; Conflicting Interests; Disqualification</w:t>
      </w:r>
      <w:r>
        <w:rPr>
          <w:rFonts w:ascii="Times New Roman" w:cs="Times New Roman" w:eastAsia="Times New Roman" w:hAnsi="Times New Roman"/>
          <w:sz w:val="18"/>
          <w:szCs w:val="18"/>
          <w:color w:val="auto"/>
        </w:rPr>
        <w:t>. There shall be at all times a Trustee hereunder which shall be eligible to act as Trustee under TIA Section 310(a)(1) and shall have a combined capital and surplus of at least $50,000,000. If such corporation publishes reports of condition at least annually, pursuant to law or to the requirements of U.S.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If the Trustee shall have or acquire any conflicting interest within the meaning of the Trust Indenture Act, it shall either eliminate such conflicting interest or resign to the extent, in the manner and with the effect, and subject to the conditions, provided in the Trust Indenture Act and this Indenture. For purposes of Section 310(b)(1) of the Trust Indenture Act and to the extent permitted thereby, the Trustee, in its capacity as trustee in respect of the Securities of any series, shall not be deemed to have a conflicting interest arising from its capacity as trustee in respect of the Securities of any other series. Nothing contained herein shall prevent the Trustee from filing the application provided for in the second to last sentence of Section 310(b) of the Trust Indenture Act.</w:t>
      </w:r>
    </w:p>
    <w:p>
      <w:pPr>
        <w:spacing w:after="0" w:line="190"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 No resignation or removal of the Trustee and no appointment of a successor Trustee pursuant to this Article shall become effective until the acceptance of appointment by the successor Trustee in accordance with the applicable requirements of Section 609 and any and all amounts then due and owing to the Trustee hereunder have been paid in full.</w:t>
      </w:r>
    </w:p>
    <w:p>
      <w:pPr>
        <w:spacing w:after="0" w:line="68" w:lineRule="exact"/>
        <w:rPr>
          <w:sz w:val="20"/>
          <w:szCs w:val="20"/>
          <w:color w:val="auto"/>
        </w:rPr>
      </w:pPr>
    </w:p>
    <w:p>
      <w:pPr>
        <w:ind w:left="440" w:firstLine="419"/>
        <w:spacing w:after="0" w:line="261" w:lineRule="auto"/>
        <w:tabs>
          <w:tab w:leader="none" w:pos="110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at any time with respect to the Securities of one or more series by giving written notice thereof to the Company. If the instrument of acceptance by a successor Trustee required by Section 609 shall not have been delivered to the Trustee within 30 days after the giving of such notice of resignation, the resigning Trustee may petition, at the expense of the Company, any court of competent jurisdiction for the appointment of a successor Trustee with respect to the Securities of such series.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70" w:right="439" w:bottom="1440" w:gutter="0" w:footer="0" w:header="0"/>
        </w:sectPr>
      </w:pPr>
    </w:p>
    <w:bookmarkStart w:id="95" w:name="page96"/>
    <w:bookmarkEnd w:id="95"/>
    <w:p>
      <w:pPr>
        <w:ind w:left="440" w:firstLine="419"/>
        <w:spacing w:after="0" w:line="258" w:lineRule="auto"/>
        <w:tabs>
          <w:tab w:leader="none" w:pos="11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may be removed at any time with respect to the Securities of any series by Act of the Holders of a majority in principal amount of the Outstanding Securities of such series, delivered to the Trustee and to the Company. If the instrument of acceptance by a successor Trustee required by Section 609 shall not have been delivered to the Trustee within 60 days after the giving of such notice of removal, the Trustee being removed may petition, at the expense of the Company, any court of competent jurisdiction for the appointment of a successor Trustee with respect to the Securities of such series.</w:t>
      </w:r>
    </w:p>
    <w:p>
      <w:pPr>
        <w:spacing w:after="0" w:line="7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w:t>
      </w:r>
    </w:p>
    <w:p>
      <w:pPr>
        <w:spacing w:after="0" w:line="117" w:lineRule="exact"/>
        <w:rPr>
          <w:rFonts w:ascii="Times New Roman" w:cs="Times New Roman" w:eastAsia="Times New Roman" w:hAnsi="Times New Roman"/>
          <w:sz w:val="18"/>
          <w:szCs w:val="18"/>
          <w:color w:val="auto"/>
        </w:rPr>
      </w:pPr>
    </w:p>
    <w:p>
      <w:pPr>
        <w:ind w:left="440" w:right="140" w:firstLine="948"/>
        <w:spacing w:after="0" w:line="282" w:lineRule="auto"/>
        <w:tabs>
          <w:tab w:leader="none" w:pos="164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TIA Section 310(b) after written request therefor by the Company or any Holder who has been a bona fide Holder of a Security for at least six months, or</w:t>
      </w:r>
    </w:p>
    <w:p>
      <w:pPr>
        <w:spacing w:after="0" w:line="53" w:lineRule="exact"/>
        <w:rPr>
          <w:rFonts w:ascii="Times New Roman" w:cs="Times New Roman" w:eastAsia="Times New Roman" w:hAnsi="Times New Roman"/>
          <w:sz w:val="18"/>
          <w:szCs w:val="18"/>
          <w:color w:val="auto"/>
        </w:rPr>
      </w:pPr>
    </w:p>
    <w:p>
      <w:pPr>
        <w:ind w:left="440" w:right="160" w:firstLine="948"/>
        <w:spacing w:after="0" w:line="282" w:lineRule="auto"/>
        <w:tabs>
          <w:tab w:leader="none" w:pos="164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under Section 607 and shall fail to resign after written request therefor by the Company or any Holder who has been a bona fide Holder of a Security for at least six months, or</w:t>
      </w:r>
    </w:p>
    <w:p>
      <w:pPr>
        <w:spacing w:after="0" w:line="53" w:lineRule="exact"/>
        <w:rPr>
          <w:rFonts w:ascii="Times New Roman" w:cs="Times New Roman" w:eastAsia="Times New Roman" w:hAnsi="Times New Roman"/>
          <w:sz w:val="18"/>
          <w:szCs w:val="18"/>
          <w:color w:val="auto"/>
        </w:rPr>
      </w:pPr>
    </w:p>
    <w:p>
      <w:pPr>
        <w:ind w:left="440" w:right="300" w:firstLine="948"/>
        <w:spacing w:after="0" w:line="266" w:lineRule="auto"/>
        <w:tabs>
          <w:tab w:leader="none" w:pos="164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then, in any such case, (i) the Company, by a Board Resolution, may remove the Trustee with respect to all Securities, or (ii) subject to TIA Section 315(e),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72" w:lineRule="exact"/>
        <w:rPr>
          <w:sz w:val="20"/>
          <w:szCs w:val="20"/>
          <w:color w:val="auto"/>
        </w:rPr>
      </w:pPr>
    </w:p>
    <w:p>
      <w:pPr>
        <w:ind w:left="440" w:right="20" w:firstLine="419"/>
        <w:spacing w:after="0" w:line="253" w:lineRule="auto"/>
        <w:tabs>
          <w:tab w:leader="none" w:pos="11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hereinafter provided,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40"/>
          </w:cols>
          <w:pgMar w:left="440" w:top="270" w:right="519" w:bottom="1440" w:gutter="0" w:footer="0" w:header="0"/>
        </w:sectPr>
      </w:pPr>
    </w:p>
    <w:bookmarkStart w:id="96" w:name="page97"/>
    <w:bookmarkEnd w:id="96"/>
    <w:p>
      <w:pPr>
        <w:jc w:val="both"/>
        <w:ind w:left="440" w:right="200" w:firstLine="419"/>
        <w:spacing w:after="0" w:line="261" w:lineRule="auto"/>
        <w:tabs>
          <w:tab w:leader="none" w:pos="11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give written notice of each resignation and each removal of the Trustee with respect to the Securities of any series and each appointment of a successor Trustee with respect to the Securities of any series to the Holders of Securities of such series in the manner provided for in Section 106. Each notice shall include the name of the successor Trustee with respect to the Securities of such series and the address of its Corporate Trust Office.</w:t>
      </w:r>
    </w:p>
    <w:p>
      <w:pPr>
        <w:spacing w:after="0" w:line="180"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 In case of the appointment hereunder of a successor Trustee with respect to all Securities, every such successor Trustee so appointed shall execute, acknowledge and deliver to the Company and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written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and lien provided for in Section 606.</w:t>
      </w:r>
    </w:p>
    <w:p>
      <w:pPr>
        <w:spacing w:after="0" w:line="81" w:lineRule="exact"/>
        <w:rPr>
          <w:sz w:val="20"/>
          <w:szCs w:val="20"/>
          <w:color w:val="auto"/>
        </w:rPr>
      </w:pPr>
    </w:p>
    <w:p>
      <w:pPr>
        <w:ind w:left="440" w:firstLine="419"/>
        <w:spacing w:after="0" w:line="252" w:lineRule="auto"/>
        <w:tabs>
          <w:tab w:leader="none" w:pos="110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97" w:name="page98"/>
    <w:bookmarkEnd w:id="97"/>
    <w:p>
      <w:pPr>
        <w:ind w:left="440"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the Securities of that or those series to which the appointment of such successor Trustee relates, subject nevertheless to its claim and lien provided for in Section 606. Whenever there is a successor Trustee with respect to one or more (but less than all) series of securities issued pursuant to this Indenture, the terms “Indenture” and “Securities” shall have the meanings specified in the provisos to the respective definitions of those terms in Section 101 which contemplate such situation.</w:t>
      </w:r>
    </w:p>
    <w:p>
      <w:pPr>
        <w:spacing w:after="0" w:line="72" w:lineRule="exact"/>
        <w:rPr>
          <w:sz w:val="20"/>
          <w:szCs w:val="20"/>
          <w:color w:val="auto"/>
        </w:rPr>
      </w:pPr>
    </w:p>
    <w:p>
      <w:pPr>
        <w:jc w:val="both"/>
        <w:ind w:left="440" w:right="140" w:firstLine="419"/>
        <w:spacing w:after="0" w:line="312" w:lineRule="auto"/>
        <w:tabs>
          <w:tab w:leader="none" w:pos="111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31" w:lineRule="exact"/>
        <w:rPr>
          <w:rFonts w:ascii="Times New Roman" w:cs="Times New Roman" w:eastAsia="Times New Roman" w:hAnsi="Times New Roman"/>
          <w:sz w:val="17"/>
          <w:szCs w:val="17"/>
          <w:color w:val="auto"/>
        </w:rPr>
      </w:pPr>
    </w:p>
    <w:p>
      <w:pPr>
        <w:ind w:left="440" w:right="300" w:firstLine="419"/>
        <w:spacing w:after="0" w:line="282" w:lineRule="auto"/>
        <w:tabs>
          <w:tab w:leader="none" w:pos="110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 The Trustee shall have no liability or responsibility for the action or inaction of any successor Trustee.</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Conversion, Consolidation or Succession to Business</w:t>
      </w:r>
      <w:r>
        <w:rPr>
          <w:rFonts w:ascii="Times New Roman" w:cs="Times New Roman" w:eastAsia="Times New Roman" w:hAnsi="Times New Roman"/>
          <w:sz w:val="18"/>
          <w:szCs w:val="18"/>
          <w:color w:val="auto"/>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of the Securities shall not have been authenticated by such predecessor Trustee, any successor Trustee may authenticate and deliver such Securities or coupons either in the name of any predecessor hereunder or in the name of the successor Trustee. In all such cases such certificates shall have the full force and effect which this Indenture provides for the certificate of authentication of the Trustee; provided, however,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90"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Appointment of Authenticating Agent</w:t>
      </w:r>
      <w:r>
        <w:rPr>
          <w:rFonts w:ascii="Times New Roman" w:cs="Times New Roman" w:eastAsia="Times New Roman" w:hAnsi="Times New Roman"/>
          <w:sz w:val="18"/>
          <w:szCs w:val="18"/>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and the Trustee shall give written notice of such appointment to all Holders of Securities of the series with respect to which such Authenticating Agent will serve, in the manner provided for in Section 106.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and a copy of such instrument shall be promptly furnished to the Company. Wherever reference is made in this Indenture to the authentication and delivery of Securities by the Trustee or the Trustee’s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60"/>
          </w:cols>
          <w:pgMar w:left="440" w:top="270" w:right="499" w:bottom="1440" w:gutter="0" w:footer="0" w:header="0"/>
        </w:sectPr>
      </w:pPr>
    </w:p>
    <w:bookmarkStart w:id="98" w:name="page99"/>
    <w:bookmarkEnd w:id="98"/>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U.S. federal or state authority.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Section, it shall resign immediately in the manner and with the effect specified in this Section.</w:t>
      </w:r>
    </w:p>
    <w:p>
      <w:pPr>
        <w:spacing w:after="0" w:line="188"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written notice of such appointment to all Holders of Securities of the series with respect to which such Authenticating Agent will serve, in the manner provided for in Section 106.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The Trustee shall have no liability or responsibility for the action or inaction of any Authenticating Agent (that is not the Trustee).</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agrees to pay to each Authenticating Agent from time to time reasonable compensation for its services under this Section.</w:t>
      </w:r>
    </w:p>
    <w:p>
      <w:pPr>
        <w:spacing w:after="0" w:line="225"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If an appointment with respect to one or more series is made pursuant to this Section, the Securities of such series may have endorsed thereon, in addition to the Trustee’s certificate of authentication, an alternate certificate of authentication in the following form: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Dated: ____________________</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99" w:name="page100"/>
    <w:bookmarkEnd w:id="99"/>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[Trustee],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Authenticating Agent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HOLDERS’ LISTS AND REPORTS BY TRUSTEE AND COMPANY</w:t>
      </w:r>
    </w:p>
    <w:p>
      <w:pPr>
        <w:spacing w:after="0" w:line="229"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Disclosure of Names and Addresses of Holders</w:t>
      </w:r>
      <w:r>
        <w:rPr>
          <w:rFonts w:ascii="Times New Roman" w:cs="Times New Roman" w:eastAsia="Times New Roman" w:hAnsi="Times New Roman"/>
          <w:sz w:val="18"/>
          <w:szCs w:val="18"/>
          <w:color w:val="auto"/>
        </w:rPr>
        <w:t>. Every Holder of Securities or coupons, by receiving and holding the same, agrees with the Company and the Trustee that neither of the Company, or the Trustee or any agent of either of them shall be held accountable by reason of the disclosure of any such information as to the names and addresses of the Holders in accordance with TIA Section 312, regardless of the source from which such information was derived, and that the Trustee shall not be held accountable by reason of mailing any material pursuant to a request made under TIA Section 312(b).</w:t>
      </w:r>
    </w:p>
    <w:p>
      <w:pPr>
        <w:spacing w:after="0" w:line="18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Reports by Trustee</w:t>
      </w:r>
      <w:r>
        <w:rPr>
          <w:rFonts w:ascii="Times New Roman" w:cs="Times New Roman" w:eastAsia="Times New Roman" w:hAnsi="Times New Roman"/>
          <w:sz w:val="18"/>
          <w:szCs w:val="18"/>
          <w:color w:val="auto"/>
        </w:rPr>
        <w:t>. Within 60 days after May 15 of each year commencing with the first May 15 after the first issuance of Securities pursuant to this Indenture, the Trustee shall transmit to the Holders of Securities, in the manner and to the extent provided in TIA</w:t>
      </w:r>
    </w:p>
    <w:p>
      <w:pPr>
        <w:spacing w:after="0" w:line="260" w:lineRule="auto"/>
        <w:rPr>
          <w:sz w:val="20"/>
          <w:szCs w:val="20"/>
          <w:color w:val="auto"/>
        </w:rPr>
      </w:pPr>
      <w:r>
        <w:rPr>
          <w:rFonts w:ascii="Times New Roman" w:cs="Times New Roman" w:eastAsia="Times New Roman" w:hAnsi="Times New Roman"/>
          <w:sz w:val="18"/>
          <w:szCs w:val="18"/>
          <w:color w:val="auto"/>
        </w:rPr>
        <w:t>Section 313(c), a brief report dated as of such May 15 if required by TIA Section 313(a). The Company will promptly notify the Trustee in writing when any series of Securities are listed on any stock exchange and of any delisting thereof.</w:t>
      </w:r>
    </w:p>
    <w:p>
      <w:pPr>
        <w:spacing w:after="0" w:line="181"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 copy of each such report shall, at the time of such transmission to Holders, be filed by the Trustee with each stock exchange if any, upon which the Securities are listed and with the Company.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Reports by Company</w:t>
      </w:r>
      <w:r>
        <w:rPr>
          <w:rFonts w:ascii="Times New Roman" w:cs="Times New Roman" w:eastAsia="Times New Roman" w:hAnsi="Times New Roman"/>
          <w:sz w:val="18"/>
          <w:szCs w:val="18"/>
          <w:color w:val="auto"/>
        </w:rPr>
        <w:t>. The Company shall:</w:t>
      </w:r>
    </w:p>
    <w:p>
      <w:pPr>
        <w:spacing w:after="0" w:line="117" w:lineRule="exact"/>
        <w:rPr>
          <w:sz w:val="20"/>
          <w:szCs w:val="20"/>
          <w:color w:val="auto"/>
        </w:rPr>
      </w:pPr>
    </w:p>
    <w:p>
      <w:pPr>
        <w:ind w:left="440" w:right="100" w:firstLine="419"/>
        <w:spacing w:after="0" w:line="254" w:lineRule="auto"/>
        <w:tabs>
          <w:tab w:leader="none" w:pos="111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available on EDGAR, file with the Trustee, within 15 days after the Company, as the case may be, has filed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 longer required to file information, documents or reports pursuant to either of such Sections, then it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70" w:right="479" w:bottom="1440" w:gutter="0" w:footer="0" w:header="0"/>
        </w:sectPr>
      </w:pPr>
    </w:p>
    <w:bookmarkStart w:id="100" w:name="page101"/>
    <w:bookmarkEnd w:id="100"/>
    <w:p>
      <w:pPr>
        <w:ind w:left="440" w:right="300" w:firstLine="419"/>
        <w:spacing w:after="0" w:line="266" w:lineRule="auto"/>
        <w:tabs>
          <w:tab w:leader="none" w:pos="11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to all Holders, in the manner and to the extent provided in TIA Section 313(c), within 30 days after the filing thereof with the Trustee, such summaries of any information, documents and reports required to be filed by the Company pursuant to paragraphs (1) and (2) of this Section as may be required by rules and regulations prescribed from time to time by the Commission.</w:t>
      </w:r>
    </w:p>
    <w:p>
      <w:pPr>
        <w:spacing w:after="0" w:line="17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Delivery of such reports, information and documents to the Trustee, which if pursuant to an EDGAR filing, the Trustee is not required to confirm, is for informational purposes only and the Trustee’s receipt of such shall not constitute constructive notice of the filing of such a report, its timeliness or any information contained therein or determinable from information contained therein, including compliance by the Company with any of its covenants hereunder (as to which the Trustee is entitled to conclusively rely exclusively on Officers’ Certificates).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CONSOLIDATION, MERGER, CONVEYANCE, TRANSFER OR LEASE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9"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Supplemental Indentures Without Consent of Holders</w:t>
      </w:r>
      <w:r>
        <w:rPr>
          <w:rFonts w:ascii="Times New Roman" w:cs="Times New Roman" w:eastAsia="Times New Roman" w:hAnsi="Times New Roman"/>
          <w:sz w:val="18"/>
          <w:szCs w:val="18"/>
          <w:color w:val="auto"/>
        </w:rPr>
        <w:t>. Without the consent of any Holders,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68" w:lineRule="exact"/>
        <w:rPr>
          <w:sz w:val="20"/>
          <w:szCs w:val="20"/>
          <w:color w:val="auto"/>
        </w:rPr>
      </w:pPr>
    </w:p>
    <w:p>
      <w:pPr>
        <w:ind w:left="440" w:right="160" w:firstLine="948"/>
        <w:spacing w:after="0" w:line="282" w:lineRule="auto"/>
        <w:tabs>
          <w:tab w:leader="none" w:pos="164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and the assumption by any such successor of the covenants of the Company contained herein and in the Securities and any related coupons in accordance with Article Eight; or</w:t>
      </w:r>
    </w:p>
    <w:p>
      <w:pPr>
        <w:spacing w:after="0" w:line="53" w:lineRule="exact"/>
        <w:rPr>
          <w:rFonts w:ascii="Times New Roman" w:cs="Times New Roman" w:eastAsia="Times New Roman" w:hAnsi="Times New Roman"/>
          <w:sz w:val="18"/>
          <w:szCs w:val="18"/>
          <w:color w:val="auto"/>
        </w:rPr>
      </w:pPr>
    </w:p>
    <w:p>
      <w:pPr>
        <w:ind w:left="440" w:right="220" w:firstLine="948"/>
        <w:spacing w:after="0" w:line="266" w:lineRule="auto"/>
        <w:tabs>
          <w:tab w:leader="none" w:pos="164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any related coupons (and if such covenants are to be for the benefit of less than all series of Securities, stating that such covenants are being included solely for the benefit of such series) or to surrender any right or power herein conferred upon the Company;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70" w:right="479" w:bottom="1440" w:gutter="0" w:footer="0" w:header="0"/>
        </w:sectPr>
      </w:pPr>
    </w:p>
    <w:bookmarkStart w:id="101" w:name="page102"/>
    <w:bookmarkEnd w:id="101"/>
    <w:p>
      <w:pPr>
        <w:jc w:val="both"/>
        <w:ind w:right="200" w:firstLine="948"/>
        <w:spacing w:after="0" w:line="266" w:lineRule="auto"/>
        <w:tabs>
          <w:tab w:leader="none" w:pos="120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add any additional Events of Default for the benefit of the Holders of all or any series of Securities and any related coupons (and if such Events of Default are to be for the benefit of less than all series of Securities, stating that such Events of Default are being included solely for the benefit of such series); or</w:t>
      </w:r>
    </w:p>
    <w:p>
      <w:pPr>
        <w:spacing w:after="0" w:line="67" w:lineRule="exact"/>
        <w:rPr>
          <w:rFonts w:ascii="Times New Roman" w:cs="Times New Roman" w:eastAsia="Times New Roman" w:hAnsi="Times New Roman"/>
          <w:sz w:val="18"/>
          <w:szCs w:val="18"/>
          <w:color w:val="auto"/>
        </w:rPr>
      </w:pPr>
    </w:p>
    <w:p>
      <w:pPr>
        <w:ind w:right="60" w:firstLine="948"/>
        <w:spacing w:after="0" w:line="258" w:lineRule="auto"/>
        <w:tabs>
          <w:tab w:leader="none" w:pos="120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this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provided that any such action shall not adversely affect the interests of the Holders of Securities of any series or any related coupons in any material respect; or</w:t>
      </w:r>
    </w:p>
    <w:p>
      <w:pPr>
        <w:spacing w:after="0" w:line="75" w:lineRule="exact"/>
        <w:rPr>
          <w:rFonts w:ascii="Times New Roman" w:cs="Times New Roman" w:eastAsia="Times New Roman" w:hAnsi="Times New Roman"/>
          <w:sz w:val="18"/>
          <w:szCs w:val="18"/>
          <w:color w:val="auto"/>
        </w:rPr>
      </w:pPr>
    </w:p>
    <w:p>
      <w:pPr>
        <w:ind w:right="100" w:firstLine="948"/>
        <w:spacing w:after="0" w:line="266" w:lineRule="auto"/>
        <w:tabs>
          <w:tab w:leader="none" w:pos="120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of the provisions of this Indenture; provided that any such change or elimination shall become effective only when there is no Security Outstanding of any series created prior to the execution of such supplemental indenture which is entitled to the benefit of any such provision; or</w:t>
      </w:r>
    </w:p>
    <w:p>
      <w:pPr>
        <w:spacing w:after="0" w:line="6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Securities pursuant to the requirements of [Article 10] or otherwise; or</w:t>
      </w:r>
    </w:p>
    <w:p>
      <w:pPr>
        <w:spacing w:after="0" w:line="117" w:lineRule="exact"/>
        <w:rPr>
          <w:rFonts w:ascii="Times New Roman" w:cs="Times New Roman" w:eastAsia="Times New Roman" w:hAnsi="Times New Roman"/>
          <w:sz w:val="18"/>
          <w:szCs w:val="18"/>
          <w:color w:val="auto"/>
        </w:rPr>
      </w:pPr>
    </w:p>
    <w:p>
      <w:pPr>
        <w:jc w:val="both"/>
        <w:ind w:firstLine="948"/>
        <w:spacing w:after="0" w:line="312" w:lineRule="auto"/>
        <w:tabs>
          <w:tab w:leader="none" w:pos="1207"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establish the form or terms of Securities of any series and any related coupons as permitted by Sections 201 and 301, including the provisions and procedures relating to Securities convertible into or exchangeable for any securities of any Person (including the Company); or</w:t>
      </w:r>
    </w:p>
    <w:p>
      <w:pPr>
        <w:spacing w:after="0" w:line="31" w:lineRule="exact"/>
        <w:rPr>
          <w:rFonts w:ascii="Times New Roman" w:cs="Times New Roman" w:eastAsia="Times New Roman" w:hAnsi="Times New Roman"/>
          <w:sz w:val="17"/>
          <w:szCs w:val="17"/>
          <w:color w:val="auto"/>
        </w:rPr>
      </w:pPr>
    </w:p>
    <w:p>
      <w:pPr>
        <w:ind w:right="140" w:firstLine="948"/>
        <w:spacing w:after="0" w:line="282" w:lineRule="auto"/>
        <w:tabs>
          <w:tab w:leader="none" w:pos="120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Securities and Exchange Commission in order to maintain the qualification of the indenture under the Trust Indenture Act; or</w:t>
      </w:r>
    </w:p>
    <w:p>
      <w:pPr>
        <w:spacing w:after="0" w:line="53" w:lineRule="exact"/>
        <w:rPr>
          <w:rFonts w:ascii="Times New Roman" w:cs="Times New Roman" w:eastAsia="Times New Roman" w:hAnsi="Times New Roman"/>
          <w:sz w:val="18"/>
          <w:szCs w:val="18"/>
          <w:color w:val="auto"/>
        </w:rPr>
      </w:pPr>
    </w:p>
    <w:p>
      <w:pPr>
        <w:jc w:val="both"/>
        <w:ind w:firstLine="948"/>
        <w:spacing w:after="0" w:line="266" w:lineRule="auto"/>
        <w:tabs>
          <w:tab w:leader="none" w:pos="120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609(b); or</w:t>
      </w:r>
    </w:p>
    <w:p>
      <w:pPr>
        <w:spacing w:after="0" w:line="67" w:lineRule="exact"/>
        <w:rPr>
          <w:rFonts w:ascii="Times New Roman" w:cs="Times New Roman" w:eastAsia="Times New Roman" w:hAnsi="Times New Roman"/>
          <w:sz w:val="18"/>
          <w:szCs w:val="18"/>
          <w:color w:val="auto"/>
        </w:rPr>
      </w:pPr>
    </w:p>
    <w:p>
      <w:pPr>
        <w:ind w:right="60" w:firstLine="948"/>
        <w:spacing w:after="0" w:line="266" w:lineRule="auto"/>
        <w:tabs>
          <w:tab w:leader="none" w:pos="129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provisions with respect to the optional conversion rights of holders, including providing for the conversion of Securities into any other security or securities of the Company, provided that such provisions are not adverse to the interests of the holders of any debt securities then outstanding; or</w:t>
      </w:r>
    </w:p>
    <w:p>
      <w:pPr>
        <w:spacing w:after="0" w:line="67" w:lineRule="exact"/>
        <w:rPr>
          <w:rFonts w:ascii="Times New Roman" w:cs="Times New Roman" w:eastAsia="Times New Roman" w:hAnsi="Times New Roman"/>
          <w:sz w:val="18"/>
          <w:szCs w:val="18"/>
          <w:color w:val="auto"/>
        </w:rPr>
      </w:pPr>
    </w:p>
    <w:p>
      <w:pPr>
        <w:ind w:firstLine="948"/>
        <w:spacing w:after="0" w:line="266" w:lineRule="auto"/>
        <w:tabs>
          <w:tab w:leader="none" w:pos="129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to correct or supplement any provision herein which may be inconsistent with any other provision herein, or to make any other provisions with respect to matters or questions arising under this Indenture, provided such action shall not adversely affect the interests of the Holders of Securities of any series and any related coupons in any material respect; or</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520"/>
          </w:cols>
          <w:pgMar w:left="880" w:top="270" w:right="499" w:bottom="1440" w:gutter="0" w:footer="0" w:header="0"/>
        </w:sectPr>
      </w:pPr>
    </w:p>
    <w:bookmarkStart w:id="102" w:name="page103"/>
    <w:bookmarkEnd w:id="102"/>
    <w:p>
      <w:pPr>
        <w:ind w:left="1740" w:hanging="352"/>
        <w:spacing w:after="0"/>
        <w:tabs>
          <w:tab w:leader="none" w:pos="17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add any guarantee of one or more series of the Securities; or</w:t>
      </w:r>
    </w:p>
    <w:p>
      <w:pPr>
        <w:spacing w:after="0" w:line="117" w:lineRule="exact"/>
        <w:rPr>
          <w:rFonts w:ascii="Times New Roman" w:cs="Times New Roman" w:eastAsia="Times New Roman" w:hAnsi="Times New Roman"/>
          <w:sz w:val="18"/>
          <w:szCs w:val="18"/>
          <w:color w:val="auto"/>
        </w:rPr>
      </w:pPr>
    </w:p>
    <w:p>
      <w:pPr>
        <w:ind w:left="440" w:right="200" w:firstLine="948"/>
        <w:spacing w:after="0" w:line="266" w:lineRule="auto"/>
        <w:tabs>
          <w:tab w:leader="none" w:pos="173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this Indenture to such extent as shall be necessary to permit or facilitate the defeasance and discharge of any series of Securities pursuant to Sections 401, 1402 and 1403; provided that any such action shall not adversely affect the interests of the Holders of Securities of such series and any related coupons or any other series of Securities in any material respect.</w:t>
      </w:r>
    </w:p>
    <w:p>
      <w:pPr>
        <w:spacing w:after="0" w:line="176"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Supplemental Indentures with Consent of Holders</w:t>
      </w:r>
      <w:r>
        <w:rPr>
          <w:rFonts w:ascii="Times New Roman" w:cs="Times New Roman" w:eastAsia="Times New Roman" w:hAnsi="Times New Roman"/>
          <w:sz w:val="18"/>
          <w:szCs w:val="18"/>
          <w:color w:val="auto"/>
        </w:rPr>
        <w:t>. With the consent of the Holders of a majority in principal amount of all Outstanding Securities affected by such supplemental indenture, by Act of said Holders delivered to the Company and the Trustee and the Company when authorized by or pursuant to a Board Resolution, and the Trustee may enter into an indenture or indentures supplemental hereto for the purpose of adding any provisions to or changing in any manner or eliminating any of the provisions of this Indenture which affect such Securities or of modifying in any manner the rights of the Holders of such Securities under this Indenture; provided, however, that no such supplemental indenture shall, without the consent of the Holder of each Outstanding Security affected thereby,</w:t>
      </w:r>
    </w:p>
    <w:p>
      <w:pPr>
        <w:spacing w:after="0" w:line="79" w:lineRule="exact"/>
        <w:rPr>
          <w:sz w:val="20"/>
          <w:szCs w:val="20"/>
          <w:color w:val="auto"/>
        </w:rPr>
      </w:pPr>
    </w:p>
    <w:p>
      <w:pPr>
        <w:ind w:left="440" w:firstLine="948"/>
        <w:spacing w:after="0" w:line="252" w:lineRule="auto"/>
        <w:tabs>
          <w:tab w:leader="none" w:pos="164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premium, if any) or any installment of principal of or interest on any Security of such series; or the terms of any sinking fund with respect to any Security; or reduce the principal amount thereof (or premium, if any) or the rate of interest (or manner of calculating the rate of interest), if any, thereon, or any premium payable upon the redemption thereof, or repayment thereof at the option of the Holder, or the date(s) or period(s) for any redemption or repayment thereof, or change any obligation of the Company to pay Additional Amounts contemplated by [Article 10] (except as contemplated by [Article 8] and permitted by Section 901(1)), or reduce the amount of the principal of an Original Issue Discount Security of such series that would be due and payable upon an acceleration of the Maturity thereof pursuant to Section 502, or upon the redemption thereof, or the amount thereof provable in bankruptcy pursuant to Section 502, or adversely affect any right of repayment at the option of any Holder of any Security of such series, or change any Place of Payment where, or the Currency in which, any Security of such series or any premium or interest thereon is payable; or impair the right to institute suit for the enforcement of any such payment on or after the Stated Maturity thereof (or, in the case of redemption or repayment at the option of the Holder, on or after the Redemption Date or Repayment Date, as the case may be), or modify the provisions of this Indenture with respect to the mandatory redemption of Securities or repayment of the Securities at the option of the Holder in a manner adverse to any Holder of any Securities or any coupons appertaining thereto, adversely affect any right to convert or exchange any Security as may be provided pursuant to Section 301 herein, or</w:t>
      </w:r>
    </w:p>
    <w:p>
      <w:pPr>
        <w:spacing w:after="0" w:line="89" w:lineRule="exact"/>
        <w:rPr>
          <w:rFonts w:ascii="Times New Roman" w:cs="Times New Roman" w:eastAsia="Times New Roman" w:hAnsi="Times New Roman"/>
          <w:sz w:val="18"/>
          <w:szCs w:val="18"/>
          <w:color w:val="auto"/>
        </w:rPr>
      </w:pPr>
    </w:p>
    <w:p>
      <w:pPr>
        <w:ind w:left="440" w:firstLine="948"/>
        <w:spacing w:after="0" w:line="261" w:lineRule="auto"/>
        <w:tabs>
          <w:tab w:leader="none" w:pos="164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Securities of any series the consent of whose Holders is required for any such supplemental indenture or for any waiver of compliance with certain provisions of this Indenture which affect such series or certain defaults applicable to such series hereunder and their consequences provided for in this Indenture, or reduce the requirements of Section 1504 for quorum or voting with respect to Securities of such series,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103" w:name="page104"/>
    <w:bookmarkEnd w:id="103"/>
    <w:p>
      <w:pPr>
        <w:ind w:left="440" w:right="260" w:firstLine="948"/>
        <w:spacing w:after="0" w:line="266" w:lineRule="auto"/>
        <w:tabs>
          <w:tab w:leader="none" w:pos="164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modify any of the provisions of this Section or Section 513, except to increase any such percentage or to provide that certain other provisions of this Indenture which affect such series cannot be modified or waived without the consent of the Holder of each Outstanding Security affected thereby.</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62"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 In executing, or accepting the additional trusts created by, any supplemental indenture permitted by this Article or the modifications thereby of the trusts created by this Indenture, the Trustee shall receive, and shall be fully protected in conclusively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3"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Conformity with Trust Indenture Act</w:t>
      </w:r>
      <w:r>
        <w:rPr>
          <w:rFonts w:ascii="Times New Roman" w:cs="Times New Roman" w:eastAsia="Times New Roman" w:hAnsi="Times New Roman"/>
          <w:sz w:val="18"/>
          <w:szCs w:val="18"/>
          <w:color w:val="auto"/>
        </w:rPr>
        <w:t>. Every supplemental indenture executed pursuant to this Article shall conform to the requirements of the Trust Indenture Act as then in effect.</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Reference in Securities to Supplemental Indentures</w:t>
      </w:r>
      <w:r>
        <w:rPr>
          <w:rFonts w:ascii="Times New Roman" w:cs="Times New Roman" w:eastAsia="Times New Roman" w:hAnsi="Times New Roman"/>
          <w:sz w:val="18"/>
          <w:szCs w:val="18"/>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the Company to any such supplemental indenture may be prepared and executed by the Company, and authenticated and delivered (which delivery, in the case of Bearer Securities, shall occur only outside the United States) by the Trustee in exchange for Outstanding Securities of such series.</w:t>
      </w:r>
    </w:p>
    <w:p>
      <w:pPr>
        <w:spacing w:after="0" w:line="18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Notice of Supplemental Indentures</w:t>
      </w:r>
      <w:r>
        <w:rPr>
          <w:rFonts w:ascii="Times New Roman" w:cs="Times New Roman" w:eastAsia="Times New Roman" w:hAnsi="Times New Roman"/>
          <w:sz w:val="18"/>
          <w:szCs w:val="18"/>
          <w:color w:val="auto"/>
        </w:rPr>
        <w:t>. Promptly after the execution by the Company and the Trustee of any supplemental indenture pursuant to the provisions of Section 902, the Company shall give written notice thereof to the Holders of each Outstanding Security affected, in the manner provided for in Section 106, setting forth in general terms the substance of such supplemental indenture.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SECURITIES</w:t>
      </w:r>
    </w:p>
    <w:p>
      <w:pPr>
        <w:spacing w:after="0" w:line="229"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Securities of any series which are redeemable before their Stated Maturity shall be redeemable in accordance with the terms of such Securities and (except as otherwise specified as contemplated by Section 301 for Securities of any series) in accordance with this Article.</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Election to Redeem; Notice to Trustee</w:t>
      </w:r>
      <w:r>
        <w:rPr>
          <w:rFonts w:ascii="Times New Roman" w:cs="Times New Roman" w:eastAsia="Times New Roman" w:hAnsi="Times New Roman"/>
          <w:sz w:val="18"/>
          <w:szCs w:val="18"/>
          <w:color w:val="auto"/>
        </w:rPr>
        <w:t>. The election of the Company to redeem any Securities shall be evidenced by or pursuant to a Board Resolution. In case of any redemption at the election of the Company, the Company shall, at least 60 days prior to the Redemption Date fixed by the Company (unless a shorter notice shall be satisfactory to the Trustee), notify the Trustee in writing of such Redemption Date and of the principal amount of Securities of such series to be redeemed and, in the case of a partial redemption, shall deliver to the Trustee such documentation and records as shall enable the Trustee to select the Securities to be redeemed pursuant to Section 1103.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89"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Selection by Trustee of Securities to Be Redeemed</w:t>
      </w:r>
      <w:r>
        <w:rPr>
          <w:rFonts w:ascii="Times New Roman" w:cs="Times New Roman" w:eastAsia="Times New Roman" w:hAnsi="Times New Roman"/>
          <w:sz w:val="18"/>
          <w:szCs w:val="18"/>
          <w:color w:val="auto"/>
        </w:rPr>
        <w:t>. If less than all the Securities of any series with the same terms are to be redeemed, the particular Securities to be redeemed shall be selected not more than 45 days prior to the Redemption Date by the Trustee, from the Outstanding Securities of such series with the same terms not previously called for redemption, by such method as the Trustee shall deem fair and appropriate, subject to applicable law, and which may provide for the selection for redemption of portions of the principal of Securities of such series; provided, however, that no such partial redemption shall reduce the portion of the principal amount of a Security not redeemed to less than the minimum authorized denomination for Securities of such series established pursuant to Section 301.</w:t>
      </w:r>
    </w:p>
    <w:p>
      <w:pPr>
        <w:spacing w:after="0" w:line="187"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The Trustee shall promptly notify the Company in writing of the Securities selected for redemption and, in the case of any Securities selected for partial redemption, the principal amount thereof to be redeemed.</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66" w:right="439" w:bottom="1440" w:gutter="0" w:footer="0" w:header="0"/>
        </w:sectPr>
      </w:pPr>
    </w:p>
    <w:bookmarkStart w:id="105" w:name="page106"/>
    <w:bookmarkEnd w:id="105"/>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1104.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Except as otherwise specified as contemplated by Section 301 for Securities of any series, notice of redemption shall be given in the manner provided for in Section 106 not less than 30 nor more than 60 days prior to the Redemption Date, to each Holder of Securities to be redeemed.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Except as otherwise specified as contemplated by Section 301 for Securities of any series, all notices of redemption shall state:</w:t>
      </w:r>
    </w:p>
    <w:p>
      <w:pPr>
        <w:spacing w:after="0" w:line="117" w:lineRule="exact"/>
        <w:rPr>
          <w:sz w:val="20"/>
          <w:szCs w:val="20"/>
          <w:color w:val="auto"/>
        </w:rPr>
      </w:pPr>
    </w:p>
    <w:p>
      <w:pPr>
        <w:ind w:left="1640" w:hanging="252"/>
        <w:spacing w:after="0"/>
        <w:tabs>
          <w:tab w:leader="none" w:pos="1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440" w:right="200" w:firstLine="948"/>
        <w:spacing w:after="0" w:line="312" w:lineRule="auto"/>
        <w:tabs>
          <w:tab w:leader="none" w:pos="1647"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Price (if known) or the formula pursuant to which the Redemption Price is to be determined if the Redemption Price cannot be determined at the time the notice is given, together with the amount of accrued interest, if any, to the Redemption Date,</w:t>
      </w:r>
    </w:p>
    <w:p>
      <w:pPr>
        <w:spacing w:after="0" w:line="31" w:lineRule="exact"/>
        <w:rPr>
          <w:rFonts w:ascii="Times New Roman" w:cs="Times New Roman" w:eastAsia="Times New Roman" w:hAnsi="Times New Roman"/>
          <w:sz w:val="17"/>
          <w:szCs w:val="17"/>
          <w:color w:val="auto"/>
        </w:rPr>
      </w:pPr>
    </w:p>
    <w:p>
      <w:pPr>
        <w:ind w:left="440" w:right="800" w:firstLine="948"/>
        <w:spacing w:after="0" w:line="282" w:lineRule="auto"/>
        <w:tabs>
          <w:tab w:leader="none" w:pos="164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Outstanding Securities of any series are to be redeemed, the identification (and, in the case of partial redemption, the principal amounts) of the particular Securities to be redeemed,</w:t>
      </w:r>
    </w:p>
    <w:p>
      <w:pPr>
        <w:spacing w:after="0" w:line="53" w:lineRule="exact"/>
        <w:rPr>
          <w:rFonts w:ascii="Times New Roman" w:cs="Times New Roman" w:eastAsia="Times New Roman" w:hAnsi="Times New Roman"/>
          <w:sz w:val="18"/>
          <w:szCs w:val="18"/>
          <w:color w:val="auto"/>
        </w:rPr>
      </w:pPr>
    </w:p>
    <w:p>
      <w:pPr>
        <w:ind w:left="440" w:right="60" w:firstLine="948"/>
        <w:spacing w:after="0" w:line="266" w:lineRule="auto"/>
        <w:tabs>
          <w:tab w:leader="none" w:pos="164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Security is to be redeemed in part only, the notice which relates to such Security shall state that on and after the Redemption Date, upon surrender of such Security, the Holder will receive, without charge, a new Security or Securities of the same series of like tenor of authorized denominations for the principal amount thereof remaining unredeemed,</w:t>
      </w:r>
    </w:p>
    <w:p>
      <w:pPr>
        <w:spacing w:after="0" w:line="67" w:lineRule="exact"/>
        <w:rPr>
          <w:rFonts w:ascii="Times New Roman" w:cs="Times New Roman" w:eastAsia="Times New Roman" w:hAnsi="Times New Roman"/>
          <w:sz w:val="18"/>
          <w:szCs w:val="18"/>
          <w:color w:val="auto"/>
        </w:rPr>
      </w:pPr>
    </w:p>
    <w:p>
      <w:pPr>
        <w:ind w:left="440" w:right="60" w:firstLine="948"/>
        <w:spacing w:after="0" w:line="266" w:lineRule="auto"/>
        <w:tabs>
          <w:tab w:leader="none" w:pos="164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and accrued interest, if any, to the Redemption Date payable as provided in Section 1106 will become due and payable upon each such Security, or the portion thereof, to be redeemed and, if applicable, that interest thereon will cease to accrue on and after said date,</w:t>
      </w:r>
    </w:p>
    <w:p>
      <w:pPr>
        <w:spacing w:after="0" w:line="67" w:lineRule="exact"/>
        <w:rPr>
          <w:rFonts w:ascii="Times New Roman" w:cs="Times New Roman" w:eastAsia="Times New Roman" w:hAnsi="Times New Roman"/>
          <w:sz w:val="18"/>
          <w:szCs w:val="18"/>
          <w:color w:val="auto"/>
        </w:rPr>
      </w:pPr>
    </w:p>
    <w:p>
      <w:pPr>
        <w:ind w:left="440" w:right="140" w:firstLine="948"/>
        <w:spacing w:after="0" w:line="266" w:lineRule="auto"/>
        <w:tabs>
          <w:tab w:leader="none" w:pos="164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of Payment (which in the case of Bearer Securities shall be outside the United States) where such Securities, together in the case of Bearer Securities with all coupons appertaining thereto, if any, maturing on or after the Redemption Date, are to be surrendered for payment of the Redemption Price and accrued interest, if any,</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64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otherwise specified in such notice, Bearer Securities of any series, if any, surrendered for redemption must be accompanied by all coupons maturing subsequent to the Redemption Date or the amount of any such missing coupon or coupons will be deducted from the Redemption Price unless security or indemnity satisfactory to the Company, the Trustee and any Paying Agent is furnished,</w:t>
      </w:r>
    </w:p>
    <w:p>
      <w:pPr>
        <w:spacing w:after="0" w:line="67" w:lineRule="exact"/>
        <w:rPr>
          <w:rFonts w:ascii="Times New Roman" w:cs="Times New Roman" w:eastAsia="Times New Roman" w:hAnsi="Times New Roman"/>
          <w:sz w:val="18"/>
          <w:szCs w:val="18"/>
          <w:color w:val="auto"/>
        </w:rPr>
      </w:pPr>
    </w:p>
    <w:p>
      <w:pPr>
        <w:ind w:left="440" w:firstLine="948"/>
        <w:spacing w:after="0" w:line="266" w:lineRule="auto"/>
        <w:tabs>
          <w:tab w:leader="none" w:pos="164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Bearer Securities of any series are to be redeemed and any Registered Securities of such series are not to be redeemed, and if such Bearer Securities may be exchanged for Registered Securities not subject to redemption on such Redemption Date pursuant to Section 305 or otherwise, the last date, as determined by the Company, on which such exchanges may be made,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70" w:right="479" w:bottom="1440" w:gutter="0" w:footer="0" w:header="0"/>
        </w:sectPr>
      </w:pPr>
    </w:p>
    <w:bookmarkStart w:id="106" w:name="page107"/>
    <w:bookmarkEnd w:id="106"/>
    <w:p>
      <w:pPr>
        <w:ind w:left="440" w:right="40" w:firstLine="948"/>
        <w:spacing w:after="0" w:line="261" w:lineRule="auto"/>
        <w:tabs>
          <w:tab w:leader="none" w:pos="173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CUSIP, ISIN or other similar numbers, if any, assigned to such Securities; provided, however, that such notice may state that no representation is made as to the correctness of CUSIP, ISIN or other similar numbers, in which case none of the Company, the Trustee or any agent of the Company or the Trustee shall have any liability in respect of the use of any CUSIP, ISIN or other similar number or numbers on such notices, and the redemption of such Securities shall not be affected by any defect in or omission of such numbers,</w:t>
      </w:r>
    </w:p>
    <w:p>
      <w:pPr>
        <w:spacing w:after="0" w:line="71" w:lineRule="exact"/>
        <w:rPr>
          <w:rFonts w:ascii="Times New Roman" w:cs="Times New Roman" w:eastAsia="Times New Roman" w:hAnsi="Times New Roman"/>
          <w:sz w:val="18"/>
          <w:szCs w:val="18"/>
          <w:color w:val="auto"/>
        </w:rPr>
      </w:pPr>
    </w:p>
    <w:p>
      <w:pPr>
        <w:ind w:left="1720" w:hanging="332"/>
        <w:spacing w:after="0"/>
        <w:tabs>
          <w:tab w:leader="none" w:pos="1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Euroclear or the Clearstream reference numbers of such Security, if any, and</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as the Company shall deem desirable or appropriate.</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Notice of redemption of Securities to be redeemed at the election of the Company shall be given by the Company or, at the Company’s written request, by the Trustee in the name and at the expense of the Company.</w:t>
      </w:r>
    </w:p>
    <w:p>
      <w:pPr>
        <w:spacing w:after="0" w:line="16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 On or prior to 11:00 a.m. (New York City time) on any Redemption Date, the Company shall deposit with the Trustee or with a Paying Agent (or, if the Company is acting as its own Paying Agent, which it may not do in the case of a sinking fund payment under Article Twelve, segregate and hold in trust as provided in [Article 10]) an amount of money in the Currency in which the Securities of such series are payable (except as otherwise specified pursuant to Section 301 for the Securities of such series and except, if applicable, as provided in Sections 312(b), 312(d) and 312(e)) sufficient to pay on the Redemption Date the Redemption Price of, and (except if the Redemption Date shall be an Interest Payment Date) accrued interest, if any, on, all the Securities or portions thereof which are to be redeemed on that date.</w:t>
      </w:r>
    </w:p>
    <w:p>
      <w:pPr>
        <w:spacing w:after="0" w:line="18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Securities Payable on Redemption Date</w:t>
      </w:r>
      <w:r>
        <w:rPr>
          <w:rFonts w:ascii="Times New Roman" w:cs="Times New Roman" w:eastAsia="Times New Roman" w:hAnsi="Times New Roman"/>
          <w:sz w:val="18"/>
          <w:szCs w:val="18"/>
          <w:color w:val="auto"/>
        </w:rPr>
        <w:t>. 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provided, however, that installments of interest on Bearer Securities whose Stated Maturity is on or prior to the Redemption Date shall be payable only at an office or agency located outside the United States (except as otherwise provided in [Article 10]) and, unless otherwise specified as contemplated by Section 301, only upon presentation and surrender of coupons for such interest; and provided further that installments of interest on Registered Securities whose Stated Maturity is on or prior to the Redemption Date shall be payable to the Holders of such Securities, or one or more Predecessor Securities, registered as such at the close of business on the relevant Regular Record Dates according to their terms and the provisions of Section 307.</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107" w:name="page108"/>
    <w:bookmarkEnd w:id="107"/>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provided, however, that interest represented by coupons shall be payable only at an office or agency located outside the United States (except as otherwise provided in [Article 10]) and, unless otherwise specified as contemplated by Section 301, only upon presentation and surrender of those coupons.</w:t>
      </w:r>
    </w:p>
    <w:p>
      <w:pPr>
        <w:spacing w:after="0" w:line="192"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(and premium, if any) shall, until paid, bear interest from the Redemption Date at the rate of interest or Yield to Maturity (in the case of Original Issue Discount Securities) set forth in or contemplated by such Security.</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 Any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u w:val="single" w:color="auto"/>
          <w:color w:val="auto"/>
        </w:rPr>
        <w:t>Optional Redemption Due to Changes in Tax Treatment</w:t>
      </w:r>
      <w:r>
        <w:rPr>
          <w:rFonts w:ascii="Times New Roman" w:cs="Times New Roman" w:eastAsia="Times New Roman" w:hAnsi="Times New Roman"/>
          <w:sz w:val="18"/>
          <w:szCs w:val="18"/>
          <w:color w:val="auto"/>
        </w:rPr>
        <w:t>. Each series of Securities may be redeemed at the option of the Company (or their successors) in whole but not in part at any time (except in the case of Securities that have a variable rate of interest, which may be redeemed on any Interest Payment Date) at a Redemption Price equal to the principal amount thereof plus accrued interest to the date fixed for redemption (except in the case of Outstanding Original Issue Discount Securities which may be redeemed at the Redemption Price specified by the terms of such series of Securities) if (i) the Company is or would be required to pay Additional Amounts as a result of any change in or amendment to the laws or any regulations or rulings promulgated thereunder of the United States (or in the case of a successor Person to the Company, of the jurisdiction in which such successor Person is organized or any political subdivision or taxing authority thereof or therein) or (ii) any change in the official application or interpretation of such laws, regulations or rulings, or any change in the official application or interpretation of, or any execution of or amendment to, any treaty or treaties affecting taxation to which the United States (or such other jurisdiction or political subdivision or taxing authority) is a party, which change, execution or amendment becomes effective on or after the date of issuance of such series pursuant to Section 301(23) (or in the case of a successor Person to the Company,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70" w:right="479" w:bottom="1440" w:gutter="0" w:footer="0" w:header="0"/>
        </w:sectPr>
      </w:pPr>
    </w:p>
    <w:bookmarkStart w:id="108" w:name="page109"/>
    <w:bookmarkEnd w:id="108"/>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 on which such successor Person became such). Prior to the giving of notice of redemption of such Securities pursuant to this Indenture, the Company will deliver to the Trustee an Officers’ Certificate, stating that the Company is entitled to effect such redemption and setting forth in reasonable detail a statement of circumstances showing that the conditions precedent to the right of the Company to redeem such Securities pursuant to this Section have been satisfied.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SINKING FUNDS</w:t>
      </w:r>
    </w:p>
    <w:p>
      <w:pPr>
        <w:spacing w:after="0" w:line="229"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Retirements of Securities of any series pursuant to any sinking fund shall be made in accordance with the terms of such Securities and (except as otherwise specified as contemplated by Section 301 for Securities of any series) in accordance with this Article.</w:t>
      </w:r>
    </w:p>
    <w:p>
      <w:pPr>
        <w:spacing w:after="0" w:line="176"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 Subject to Section 1203, in lieu of making all or any part of any mandatory sinking fund payment with respect to any Securities of a series in cash, the Company may at its option (1) deliver to the Trustee Outstanding Securities of a series (other than any previously called for redemption) theretofore purchased or otherwise acquired by the Company, together, in the case of any Bearer Securities of such series, with all unmatured coupons appertaining thereto, and/or (2) receive credit for the principal amount of Securities of such series which have been previously delivered to the Trustee by the Company or for Securities of such series which have been redeemed either at the election of the Company pursuant to the terms of such Securities or through the application of permitted optional sinking fund payments pursuant to the terms of such Securities, in each case in satisfaction of all or any part of any mandatory sinking fund payment with respect to the Securities of the same series required to be made pursuant to the terms of such Securities as provided for by the terms of such series; provided, however, that such Securities have not been previously so credited. Such Securities shall be received and credited for such purpose by the Trustee at the Redemption Price specified in such Securities for redemption through operation of the sinking fund and the amount of such mandatory sinking fund payment shall be reduced accordingly.</w:t>
      </w:r>
    </w:p>
    <w:p>
      <w:pPr>
        <w:spacing w:after="0" w:line="192" w:lineRule="exact"/>
        <w:rPr>
          <w:sz w:val="20"/>
          <w:szCs w:val="20"/>
          <w:color w:val="auto"/>
        </w:rPr>
      </w:pPr>
    </w:p>
    <w:p>
      <w:pPr>
        <w:jc w:val="both"/>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 Not less than 60 days prior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109" w:name="page110"/>
    <w:bookmarkEnd w:id="109"/>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which is to be satisfied by delivering or crediting Securities of that series pursuant to Section 1202 (which Securities will, if not previously delivered, accompany such certificate) and whether the Company intends to exercise its right to make a permitted optional sinking fund payment with respect to such series. Such certificate shall be irrevocable and upon its delivery the Company shall be obligated to make the cash payment or payments therein referred to, if any, on or before the next succeeding sinking fund payment date. In the case of the failure of the Company to deliver such certificate, the sinking fund payment due on the next succeeding sinking fund payment date for that series shall be paid entirely in cash and shall be sufficient to redeem the principal amount of such Securities subject to a mandatory sinking fund payment without the option to deliver or credit Securities as provided in Section 1202 and without the right to make any optional sinking fund payment, if any, with respect to such series.</w:t>
      </w:r>
    </w:p>
    <w:p>
      <w:pPr>
        <w:spacing w:after="0" w:line="189"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Not more than 60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Prior to any sinking fund payment date, the Company shall pay to the Trustee or a Paying Agent (or, if the Company is acting as its own Paying Agent, segregate and hold in trust as provided in [Article 10]) in cash a sum equal to the principal (and premium, if any) and any interest that will accrue to the date fixed for redemption of Securities or portions thereof to be redeemed on such sinking fund payment date pursuant to this Section 1203.</w:t>
      </w:r>
    </w:p>
    <w:p>
      <w:pPr>
        <w:spacing w:after="0" w:line="180"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Notwithstanding the foregoing, with respect to a sinking fund for any series of Securities, if at any time the amount of cash to be paid into such sinking fund on the next succeeding sinking fund payment date, together with any unused balance of any preceding sinking fund payment or payments for such series, does not exceed in the aggregate $100,000, the Trustee, unless requested by the Company, shall not give the next succeeding notice of the redemption of Securities of such series through the operation of the sinking fund. Any such unused balance of moneys deposited in such sinking fund shall be added to the sinking fund payment for such series to be made in cash on the next succeeding sinking fund payment date or, at the request of the Company, shall be applied at any time or from time to time to the purchase of Securities of such series, by public or private purchase, in the open market or otherwise, at a purchase price for such Securities (excluding accrued interest and brokerage commissions, for which the Trustee or any Paying Agent will be reimbursed by the Company) not in excess of the principal amount thereof.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REPAYMENT AT OPTION OF HOLDERS</w:t>
      </w:r>
    </w:p>
    <w:p>
      <w:pPr>
        <w:spacing w:after="0" w:line="229"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Repayment of Securities of any series before their Stated Maturity at the option of Holders thereof shall be made in accordance with the terms of such Securities and (except as otherwise specified as contemplated by Section 301 for Securities of any series) in accordance with this Article.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110" w:name="page111"/>
    <w:bookmarkEnd w:id="110"/>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1302. </w:t>
      </w:r>
      <w:r>
        <w:rPr>
          <w:rFonts w:ascii="Times New Roman" w:cs="Times New Roman" w:eastAsia="Times New Roman" w:hAnsi="Times New Roman"/>
          <w:sz w:val="18"/>
          <w:szCs w:val="18"/>
          <w:u w:val="single" w:color="auto"/>
          <w:color w:val="auto"/>
        </w:rPr>
        <w:t>Repayment of Securities</w:t>
      </w:r>
      <w:r>
        <w:rPr>
          <w:rFonts w:ascii="Times New Roman" w:cs="Times New Roman" w:eastAsia="Times New Roman" w:hAnsi="Times New Roman"/>
          <w:sz w:val="18"/>
          <w:szCs w:val="18"/>
          <w:color w:val="auto"/>
        </w:rPr>
        <w:t>. Securities of any series subject to repayment in whole or in part at the option of the Holders thereof will, unless otherwise provided in the terms of such Securities, be repaid at the Repayment Price thereof, together with interest, if any, thereon accrued to the Repayment Date specified in or pursuant to the terms of such Securities. The Company covenants that on or before the Repayment Date it will deposit with the Trustee or with a Paying Agent (or, if the Company is acting as its own Paying Agent, segregate and hold in trust as provided in [Article 10]) an amount of money in the Currency in which the Securities of such series are payable (except as otherwise specified pursuant to Section 301 for the Securities of such series and except, if applicable, as provided in Sections 312(b), 312(d) and 312(e)) sufficient to pay the Repayment Price of, and (except if the Repayment Date shall be an Interest Payment Date) accrued interest, if any, on, all the Securities or portions thereof, as the case may be, to be repaid on such date.</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Securities of any series subject to repayment at the option of the Holders thereof will contain an “Option to Elect Repayment” form on the reverse of such Securities. To be repaid at the option of the Holder, except as otherwise specified as contemplated by Section 301 for Securities of such series,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Repayment Price of such Security is to be repaid in accordance with the terms of such Security, the portion of the Repayment Price of such Security to be repaid, in increments of the minimum denomination for Securities of such series, and the denomination or denominations of the Security or Securities to be issued to the Holder for the portion of such Security surrendered that is not to be repaid, must be specified.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111" w:name="page112"/>
    <w:bookmarkEnd w:id="111"/>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1304. </w:t>
      </w:r>
      <w:r>
        <w:rPr>
          <w:rFonts w:ascii="Times New Roman" w:cs="Times New Roman" w:eastAsia="Times New Roman" w:hAnsi="Times New Roman"/>
          <w:sz w:val="18"/>
          <w:szCs w:val="18"/>
          <w:u w:val="single" w:color="auto"/>
          <w:color w:val="auto"/>
        </w:rPr>
        <w:t>When Securities Presented for Repayment Become Due and Payable</w:t>
      </w:r>
      <w:r>
        <w:rPr>
          <w:rFonts w:ascii="Times New Roman" w:cs="Times New Roman" w:eastAsia="Times New Roman" w:hAnsi="Times New Roman"/>
          <w:sz w:val="18"/>
          <w:szCs w:val="18"/>
          <w:color w:val="auto"/>
        </w:rPr>
        <w:t>.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Repayment Price of such Security so to be repaid shall be paid by the Company, together with accrued interest, if any, to the Repayment Date; provided, however, that coupons whose Stated Maturity is on or prior to the Repayment Date shall be payable only at an office or agency located outside the United States (except as otherwise provided in [Article 10])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to the Holders of such Securities, or one or more Predecessor Securities, registered as such at the close of business on the relevant Regular Record Dates according to their terms and the provisions of Section 307.</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provided, however, that interest represented by coupons shall be payable only at an office or agency located outside the United States (except as otherwise provided in [Article 10]) and, unless otherwise specified as contemplated by Section 301, only upon presentation and surrender of those coupons.</w:t>
      </w:r>
    </w:p>
    <w:p>
      <w:pPr>
        <w:spacing w:after="0" w:line="19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or contemplated by such Security.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112" w:name="page113"/>
    <w:bookmarkEnd w:id="112"/>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1305. </w:t>
      </w:r>
      <w:r>
        <w:rPr>
          <w:rFonts w:ascii="Times New Roman" w:cs="Times New Roman" w:eastAsia="Times New Roman" w:hAnsi="Times New Roman"/>
          <w:sz w:val="18"/>
          <w:szCs w:val="18"/>
          <w:u w:val="single" w:color="auto"/>
          <w:color w:val="auto"/>
        </w:rPr>
        <w:t>Securities Repaid in Part</w:t>
      </w:r>
      <w:r>
        <w:rPr>
          <w:rFonts w:ascii="Times New Roman" w:cs="Times New Roman" w:eastAsia="Times New Roman" w:hAnsi="Times New Roman"/>
          <w:sz w:val="18"/>
          <w:szCs w:val="18"/>
          <w:color w:val="auto"/>
        </w:rPr>
        <w:t>. Upon surrender of any Security which is to be repaid in part only, the Company shall execute and the Trustee shall authenticate and deliver to the Holder of such Security, without service charge and at the expense of the Company, a new Security or Securities of the same series, and of like tenor, of any authorized denomination specified by the Holder, in an aggregate principal amount equal to and in exchange for the portion of the principal of such Security so surrendered which is not to be repaid.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DEFEASANCE AND COVENANT DEFEASANCE</w:t>
      </w:r>
    </w:p>
    <w:p>
      <w:pPr>
        <w:spacing w:after="0" w:line="229"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Company’s Option to Effect Defeasance or Covenant Defeasance</w:t>
      </w:r>
      <w:r>
        <w:rPr>
          <w:rFonts w:ascii="Times New Roman" w:cs="Times New Roman" w:eastAsia="Times New Roman" w:hAnsi="Times New Roman"/>
          <w:sz w:val="18"/>
          <w:szCs w:val="18"/>
          <w:color w:val="auto"/>
        </w:rPr>
        <w:t>. Except as otherwise specified as contemplated by Section 301 for Securities of any series, the provisions of this Article Fourteen shall apply to each series of Securities, and the Company may, at its option, effect defeasance of the Securities of or within a series under Section 1402, or covenant defeasance of or within a series under Section 1403 in accordance with the terms of such Securities and in accordance with this Article.</w:t>
      </w:r>
    </w:p>
    <w:p>
      <w:pPr>
        <w:spacing w:after="0" w:line="18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u w:val="single" w:color="auto"/>
          <w:color w:val="auto"/>
        </w:rPr>
        <w:t>Defeasance and Discharge</w:t>
      </w:r>
      <w:r>
        <w:rPr>
          <w:rFonts w:ascii="Times New Roman" w:cs="Times New Roman" w:eastAsia="Times New Roman" w:hAnsi="Times New Roman"/>
          <w:sz w:val="18"/>
          <w:szCs w:val="18"/>
          <w:color w:val="auto"/>
        </w:rPr>
        <w:t>. Upon the Company’s exercise of the above option applicable to this Section with respect to any Securities of or within a series, the Company shall be deemed to have been discharged from its obligations with respect to such Outstanding Securities and any related coupons on the date the conditions set forth in Section 1404 are satisfied (hereinafter, “defeasance”). For this purpose, such defeasance means that the Company shall be deemed to have paid and discharged the entire indebtedness represented by such Outstanding Securities and any related coupons, which shall thereafter be deemed to be “Outstanding” only for the purposes of Section 1405 and the other Sections of this Indenture referred to in (A) and (B) below, and to have satisfied all its other obligations under such Securities and any related coupons and this Indenture insofar as such Securities and any related coupons are concerned (and the Trustee, at the expense of the Company, shall execute proper instruments acknowledging the same), except for the following which shall survive until otherwise terminated or discharged hereunder: (A) the rights of Holders of such Outstanding Securities and any related coupons to receive, solely from the trust fund described in Section 1404 and as more fully set forth in such Section, payments in respect of the principal of (and premium, if any) and interest, if any, on such Securities and any related coupons when such payments are due, (B) the Company’s obligations with respect to such Securities under Sections 304, 305, 306, [Article 10] and with respect to the payment of Additional Amounts, if any, on such Securities as contemplated by [Article 10] and such obligations as shall be ancillary thereto, (C) the rights, powers, trusts, duties and immunities of the Trustee hereunder including, without limitation, Section 606 and the penultimate paragraph of Section 1405 and (D) this Article Fourteen. Subject to compliance with this Article Fourteen, the Company may exercise its option under this Section 1402 notwithstanding the prior exercise of its option under Section 1403 with respect to such Securities and any related coupons.</w:t>
      </w:r>
    </w:p>
    <w:p>
      <w:pPr>
        <w:spacing w:after="0" w:line="12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113" w:name="page114"/>
    <w:bookmarkEnd w:id="113"/>
    <w:p>
      <w:pPr>
        <w:ind w:right="20" w:firstLine="99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1403. </w:t>
      </w:r>
      <w:r>
        <w:rPr>
          <w:rFonts w:ascii="Times New Roman" w:cs="Times New Roman" w:eastAsia="Times New Roman" w:hAnsi="Times New Roman"/>
          <w:sz w:val="17"/>
          <w:szCs w:val="17"/>
          <w:u w:val="single" w:color="auto"/>
          <w:color w:val="auto"/>
        </w:rPr>
        <w:t>Covenant Defeasance</w:t>
      </w:r>
      <w:r>
        <w:rPr>
          <w:rFonts w:ascii="Times New Roman" w:cs="Times New Roman" w:eastAsia="Times New Roman" w:hAnsi="Times New Roman"/>
          <w:sz w:val="17"/>
          <w:szCs w:val="17"/>
          <w:color w:val="auto"/>
        </w:rPr>
        <w:t>. Upon the Company’s exercise of the above option applicable to this Section with respect to any Securities of or within a series, the Company shall be released from its obligations under Sections 801 and 802 and [Article 10], and, if specified pursuant to Section 301, its obligations under any other covenant, with respect to such Outstanding Securities and any related coupons on and after the date the conditions set forth in Section 1404 are satisfied (hereinafter, “covenant defeasance”), and such Securities and any related coupons shall thereafter be deemed not to be “Outstanding” for the purposes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such Outstanding Securities and any related coupons, the Company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 Default or an Event of Default under Section 501[__] or Section 501[__] or otherwise, as the case may be, but, except as specified above, the remainder of this Indenture and such Securities and any related coupons shall be unaffected thereby.</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u w:val="single" w:color="auto"/>
          <w:color w:val="auto"/>
        </w:rPr>
        <w:t>Conditions to Defeasance or Covenant Defeasance</w:t>
      </w:r>
      <w:r>
        <w:rPr>
          <w:rFonts w:ascii="Times New Roman" w:cs="Times New Roman" w:eastAsia="Times New Roman" w:hAnsi="Times New Roman"/>
          <w:sz w:val="18"/>
          <w:szCs w:val="18"/>
          <w:color w:val="auto"/>
        </w:rPr>
        <w:t>. The following shall be the conditions to application of either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1402 or Section 1403 to any Outstanding Securities of or within a series and any related coupons:</w:t>
      </w:r>
    </w:p>
    <w:p>
      <w:pPr>
        <w:spacing w:after="0" w:line="99" w:lineRule="exact"/>
        <w:rPr>
          <w:sz w:val="20"/>
          <w:szCs w:val="20"/>
          <w:color w:val="auto"/>
        </w:rPr>
      </w:pPr>
    </w:p>
    <w:p>
      <w:pPr>
        <w:ind w:left="440" w:firstLine="948"/>
        <w:spacing w:after="0" w:line="252" w:lineRule="auto"/>
        <w:tabs>
          <w:tab w:leader="none" w:pos="164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related coupons, (A) an amount (in such Currency in which such Securities and any related coupons are then specified as payable at Stated Maturity), or (B)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under such Securities and any related coupons, money in an amount, or (C) a combination thereof, sufficient,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if any) and interest, if any, on such Outstanding Securities and any related coupons on the Stated Maturity (or Redemption Date, if applicable) of such principal (and premium, if any) or installment of interest, if any, and (ii) any mandatory sinking fund payments or analogous payments applicable to such Outstanding Securities and any related coupons on the day on which such payments are due and payable in accordance with the terms of this Indenture and of such Securities and any related coupons; provided that the Trustee shall have been irrevocably instructed to apply such money or the proceeds of such Government Obligations to said payments with respect to such Securities and any related coupons. Before such a deposit, the Company may give to the Trustee, in accordance with Section 1102, a notice of its election to redeem all or any portion of such Outstanding Securities at a future date in accordance with the terms of the Securities of such series and Article Eleven, which notice shall be irrevocable. Such irrevocable redemption notice, if given, shall be given effect in applying the foregoing.</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00"/>
          </w:cols>
          <w:pgMar w:left="440" w:top="270" w:right="559" w:bottom="1440" w:gutter="0" w:footer="0" w:header="0"/>
        </w:sectPr>
      </w:pPr>
    </w:p>
    <w:bookmarkStart w:id="114" w:name="page115"/>
    <w:bookmarkEnd w:id="114"/>
    <w:p>
      <w:pPr>
        <w:ind w:left="4" w:right="80" w:firstLine="948"/>
        <w:spacing w:after="0" w:line="266" w:lineRule="auto"/>
        <w:tabs>
          <w:tab w:leader="none" w:pos="121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Default or Event of Default with respect to such Securities or any related coupons shall have occurred and be continuing on the date of such deposit or, insofar as paragraphs [__] and [__] of Section 501 are concerned, at any time during the period ending on the 91st day after the date of such deposit (it being understood that this condition shall not be deemed satisfied until the expiration of such period).</w:t>
      </w:r>
    </w:p>
    <w:p>
      <w:pPr>
        <w:spacing w:after="0" w:line="67" w:lineRule="exact"/>
        <w:rPr>
          <w:rFonts w:ascii="Times New Roman" w:cs="Times New Roman" w:eastAsia="Times New Roman" w:hAnsi="Times New Roman"/>
          <w:sz w:val="18"/>
          <w:szCs w:val="18"/>
          <w:color w:val="auto"/>
        </w:rPr>
      </w:pPr>
    </w:p>
    <w:p>
      <w:pPr>
        <w:ind w:left="4" w:right="40" w:firstLine="948"/>
        <w:spacing w:after="0" w:line="266" w:lineRule="auto"/>
        <w:tabs>
          <w:tab w:leader="none" w:pos="121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shall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67"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1402, the Company shall have delivered to the Trustee an Opinion of Counsel stating that</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5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from, or there has been published by, the Internal Revenue Service a ruling, or (y) since the date of execution of this Indenture, there has been a change in the applicable federal income tax law, in either case to the effect that, and based thereon such opinion shall confirm that, the Holders of such Outstanding Securities and any related coupons will not recognize income, gain or loss for federal income tax purposes as a result of the deposit and such defeasance and will be subject to U.S. federal income tax on the same amounts, in the same manner and at the same times as would have been the case if the deposit and such defeasance had not occurred.</w:t>
      </w:r>
    </w:p>
    <w:p>
      <w:pPr>
        <w:spacing w:after="0" w:line="78" w:lineRule="exact"/>
        <w:rPr>
          <w:rFonts w:ascii="Times New Roman" w:cs="Times New Roman" w:eastAsia="Times New Roman" w:hAnsi="Times New Roman"/>
          <w:sz w:val="18"/>
          <w:szCs w:val="18"/>
          <w:color w:val="auto"/>
        </w:rPr>
      </w:pPr>
    </w:p>
    <w:p>
      <w:pPr>
        <w:jc w:val="both"/>
        <w:ind w:left="4" w:right="200" w:firstLine="948"/>
        <w:spacing w:after="0" w:line="261" w:lineRule="auto"/>
        <w:tabs>
          <w:tab w:leader="none" w:pos="121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1403, the Company shall have delivered to the Trustee an Opinion of Counsel to the effect that the Holders of such Outstanding Securities and any related coupons will not recognize income, gain or loss for federal income tax purposes as a result of such covenant defeasance and will be subject to U.S. federal income tax on the same amounts, in the same manner and at the same times as would have been the case if the deposit and such covenant defeasance had not occurred.</w:t>
      </w:r>
    </w:p>
    <w:p>
      <w:pPr>
        <w:spacing w:after="0" w:line="71" w:lineRule="exact"/>
        <w:rPr>
          <w:rFonts w:ascii="Times New Roman" w:cs="Times New Roman" w:eastAsia="Times New Roman" w:hAnsi="Times New Roman"/>
          <w:sz w:val="18"/>
          <w:szCs w:val="18"/>
          <w:color w:val="auto"/>
        </w:rPr>
      </w:pPr>
    </w:p>
    <w:p>
      <w:pPr>
        <w:ind w:left="4" w:right="300" w:firstLine="948"/>
        <w:spacing w:after="0" w:line="282" w:lineRule="auto"/>
        <w:tabs>
          <w:tab w:leader="none" w:pos="121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such defeasance or covenant defeasance shall be effected in compliance with any additional or substitute terms, conditions or limitations in connection therewith pursuant to Section 301.</w:t>
      </w:r>
    </w:p>
    <w:p>
      <w:pPr>
        <w:spacing w:after="0" w:line="53" w:lineRule="exact"/>
        <w:rPr>
          <w:rFonts w:ascii="Times New Roman" w:cs="Times New Roman" w:eastAsia="Times New Roman" w:hAnsi="Times New Roman"/>
          <w:sz w:val="18"/>
          <w:szCs w:val="18"/>
          <w:color w:val="auto"/>
        </w:rPr>
      </w:pPr>
    </w:p>
    <w:p>
      <w:pPr>
        <w:ind w:left="4" w:right="40" w:firstLine="948"/>
        <w:spacing w:after="0" w:line="266" w:lineRule="auto"/>
        <w:tabs>
          <w:tab w:leader="none" w:pos="121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either the defeasance under Section 1402 or the covenant defeasance under Section 1403 (as the case may be) have been complied with.</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564"/>
          </w:cols>
          <w:pgMar w:left="876" w:top="270" w:right="459" w:bottom="1440" w:gutter="0" w:footer="0" w:header="0"/>
        </w:sectPr>
      </w:pPr>
    </w:p>
    <w:bookmarkStart w:id="115" w:name="page116"/>
    <w:bookmarkEnd w:id="115"/>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1405. </w:t>
      </w:r>
      <w:r>
        <w:rPr>
          <w:rFonts w:ascii="Times New Roman" w:cs="Times New Roman" w:eastAsia="Times New Roman" w:hAnsi="Times New Roman"/>
          <w:sz w:val="18"/>
          <w:szCs w:val="18"/>
          <w:u w:val="single" w:color="auto"/>
          <w:color w:val="auto"/>
        </w:rPr>
        <w:t>Deposited Money and Government Obligations to Be Held in Trust; Other Miscellaneous Provisions</w:t>
      </w:r>
      <w:r>
        <w:rPr>
          <w:rFonts w:ascii="Times New Roman" w:cs="Times New Roman" w:eastAsia="Times New Roman" w:hAnsi="Times New Roman"/>
          <w:sz w:val="18"/>
          <w:szCs w:val="18"/>
          <w:color w:val="auto"/>
        </w:rPr>
        <w:t>. Subject to the provisions of the last paragraph of [Article 10],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such Outstanding Securities and any related coupons shall be held in trust and applied by the Trustee, in accordance with the provisions of such Securities and any related coupons and this Indenture, to the payment, either directly or through any Paying Agent (including the Company acting as its own Paying Agent) as the Trustee may determine, to the Holders of such Securities and any related coupons of all sums due and to become due thereon in respect of principal (and premium, if any) and interest, if any, but such money need not be segregated from other funds except to the extent required by law.</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Unless otherwise specified with respect to any Security pursuant to Section 301, if, after a deposit referred to in Section 1404(1) has been made, (a) the Holder of a Security in respect of which such deposit was made is entitled to, and does, elect pursuant to Section 312(b) or the terms of such Security to receive payment in a Currency other than that in which the deposit pursuant to Section 1404(1) has been made in respect of such Security, or (b) a Conversion Event occurs as contemplated in Section 312(d) or 312(e) or by the terms of any Security in respect of which the deposit pursuant to Section 1404(1) has been made, the indebtedness represented by such Security and any related coupons shall be deemed to have been, and will be, fully discharged and satisfied through the payment of the principal of (and premium, if any) and interest, if any, on such Security as they become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third Business Day prior to each payment date, except, with respect to a Conversion Event, for such Currency in effect (as nearly as feasible) at the time of the Conversion Event.</w:t>
      </w:r>
    </w:p>
    <w:p>
      <w:pPr>
        <w:spacing w:after="0" w:line="194"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cash or Government Obligations deposited pursuant to Section 1404 or the principal and interest received in respect thereof other than any such tax, fee or other charge which by law is for the account of the Holders of such Outstanding Securities and any related coupons. Notwithstanding anything to the contrary contained herein, the foregoing sentence shall survive the termination of this Indenture and the earlier resignation or removal of the Trustee.</w:t>
      </w:r>
    </w:p>
    <w:p>
      <w:pPr>
        <w:spacing w:after="0" w:line="180"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Anything in this Article Fourteen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116" w:name="page117"/>
    <w:bookmarkEnd w:id="116"/>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1406.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If the Trustee or any Paying Agent is unable to apply any money in accordance with Section 1405 with respect to any Securities by reason of any order or judgment of any court or governmental authority enjoining, restraining or otherwise prohibiting such application, then the Company’s obligations under this Indenture and such Securities and any related coupons shall be revived and reinstated as though no deposit had occurred pursuant to Section 1402 or 1403, as the case may be, until such time as the Trustee or Paying Agent is permitted to apply all such money in accordance with Section 1405; provided, however, that if the Company makes any payment of principal of (or premium, if any) or interest, if any, on any such Security or any related coupon following the reinstatement of its obligations, the Company shall be subrogated to the rights of the Holders of such Securities and any related coupons to receive such payment from the money held by the Trustee or Paying Agent.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HOLDERS OF SECURITIES</w:t>
      </w:r>
    </w:p>
    <w:p>
      <w:pPr>
        <w:spacing w:after="0" w:line="229"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u w:val="single" w:color="auto"/>
          <w:color w:val="auto"/>
        </w:rPr>
        <w:t>Purposes for Which Meetings May Be Called</w:t>
      </w:r>
      <w:r>
        <w:rPr>
          <w:rFonts w:ascii="Times New Roman" w:cs="Times New Roman" w:eastAsia="Times New Roman" w:hAnsi="Times New Roman"/>
          <w:sz w:val="18"/>
          <w:szCs w:val="18"/>
          <w:color w:val="auto"/>
        </w:rPr>
        <w:t>. If Securities of a series are issuable as Bearer Securities, a meeting of Holders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u w:val="single" w:color="auto"/>
          <w:color w:val="auto"/>
        </w:rPr>
        <w:t>Call, Notice and Place of Meetings</w:t>
      </w:r>
      <w:r>
        <w:rPr>
          <w:rFonts w:ascii="Times New Roman" w:cs="Times New Roman" w:eastAsia="Times New Roman" w:hAnsi="Times New Roman"/>
          <w:sz w:val="18"/>
          <w:szCs w:val="18"/>
          <w:color w:val="auto"/>
        </w:rPr>
        <w:t>. The Trustee may at any time call a meeting of Holders of Securities of any series for any purpose specified in Section 1501, to be held at such time and at such place in The City of New York or in London as the Trustee shall determine. Notice of every meeting of Holders of Securities of any series, setting forth the time and the place of such meeting and in general terms the action proposed to be taken at such meeting, shall be given, in the manner provided for in Section 106, not less than 21 nor more than 180 days prior to the date fixed for the meeting.</w:t>
      </w:r>
    </w:p>
    <w:p>
      <w:pPr>
        <w:spacing w:after="0" w:line="75" w:lineRule="exact"/>
        <w:rPr>
          <w:sz w:val="20"/>
          <w:szCs w:val="20"/>
          <w:color w:val="auto"/>
        </w:rPr>
      </w:pPr>
    </w:p>
    <w:p>
      <w:pPr>
        <w:ind w:left="440" w:right="140" w:firstLine="419"/>
        <w:spacing w:after="0" w:line="255" w:lineRule="auto"/>
        <w:tabs>
          <w:tab w:leader="none" w:pos="110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City of New York or in London for such meeting and may call such meeting for such purposes by giving notice thereof as provided in paragraph (a) of this Section.</w:t>
      </w:r>
    </w:p>
    <w:p>
      <w:pPr>
        <w:spacing w:after="0" w:line="18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u w:val="single" w:color="auto"/>
          <w:color w:val="auto"/>
        </w:rPr>
        <w:t>Persons Entitled to Vote at Meetings</w:t>
      </w:r>
      <w:r>
        <w:rPr>
          <w:rFonts w:ascii="Times New Roman" w:cs="Times New Roman" w:eastAsia="Times New Roman" w:hAnsi="Times New Roman"/>
          <w:sz w:val="18"/>
          <w:szCs w:val="18"/>
          <w:color w:val="auto"/>
        </w:rPr>
        <w:t>.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of Holders. The only Persons who shall be entitled to be present or to speak at any meeting of Holders of Securities of any series shall be the Person entitled to vote at such meeting and their counsel, any representatives of the Trustee and its counsel and any representatives of the Company and its counsel.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117" w:name="page118"/>
    <w:bookmarkEnd w:id="117"/>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1504. </w:t>
      </w:r>
      <w:r>
        <w:rPr>
          <w:rFonts w:ascii="Times New Roman" w:cs="Times New Roman" w:eastAsia="Times New Roman" w:hAnsi="Times New Roman"/>
          <w:sz w:val="18"/>
          <w:szCs w:val="18"/>
          <w:u w:val="single" w:color="auto"/>
          <w:color w:val="auto"/>
        </w:rPr>
        <w:t>Quorum; Action</w:t>
      </w:r>
      <w:r>
        <w:rPr>
          <w:rFonts w:ascii="Times New Roman" w:cs="Times New Roman" w:eastAsia="Times New Roman" w:hAnsi="Times New Roman"/>
          <w:sz w:val="18"/>
          <w:szCs w:val="18"/>
          <w:color w:val="auto"/>
        </w:rPr>
        <w:t>. The Persons entitled to vote a majority in principal amount of the Outstanding Securities of a series shall constitute a quorum for a meeting of Holders of Securities of such series; provided, however,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1502(a),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w:t>
      </w:r>
    </w:p>
    <w:p>
      <w:pPr>
        <w:spacing w:after="0" w:line="190"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Except as limited by the proviso to Section 902, any resolution presented to a meeting or adjourned meeting duly reconvened at which a quorum is present as aforesaid may be adopted by the affirmative vote of the Holders of a majority in principal amount of the Outstanding Securities of such series; provided, however,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not less than such specified percentage in principal amount of the Outstanding Securities of such series.</w:t>
      </w:r>
    </w:p>
    <w:p>
      <w:pPr>
        <w:spacing w:after="0" w:line="189"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85" w:lineRule="exact"/>
        <w:rPr>
          <w:sz w:val="20"/>
          <w:szCs w:val="20"/>
          <w:color w:val="auto"/>
        </w:rPr>
      </w:pPr>
    </w:p>
    <w:p>
      <w:pPr>
        <w:ind w:left="1420" w:hanging="439"/>
        <w:spacing w:after="0"/>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minimum quorum requirement for such meeting; and</w:t>
      </w:r>
    </w:p>
    <w:p>
      <w:pPr>
        <w:spacing w:after="0" w:line="130" w:lineRule="exact"/>
        <w:rPr>
          <w:rFonts w:ascii="Times New Roman" w:cs="Times New Roman" w:eastAsia="Times New Roman" w:hAnsi="Times New Roman"/>
          <w:sz w:val="18"/>
          <w:szCs w:val="18"/>
          <w:color w:val="auto"/>
        </w:rPr>
      </w:pPr>
    </w:p>
    <w:p>
      <w:pPr>
        <w:ind w:left="1420" w:right="20" w:hanging="439"/>
        <w:spacing w:after="0" w:line="266" w:lineRule="auto"/>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440" w:top="270" w:right="479" w:bottom="1440" w:gutter="0" w:footer="0" w:header="0"/>
        </w:sectPr>
      </w:pPr>
    </w:p>
    <w:bookmarkStart w:id="118" w:name="page119"/>
    <w:bookmarkEnd w:id="118"/>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1505. </w:t>
      </w:r>
      <w:r>
        <w:rPr>
          <w:rFonts w:ascii="Times New Roman" w:cs="Times New Roman" w:eastAsia="Times New Roman" w:hAnsi="Times New Roman"/>
          <w:sz w:val="18"/>
          <w:szCs w:val="18"/>
          <w:u w:val="single" w:color="auto"/>
          <w:color w:val="auto"/>
        </w:rPr>
        <w:t>Determination of Voting Rights; Conduct and Adjournment of Meetings</w:t>
      </w:r>
      <w:r>
        <w:rPr>
          <w:rFonts w:ascii="Times New Roman" w:cs="Times New Roman" w:eastAsia="Times New Roman" w:hAnsi="Times New Roman"/>
          <w:sz w:val="18"/>
          <w:szCs w:val="18"/>
          <w:color w:val="auto"/>
        </w:rPr>
        <w:t>. 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its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80" w:lineRule="exact"/>
        <w:rPr>
          <w:sz w:val="20"/>
          <w:szCs w:val="20"/>
          <w:color w:val="auto"/>
        </w:rPr>
      </w:pPr>
    </w:p>
    <w:p>
      <w:pPr>
        <w:ind w:left="440" w:right="20" w:firstLine="419"/>
        <w:spacing w:after="0" w:line="258" w:lineRule="auto"/>
        <w:tabs>
          <w:tab w:leader="none" w:pos="110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75" w:lineRule="exact"/>
        <w:rPr>
          <w:rFonts w:ascii="Times New Roman" w:cs="Times New Roman" w:eastAsia="Times New Roman" w:hAnsi="Times New Roman"/>
          <w:sz w:val="18"/>
          <w:szCs w:val="18"/>
          <w:color w:val="auto"/>
        </w:rPr>
      </w:pPr>
    </w:p>
    <w:p>
      <w:pPr>
        <w:ind w:left="440" w:right="140" w:firstLine="419"/>
        <w:spacing w:after="0" w:line="258" w:lineRule="auto"/>
        <w:tabs>
          <w:tab w:leader="none" w:pos="11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meeting each Holder of a Security of such series or proxy shall be entitled to one vote for each $1,000 principal amount of Outstanding Securities of such series held or represented by him (determined as specified in the definition of “Outstanding” in Section 101);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75"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0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76"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1506. </w:t>
      </w:r>
      <w:r>
        <w:rPr>
          <w:rFonts w:ascii="Times New Roman" w:cs="Times New Roman" w:eastAsia="Times New Roman" w:hAnsi="Times New Roman"/>
          <w:sz w:val="18"/>
          <w:szCs w:val="18"/>
          <w:u w:val="single" w:color="auto"/>
          <w:color w:val="auto"/>
        </w:rPr>
        <w:t>Counting Votes and Recording Action of Meetings</w:t>
      </w:r>
      <w:r>
        <w:rPr>
          <w:rFonts w:ascii="Times New Roman" w:cs="Times New Roman" w:eastAsia="Times New Roman" w:hAnsi="Times New Roman"/>
          <w:sz w:val="18"/>
          <w:szCs w:val="18"/>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proceedings of each meeting of Holders of Securities of any series shall be prepared by the Secretary of the meeting and there shall be attached to said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record the original reports of the inspectors of votes on any vote by ballot taken thereat and affidavits by one or more persons having knowledge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facts setting forth a copy of the notice of the meeting and showing that said notice was given as provided in Section 1502 and, if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1504. Each copy shall be signed and verified by the affidavits of the permanent chairman and secretary of the meeting and one such copy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delivered to the Company, and another to the Trustee to be preserved by the Trustee, the latter to have attached thereto the ballots voted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Any record so signed and verified shall be conclusive evidence of the matters therein stated. The provisions of articles 86 to 94.8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 law of August 10, 1915 on commercial companies, as amended, are hereby excluded.</w:t>
      </w:r>
    </w:p>
    <w:p>
      <w:pPr>
        <w:spacing w:after="0" w:line="20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so executed shall be deemed to be an original, but all such counterparts shall together constitute but one and the same Indenture.</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840"/>
          </w:cols>
          <w:pgMar w:left="440" w:top="270" w:right="6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Indenture to be duly executed, as of the day and year first above written.</w:t>
      </w:r>
    </w:p>
    <w:p>
      <w:pPr>
        <w:spacing w:after="0" w:line="2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Issuer</w:t>
      </w:r>
    </w:p>
    <w:p>
      <w:pPr>
        <w:spacing w:after="0" w:line="9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w:t>
      </w:r>
    </w:p>
    <w:p>
      <w:pPr>
        <w:spacing w:after="0" w:line="9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[Signature Page to Indenture]</w:t>
      </w:r>
    </w:p>
    <w:p>
      <w:pPr>
        <w:sectPr>
          <w:pgSz w:w="11900" w:h="16838" w:orient="portrait"/>
          <w:cols w:equalWidth="0" w:num="1">
            <w:col w:w="9740"/>
          </w:cols>
          <w:pgMar w:left="1420" w:top="270" w:right="73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FORMS OF CERTIFICATION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9019"/>
          </w:cols>
          <w:pgMar w:left="1440" w:top="266" w:right="1440" w:bottom="1440" w:gutter="0" w:footer="0" w:header="0"/>
        </w:sectPr>
      </w:pPr>
    </w:p>
    <w:bookmarkStart w:id="122" w:name="page123"/>
    <w:bookmarkEnd w:id="122"/>
    <w:p>
      <w:pPr>
        <w:ind w:left="4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A-1</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FORM OF CERTIFICATE TO BE GIVEN BY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PERSON ENTITLED TO RECEIVE BEARER SECURITY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 TO OBTAIN INTEREST PAYABLE PRIOR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EXCHANGE DATE</w:t>
      </w:r>
    </w:p>
    <w:p>
      <w:pPr>
        <w:spacing w:after="0" w:line="9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1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[Insert title or sufficient description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Securities to be delivered]</w:t>
      </w:r>
    </w:p>
    <w:p>
      <w:pPr>
        <w:spacing w:after="0" w:line="20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any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 (“United States person(s)”), (ii) are owned by United States person(s) that are (a) foreign branches of United States financial institutions (financial institutions, as defined in United States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Tarsus Pharmaceuticals, Inc.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96" w:lineRule="exact"/>
        <w:rPr>
          <w:sz w:val="20"/>
          <w:szCs w:val="20"/>
          <w:color w:val="auto"/>
        </w:rPr>
      </w:pPr>
    </w:p>
    <w:p>
      <w:pPr>
        <w:ind w:right="840" w:firstLine="991"/>
        <w:spacing w:after="0" w:line="282" w:lineRule="auto"/>
        <w:rPr>
          <w:sz w:val="20"/>
          <w:szCs w:val="20"/>
          <w:color w:val="auto"/>
        </w:rPr>
      </w:pPr>
      <w:r>
        <w:rPr>
          <w:rFonts w:ascii="Times New Roman" w:cs="Times New Roman" w:eastAsia="Times New Roman" w:hAnsi="Times New Roman"/>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We undertake to advise you promptly by tested telex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0980"/>
          </w:cols>
          <w:pgMar w:left="440" w:top="266" w:right="479" w:bottom="1440" w:gutter="0" w:footer="0" w:header="0"/>
        </w:sectPr>
      </w:pPr>
    </w:p>
    <w:bookmarkStart w:id="123" w:name="page124"/>
    <w:bookmarkEnd w:id="12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certificate excepts and does not relate to [U.S.$]__________ of such interest in the above-captioned Securities in respect of which we</w:t>
      </w:r>
    </w:p>
    <w:p>
      <w:pPr>
        <w:spacing w:after="0" w:line="27"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81"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dated no earlier than the 15th day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(i) the Exchange Date or (ii)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Interest Payment Date occurring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Exchange Date, as applicable]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Person Making Certification]</w:t>
      </w:r>
    </w:p>
    <w:p>
      <w:pPr>
        <w:spacing w:after="0" w:line="200" w:lineRule="exact"/>
        <w:rPr>
          <w:sz w:val="20"/>
          <w:szCs w:val="20"/>
          <w:color w:val="auto"/>
        </w:rPr>
      </w:pPr>
    </w:p>
    <w:p>
      <w:pPr>
        <w:spacing w:after="0" w:line="25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0980"/>
          </w:cols>
          <w:pgMar w:left="440" w:top="270" w:right="479" w:bottom="1440" w:gutter="0" w:footer="0" w:header="0"/>
        </w:sectPr>
      </w:pPr>
    </w:p>
    <w:bookmarkStart w:id="124" w:name="page125"/>
    <w:bookmarkEnd w:id="12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A-2</w:t>
      </w:r>
    </w:p>
    <w:p>
      <w:pPr>
        <w:spacing w:after="0" w:line="117" w:lineRule="exact"/>
        <w:rPr>
          <w:sz w:val="20"/>
          <w:szCs w:val="20"/>
          <w:color w:val="auto"/>
        </w:rPr>
      </w:pPr>
    </w:p>
    <w:p>
      <w:pPr>
        <w:ind w:left="3384"/>
        <w:spacing w:after="0"/>
        <w:rPr>
          <w:sz w:val="20"/>
          <w:szCs w:val="20"/>
          <w:color w:val="auto"/>
        </w:rPr>
      </w:pPr>
      <w:r>
        <w:rPr>
          <w:rFonts w:ascii="Times New Roman" w:cs="Times New Roman" w:eastAsia="Times New Roman" w:hAnsi="Times New Roman"/>
          <w:sz w:val="18"/>
          <w:szCs w:val="18"/>
          <w:b w:val="1"/>
          <w:bCs w:val="1"/>
          <w:color w:val="auto"/>
        </w:rPr>
        <w:t>FORM OF CERTIFICATE TO BE GIVEN BY [_____]</w:t>
      </w:r>
    </w:p>
    <w:p>
      <w:pPr>
        <w:spacing w:after="0" w:line="31" w:lineRule="exact"/>
        <w:rPr>
          <w:sz w:val="20"/>
          <w:szCs w:val="20"/>
          <w:color w:val="auto"/>
        </w:rPr>
      </w:pPr>
    </w:p>
    <w:p>
      <w:pPr>
        <w:ind w:left="4704"/>
        <w:spacing w:after="0"/>
        <w:rPr>
          <w:sz w:val="20"/>
          <w:szCs w:val="20"/>
          <w:color w:val="auto"/>
        </w:rPr>
      </w:pPr>
      <w:r>
        <w:rPr>
          <w:rFonts w:ascii="Times New Roman" w:cs="Times New Roman" w:eastAsia="Times New Roman" w:hAnsi="Times New Roman"/>
          <w:sz w:val="18"/>
          <w:szCs w:val="18"/>
          <w:b w:val="1"/>
          <w:bCs w:val="1"/>
          <w:color w:val="auto"/>
        </w:rPr>
        <w:t>AND [_________] IN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CONNECTION WITH THE EXCHANGE OF A PORTION OF A</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TEMPORARY GLOBAL SECURITY OR TO OBTAIN INTEREST</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PAYABLE PRIOR TO THE EXCHANGE DATE</w:t>
      </w:r>
    </w:p>
    <w:p>
      <w:pPr>
        <w:spacing w:after="0" w:line="9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b w:val="1"/>
          <w:bCs w:val="1"/>
          <w:color w:val="auto"/>
        </w:rPr>
        <w:t>CERTIFICATE</w:t>
      </w:r>
    </w:p>
    <w:p>
      <w:pPr>
        <w:spacing w:after="0" w:line="121" w:lineRule="exact"/>
        <w:rPr>
          <w:sz w:val="20"/>
          <w:szCs w:val="20"/>
          <w:color w:val="auto"/>
        </w:rPr>
      </w:pPr>
    </w:p>
    <w:p>
      <w:pPr>
        <w:ind w:left="4224"/>
        <w:spacing w:after="0"/>
        <w:rPr>
          <w:sz w:val="20"/>
          <w:szCs w:val="20"/>
          <w:color w:val="auto"/>
        </w:rPr>
      </w:pPr>
      <w:r>
        <w:rPr>
          <w:rFonts w:ascii="Times New Roman" w:cs="Times New Roman" w:eastAsia="Times New Roman" w:hAnsi="Times New Roman"/>
          <w:sz w:val="18"/>
          <w:szCs w:val="18"/>
          <w:color w:val="auto"/>
        </w:rPr>
        <w:t>[Insert title or sufficient description</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of Securities to be delivered]</w:t>
      </w:r>
    </w:p>
    <w:p>
      <w:pPr>
        <w:spacing w:after="0" w:line="207" w:lineRule="exact"/>
        <w:rPr>
          <w:sz w:val="20"/>
          <w:szCs w:val="20"/>
          <w:color w:val="auto"/>
        </w:rPr>
      </w:pPr>
    </w:p>
    <w:p>
      <w:pPr>
        <w:ind w:left="4" w:right="60" w:firstLine="991"/>
        <w:spacing w:after="0" w:line="272" w:lineRule="auto"/>
        <w:rPr>
          <w:sz w:val="20"/>
          <w:szCs w:val="20"/>
          <w:color w:val="auto"/>
        </w:rPr>
      </w:pPr>
      <w:r>
        <w:rPr>
          <w:rFonts w:ascii="Times New Roman" w:cs="Times New Roman" w:eastAsia="Times New Roman" w:hAnsi="Times New Roman"/>
          <w:sz w:val="17"/>
          <w:szCs w:val="17"/>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[U.S.$]__________ principal amount of the above-captioned Securities (i) is owned by</w:t>
      </w:r>
    </w:p>
    <w:p>
      <w:pPr>
        <w:spacing w:after="0" w:line="2"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color w:val="auto"/>
        </w:rPr>
        <w:t>person(s) that are not citizens or residents of the United States, domestic partnerships, domestic corporations or any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Tarsus Pharmaceuticals, Inc.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w:t>
      </w:r>
    </w:p>
    <w:p>
      <w:pPr>
        <w:spacing w:after="0" w:line="2" w:lineRule="exact"/>
        <w:rPr>
          <w:sz w:val="20"/>
          <w:szCs w:val="20"/>
          <w:color w:val="auto"/>
        </w:rPr>
      </w:pPr>
    </w:p>
    <w:p>
      <w:pPr>
        <w:ind w:left="4" w:right="280" w:hanging="4"/>
        <w:spacing w:after="0" w:line="260" w:lineRule="auto"/>
        <w:tabs>
          <w:tab w:leader="none" w:pos="2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have certified that they have not acquired the Securities for purposes of resale directly or indirectly to a United States person or to a person within the United States or its possessions.</w:t>
      </w:r>
    </w:p>
    <w:p>
      <w:pPr>
        <w:spacing w:after="0" w:line="181" w:lineRule="exact"/>
        <w:rPr>
          <w:sz w:val="20"/>
          <w:szCs w:val="20"/>
          <w:color w:val="auto"/>
        </w:rPr>
      </w:pPr>
    </w:p>
    <w:p>
      <w:pPr>
        <w:ind w:left="4" w:right="860" w:firstLine="991"/>
        <w:spacing w:after="0" w:line="282" w:lineRule="auto"/>
        <w:rPr>
          <w:sz w:val="20"/>
          <w:szCs w:val="20"/>
          <w:color w:val="auto"/>
        </w:rPr>
      </w:pPr>
      <w:r>
        <w:rPr>
          <w:rFonts w:ascii="Times New Roman" w:cs="Times New Roman" w:eastAsia="Times New Roman" w:hAnsi="Times New Roman"/>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004"/>
          </w:cols>
          <w:pgMar w:left="436" w:top="266" w:right="459" w:bottom="1440" w:gutter="0" w:footer="0" w:header="0"/>
        </w:sectPr>
      </w:pPr>
    </w:p>
    <w:bookmarkStart w:id="125" w:name="page126"/>
    <w:bookmarkEnd w:id="125"/>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3"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dated no earlier than the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or the relevant Interest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occurring prior to the Exchange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[_________]</w:t>
      </w:r>
    </w:p>
    <w:p>
      <w:pPr>
        <w:spacing w:after="0" w:line="200" w:lineRule="exact"/>
        <w:rPr>
          <w:sz w:val="20"/>
          <w:szCs w:val="20"/>
          <w:color w:val="auto"/>
        </w:rPr>
      </w:pPr>
    </w:p>
    <w:p>
      <w:pPr>
        <w:spacing w:after="0" w:line="25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0980"/>
          </w:cols>
          <w:pgMar w:left="440" w:top="270" w:right="47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876935</wp:posOffset>
            </wp:positionV>
            <wp:extent cx="1834515" cy="4546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1834515" cy="45466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173990</wp:posOffset>
            </wp:positionV>
            <wp:extent cx="994410" cy="18688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99441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15440 Laguna Canyon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 92618</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b w:val="1"/>
          <w:bCs w:val="1"/>
          <w:color w:val="auto"/>
        </w:rPr>
        <w:t>Registration Statement on Form S-3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acted as counsel to Tarsus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its filing on the date hereof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of an automatically effective Registration Statement on Form S-3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in connection with the registration pursuant to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of the Securities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Registration Statement relates to the proposed issuance and sale by the Company, from time to time, pursuant to Rule 415 under the Act, as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Registration Statement, the prospectus contained therein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the supplements to the prospectus referred to therein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of shares of the Company’s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shares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$0.0001 par value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debt securities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warrants to purchase any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above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Units comprised of one or more of the shares of Common Stock or Preferred Stock, Debt Securities or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together with the Common Stock, the Preferred Stock, the Debt Securities or the Warrants,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Securities are to be sold from time to time as set forth in the Registration Statement, the Prospectus contained therein and the Prospectus Supplements. The Debt Securities are to be issued in one or more series pursuant to an indenture (including any officer’s certificate or supplemental indenture used to issue the Debt Securities,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be entered into between the Company and a bank or trust company to be named in the Indenture and duly qualified under the Trust Indenture Act of 1939, as amended (the “</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the form of which is filed as an exhibit to the Registration Statement. The Warrants may be issued pursuant to a warrant agreement (each, a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to be entered into between the Company and a bank or trust company, as warrant agent (each, a “</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which will be in a form to be filed as an exhibit to a post-effective amendment to the Registration Statement or a Current Report on Form 8-K incorporated in such Registration Statement by reference. The Preferred Stock will be issued in one or more series and the relative powers, designations, preferences, rights and qualifications, limitations or restrictions of such Preferred Stock will be set forth in one or more certificates of designation (each, a “</w:t>
      </w:r>
      <w:r>
        <w:rPr>
          <w:rFonts w:ascii="Times New Roman" w:cs="Times New Roman" w:eastAsia="Times New Roman" w:hAnsi="Times New Roman"/>
          <w:sz w:val="18"/>
          <w:szCs w:val="18"/>
          <w:b w:val="1"/>
          <w:bCs w:val="1"/>
          <w:color w:val="auto"/>
        </w:rPr>
        <w:t>Certificate of Designation</w:t>
      </w:r>
      <w:r>
        <w:rPr>
          <w:rFonts w:ascii="Times New Roman" w:cs="Times New Roman" w:eastAsia="Times New Roman" w:hAnsi="Times New Roman"/>
          <w:sz w:val="18"/>
          <w:szCs w:val="18"/>
          <w:color w:val="auto"/>
        </w:rPr>
        <w:t>”), which will be in a form to be filed as an exhibit to a post-effective amendment to the Registration Statement or a Current Report on Form 8-K incorporated in such Registration Statement by reference.</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examined instruments, documents, certificates and records that we have deemed relevant and necessary for the basis of our opinions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80645</wp:posOffset>
            </wp:positionV>
            <wp:extent cx="3240405" cy="316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3240405" cy="316865"/>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474980</wp:posOffset>
            </wp:positionV>
            <wp:extent cx="6797675" cy="1028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6797675" cy="10287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27" w:name="page128"/>
    <w:bookmarkEnd w:id="12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warranties contained in the instruments, documents, certificates and records we have reviewed; (iv) that the Registration Statement, and any amendments thereto (including post-effective amendments), will have become effective under the Act; (v) that a Prospectus Supplement will have been filed with the Commission describing the Securities offered thereby; (vi) that the Securities will be issued and sold in compliance with applicable U.S. federal and state securities laws and in the manner stated in the Registration Statement and the applicable Prospectus Supplement; (vii) that a definitive purchase, underwriting or similar agreement with respect to any Securities offered will have been duly authorized and validly executed and delivered by the Company and the other parties thereto; (viii) that any Securities issuable upon conversion, exchange, redemption or exercise of any Securities being offered will be duly authorized, created and, if appropriate, reserved for issuance upon such conversion, exchange, redemption or exercise; (ix) that the Indenture will be the legal, valid and binding obligation of each party thereto, other than the Company, enforceable against each such party in accordance with its terms, and will be duly qualified under the Trust Indenture Act, and that the applicable Trustee will be duly eligible to serve as trustee; (x) with respect to shares of Common Stock or Preferred Stock offered, that there will be sufficient shares of Common Stock or Preferred Stock authorized under the Company’s organizational documents that are not otherwise reserved for issuance; and (xi)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such examination, we are of the opinion that:</w:t>
      </w:r>
    </w:p>
    <w:p>
      <w:pPr>
        <w:spacing w:after="0" w:line="131" w:lineRule="exact"/>
        <w:rPr>
          <w:sz w:val="20"/>
          <w:szCs w:val="20"/>
          <w:color w:val="auto"/>
        </w:rPr>
      </w:pPr>
    </w:p>
    <w:p>
      <w:pPr>
        <w:ind w:left="960" w:right="20" w:hanging="532"/>
        <w:spacing w:after="0" w:line="257"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the Common Stock to be sold by the Company, when both: (a) the Board of Directors of the Company or a duly constituted and acting committee thereof (such Board of Directors or committee being hereinafter referred to as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taken all necessary corporate action to approve the issuance and the terms of the offering of the shares of Common Stock and related matters; and</w:t>
      </w:r>
    </w:p>
    <w:p>
      <w:pPr>
        <w:spacing w:after="0" w:line="1" w:lineRule="exact"/>
        <w:rPr>
          <w:rFonts w:ascii="Times New Roman" w:cs="Times New Roman" w:eastAsia="Times New Roman" w:hAnsi="Times New Roman"/>
          <w:sz w:val="18"/>
          <w:szCs w:val="18"/>
          <w:color w:val="auto"/>
        </w:rPr>
      </w:pPr>
    </w:p>
    <w:p>
      <w:pPr>
        <w:ind w:left="9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certificates representing the shares of Common Stock have been duly executed, countersigned, registered and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spacing w:after="0" w:line="95" w:lineRule="exact"/>
        <w:rPr>
          <w:rFonts w:ascii="Times New Roman" w:cs="Times New Roman" w:eastAsia="Times New Roman" w:hAnsi="Times New Roman"/>
          <w:sz w:val="18"/>
          <w:szCs w:val="18"/>
          <w:color w:val="auto"/>
        </w:rPr>
      </w:pPr>
    </w:p>
    <w:p>
      <w:pPr>
        <w:ind w:left="960" w:right="160" w:hanging="532"/>
        <w:spacing w:after="0" w:line="253"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particular series of shares of Preferred Stock, when both: (a) the Board has taken all necessary corporate action to approve the issuance and terms of the shares of Preferred Stock, the terms of the offering thereof, and related matters, including the adoption of a certificate of designation relating to such Preferred Stock conforming to the Delaware General Corporation Law (a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and the filing of the Certificate with the Secretary of State of the State of Delaware; and (b) certificates representing the shares of Preferred Stock have been duly executed, countersigned, registered and delivered either (i) 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 (ii) upon conversion or exercise of such Security or the instrument governing such Security providing for such conversion or exercise as approved by the Board, for the consideration approved by the Board, then the shares of Preferred Stock will be validly issued, fully paid and nonassessable;</w:t>
      </w:r>
    </w:p>
    <w:p>
      <w:pPr>
        <w:spacing w:after="0" w:line="99"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Indenture, when the Indenture has been duly authorized, executed and delivered by the Company, the Indenture will constitute a legal, valid and binding obligation of the Company, enforceable against the Company in accordance with its terms;</w:t>
      </w:r>
    </w:p>
    <w:p>
      <w:pPr>
        <w:spacing w:after="0" w:line="67" w:lineRule="exact"/>
        <w:rPr>
          <w:rFonts w:ascii="Times New Roman" w:cs="Times New Roman" w:eastAsia="Times New Roman" w:hAnsi="Times New Roman"/>
          <w:sz w:val="18"/>
          <w:szCs w:val="18"/>
          <w:color w:val="auto"/>
        </w:rPr>
      </w:pPr>
    </w:p>
    <w:p>
      <w:pPr>
        <w:ind w:left="960" w:right="20" w:hanging="532"/>
        <w:spacing w:after="0" w:line="258" w:lineRule="auto"/>
        <w:tabs>
          <w:tab w:leader="none" w:pos="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Debt Securities to be issued under the Indenture, when (a)(i) the terms of the Debt Securities have been duly established and authorized by the Company, (ii) the Indenture has been duly executed and delivered by the Company, (iii) the issuance and sale of the Debt Securities has been duly authorized by all necessary action (corporate or otherwise) and (iv) the Debt Securities have been duly executed by the Company and duly authenticated by the Trustee in accordance with the terms of the Indenture, and delivered to the purchasers thereof against payment of the consideration therefor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85090</wp:posOffset>
            </wp:positionV>
            <wp:extent cx="6797675" cy="1028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6797675" cy="10287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128" w:name="page129"/>
    <w:bookmarkEnd w:id="128"/>
    <w:p>
      <w:pPr>
        <w:ind w:left="98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approved by the Company, the Debt Securities will constitute legal, valid and binding obligations of the Company, enforceable against the Company in accordance with their terms and (b) when the Debt Securities to be offered and issued by the Company upon exercise of the Warrants have been issued by the Company against payment in full of the consideration and in accordance with the applicable Warrant and the Indenture, the Debt Securities will be duly authorized and legal, valid and binding obligations of the Company, enforceable against the Company in accordance with their terms;</w:t>
      </w:r>
    </w:p>
    <w:p>
      <w:pPr>
        <w:spacing w:after="0" w:line="89" w:lineRule="exact"/>
        <w:rPr>
          <w:sz w:val="20"/>
          <w:szCs w:val="20"/>
          <w:color w:val="auto"/>
        </w:rPr>
      </w:pPr>
    </w:p>
    <w:p>
      <w:pPr>
        <w:ind w:left="960" w:right="100" w:hanging="532"/>
        <w:spacing w:after="0" w:line="256"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when both: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duly authorized, executed and delivered by the Company and a Warrant Agent, if any, and the certificates for the Warrants have been duly executed and delivered by the Company and each other party thereto, then the Warrants will be validly issued and will constitute valid and binding obligations of the Company, enforceable against the Company in accordance with their terms; and</w:t>
      </w:r>
    </w:p>
    <w:p>
      <w:pPr>
        <w:spacing w:after="0" w:line="92" w:lineRule="exact"/>
        <w:rPr>
          <w:rFonts w:ascii="Times New Roman" w:cs="Times New Roman" w:eastAsia="Times New Roman" w:hAnsi="Times New Roman"/>
          <w:sz w:val="18"/>
          <w:szCs w:val="18"/>
          <w:color w:val="auto"/>
        </w:rPr>
      </w:pPr>
    </w:p>
    <w:p>
      <w:pPr>
        <w:ind w:left="960" w:right="20" w:hanging="532"/>
        <w:spacing w:after="0" w:line="254" w:lineRule="auto"/>
        <w:tabs>
          <w:tab w:leader="none" w:pos="9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Units, when both: (a) the Board has taken all necessary corporate action to approve the issuance and terms of the Units, the terms of the offering thereof, and related matters, including the adoption of a unit agreement, as applicable; and (b) the Units have been duly executed, authenticated, issued and delivered against payment therefor in accordance with the terms of the applicable unit agreement and in the manner contemplated by the applicable Prospectus Supplement and by such corporate action (assuming the securities issuable upon exercise of such Units have been duly authorized and reserved for issuance by all necessary corporate action and the applicable Indenture and Debt Securities have been duly executed by the Company and such Debt Securities have been authenticated by the applicable Trustee in accordance with the Indenture), then the Units will be legally valid and binding obligations of the Company, enforceable against the Company in accordance with their terms.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opinion that any document is legal, valid and binding is qualified as to:</w:t>
      </w:r>
    </w:p>
    <w:p>
      <w:pPr>
        <w:spacing w:after="0" w:line="131" w:lineRule="exact"/>
        <w:rPr>
          <w:sz w:val="20"/>
          <w:szCs w:val="20"/>
          <w:color w:val="auto"/>
        </w:rPr>
      </w:pPr>
    </w:p>
    <w:p>
      <w:pPr>
        <w:ind w:left="960" w:right="140" w:hanging="532"/>
        <w:spacing w:after="0" w:line="282" w:lineRule="auto"/>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by bankruptcy, insolvency, reorganization, arrangement, fraudulent conveyance, moratorium or other laws relating to or affecting the rights of creditors generally;</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indemnification and contribution, which may be limited by applicable law or equitable principles; and</w:t>
      </w:r>
    </w:p>
    <w:p>
      <w:pPr>
        <w:spacing w:after="0" w:line="130" w:lineRule="exact"/>
        <w:rPr>
          <w:rFonts w:ascii="Times New Roman" w:cs="Times New Roman" w:eastAsia="Times New Roman" w:hAnsi="Times New Roman"/>
          <w:sz w:val="18"/>
          <w:szCs w:val="18"/>
          <w:color w:val="auto"/>
        </w:rPr>
      </w:pPr>
    </w:p>
    <w:p>
      <w:pPr>
        <w:jc w:val="both"/>
        <w:ind w:left="960" w:right="440" w:hanging="532"/>
        <w:spacing w:after="0" w:line="266" w:lineRule="auto"/>
        <w:tabs>
          <w:tab w:leader="none" w:pos="9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express no opinion as to the laws of any other jurisdiction, other than the Federal laws of the United States of America, the laws of the State of New York (including in each case the rules or regulations promulgated thereunder or pursuant thereto) and the Delaware General Corporation Law.</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Gunderson Dettmer Stough Villeneuve Franklin &amp; Hachigian,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GUNDERSON DETTMER STOUGH VILLENEUVE FRANKLIN &amp; HACHIGIAN,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111760</wp:posOffset>
            </wp:positionV>
            <wp:extent cx="6797675" cy="1028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6797675" cy="10287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Registration Statement (Form S-3) and related Prospectus of Tarsus Pharmaceuticals, Inc. for the registration of common stock, preferred stock, debt securities, warrants and units and to the incorporation by reference therein of our report dated February 27, 2024, with respect to the financial statements of Tarsus Pharmaceuticals, Inc., included in its Annual Report (Form 10-K) for the year ended December 31, 2023, filed with the Securities and Exchange Commission.</w:t>
      </w:r>
    </w:p>
    <w:p>
      <w:pPr>
        <w:spacing w:after="0" w:line="18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ectPr>
          <w:pgSz w:w="11900" w:h="16838" w:orient="portrait"/>
          <w:cols w:equalWidth="0" w:num="1">
            <w:col w:w="11020"/>
          </w:cols>
          <w:pgMar w:left="440" w:top="117" w:right="439" w:bottom="1440" w:gutter="0" w:footer="0" w:header="0"/>
        </w:sectPr>
      </w:pPr>
    </w:p>
    <w:bookmarkStart w:id="130" w:name="page131"/>
    <w:bookmarkEnd w:id="130"/>
    <w:p>
      <w:pPr>
        <w:ind w:left="10124"/>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Calculation of Filing Fee Tables</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Tarsus Pharmaceuticals,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30"/>
        </w:trPr>
        <w:tc>
          <w:tcPr>
            <w:tcW w:w="1460" w:type="dxa"/>
            <w:vAlign w:val="bottom"/>
            <w:tcBorders>
              <w:top w:val="single" w:sz="8" w:color="auto"/>
              <w:left w:val="single" w:sz="8" w:color="auto"/>
              <w:right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spacing w:after="0"/>
              <w:rPr>
                <w:sz w:val="11"/>
                <w:szCs w:val="11"/>
                <w:color w:val="auto"/>
              </w:rPr>
            </w:pPr>
          </w:p>
        </w:tc>
        <w:tc>
          <w:tcPr>
            <w:tcW w:w="1400" w:type="dxa"/>
            <w:vAlign w:val="bottom"/>
            <w:tcBorders>
              <w:top w:val="single" w:sz="8" w:color="auto"/>
              <w:right w:val="single" w:sz="8" w:color="auto"/>
            </w:tcBorders>
          </w:tcPr>
          <w:p>
            <w:pPr>
              <w:spacing w:after="0"/>
              <w:rPr>
                <w:sz w:val="11"/>
                <w:szCs w:val="11"/>
                <w:color w:val="auto"/>
              </w:rPr>
            </w:pPr>
          </w:p>
        </w:tc>
        <w:tc>
          <w:tcPr>
            <w:tcW w:w="112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spacing w:after="0"/>
              <w:rPr>
                <w:sz w:val="11"/>
                <w:szCs w:val="11"/>
                <w:color w:val="auto"/>
              </w:rPr>
            </w:pPr>
          </w:p>
        </w:tc>
        <w:tc>
          <w:tcPr>
            <w:tcW w:w="460" w:type="dxa"/>
            <w:vAlign w:val="bottom"/>
            <w:tcBorders>
              <w:top w:val="single" w:sz="8" w:color="auto"/>
              <w:right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spacing w:after="0"/>
              <w:rPr>
                <w:sz w:val="11"/>
                <w:szCs w:val="11"/>
                <w:color w:val="auto"/>
              </w:rPr>
            </w:pPr>
          </w:p>
        </w:tc>
        <w:tc>
          <w:tcPr>
            <w:tcW w:w="640" w:type="dxa"/>
            <w:vAlign w:val="bottom"/>
            <w:tcBorders>
              <w:top w:val="single" w:sz="8" w:color="auto"/>
              <w:right w:val="single" w:sz="8" w:color="auto"/>
            </w:tcBorders>
          </w:tcPr>
          <w:p>
            <w:pPr>
              <w:spacing w:after="0"/>
              <w:rPr>
                <w:sz w:val="11"/>
                <w:szCs w:val="11"/>
                <w:color w:val="auto"/>
              </w:rPr>
            </w:pPr>
          </w:p>
        </w:tc>
        <w:tc>
          <w:tcPr>
            <w:tcW w:w="640" w:type="dxa"/>
            <w:vAlign w:val="bottom"/>
            <w:tcBorders>
              <w:top w:val="single" w:sz="8" w:color="auto"/>
              <w:right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spacing w:after="0"/>
              <w:rPr>
                <w:sz w:val="11"/>
                <w:szCs w:val="11"/>
                <w:color w:val="auto"/>
              </w:rPr>
            </w:pPr>
          </w:p>
        </w:tc>
        <w:tc>
          <w:tcPr>
            <w:tcW w:w="840" w:type="dxa"/>
            <w:vAlign w:val="bottom"/>
            <w:tcBorders>
              <w:top w:val="single" w:sz="8" w:color="auto"/>
              <w:right w:val="single" w:sz="8" w:color="auto"/>
            </w:tcBorders>
          </w:tcPr>
          <w:p>
            <w:pPr>
              <w:jc w:val="center"/>
              <w:ind w:left="47"/>
              <w:spacing w:after="0" w:line="131" w:lineRule="exact"/>
              <w:rPr>
                <w:sz w:val="20"/>
                <w:szCs w:val="20"/>
                <w:color w:val="auto"/>
              </w:rPr>
            </w:pPr>
            <w:r>
              <w:rPr>
                <w:rFonts w:ascii="Times New Roman" w:cs="Times New Roman" w:eastAsia="Times New Roman" w:hAnsi="Times New Roman"/>
                <w:sz w:val="13"/>
                <w:szCs w:val="13"/>
                <w:color w:val="auto"/>
                <w:w w:val="97"/>
              </w:rPr>
              <w:t>Filing Fee</w:t>
            </w:r>
          </w:p>
        </w:tc>
      </w:tr>
      <w:tr>
        <w:trPr>
          <w:trHeight w:val="135"/>
        </w:trPr>
        <w:tc>
          <w:tcPr>
            <w:tcW w:w="146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ind w:left="67"/>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r>
      <w:tr>
        <w:trPr>
          <w:trHeight w:val="135"/>
        </w:trPr>
        <w:tc>
          <w:tcPr>
            <w:tcW w:w="146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ind w:left="47"/>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r>
      <w:tr>
        <w:trPr>
          <w:trHeight w:val="135"/>
        </w:trPr>
        <w:tc>
          <w:tcPr>
            <w:tcW w:w="146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ind w:left="67"/>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r>
      <w:tr>
        <w:trPr>
          <w:trHeight w:val="135"/>
        </w:trPr>
        <w:tc>
          <w:tcPr>
            <w:tcW w:w="146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ind w:left="67"/>
              <w:spacing w:after="0" w:line="135" w:lineRule="exact"/>
              <w:rPr>
                <w:sz w:val="20"/>
                <w:szCs w:val="20"/>
                <w:color w:val="auto"/>
              </w:rPr>
            </w:pPr>
            <w:r>
              <w:rPr>
                <w:rFonts w:ascii="Times New Roman" w:cs="Times New Roman" w:eastAsia="Times New Roman" w:hAnsi="Times New Roman"/>
                <w:sz w:val="13"/>
                <w:szCs w:val="13"/>
                <w:color w:val="auto"/>
                <w:w w:val="94"/>
              </w:rPr>
              <w:t>with</w:t>
            </w:r>
          </w:p>
        </w:tc>
      </w:tr>
      <w:tr>
        <w:trPr>
          <w:trHeight w:val="140"/>
        </w:trPr>
        <w:tc>
          <w:tcPr>
            <w:tcW w:w="146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ind w:left="95"/>
              <w:spacing w:after="0" w:line="140" w:lineRule="exact"/>
              <w:rPr>
                <w:sz w:val="20"/>
                <w:szCs w:val="20"/>
                <w:color w:val="auto"/>
              </w:rPr>
            </w:pPr>
            <w:r>
              <w:rPr>
                <w:rFonts w:ascii="Times New Roman" w:cs="Times New Roman" w:eastAsia="Times New Roman" w:hAnsi="Times New Roman"/>
                <w:sz w:val="13"/>
                <w:szCs w:val="13"/>
                <w:color w:val="auto"/>
                <w:w w:val="95"/>
              </w:rPr>
              <w:t>Fee</w:t>
            </w:r>
          </w:p>
        </w:tc>
        <w:tc>
          <w:tcPr>
            <w:tcW w:w="7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ind w:left="102"/>
              <w:spacing w:after="0" w:line="140" w:lineRule="exact"/>
              <w:rPr>
                <w:sz w:val="20"/>
                <w:szCs w:val="20"/>
                <w:color w:val="auto"/>
              </w:rPr>
            </w:pPr>
            <w:r>
              <w:rPr>
                <w:rFonts w:ascii="Times New Roman" w:cs="Times New Roman" w:eastAsia="Times New Roman" w:hAnsi="Times New Roman"/>
                <w:sz w:val="13"/>
                <w:szCs w:val="13"/>
                <w:color w:val="auto"/>
                <w:w w:val="94"/>
              </w:rPr>
              <w:t>Proposed</w:t>
            </w:r>
          </w:p>
        </w:tc>
        <w:tc>
          <w:tcPr>
            <w:tcW w:w="74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ind w:left="102"/>
              <w:spacing w:after="0" w:line="140" w:lineRule="exact"/>
              <w:rPr>
                <w:sz w:val="20"/>
                <w:szCs w:val="20"/>
                <w:color w:val="auto"/>
              </w:rPr>
            </w:pPr>
            <w:r>
              <w:rPr>
                <w:rFonts w:ascii="Times New Roman" w:cs="Times New Roman" w:eastAsia="Times New Roman" w:hAnsi="Times New Roman"/>
                <w:sz w:val="13"/>
                <w:szCs w:val="13"/>
                <w:color w:val="auto"/>
                <w:w w:val="94"/>
              </w:rPr>
              <w:t>Carry</w:t>
            </w:r>
          </w:p>
        </w:tc>
        <w:tc>
          <w:tcPr>
            <w:tcW w:w="840" w:type="dxa"/>
            <w:vAlign w:val="bottom"/>
            <w:tcBorders>
              <w:right w:val="single" w:sz="8" w:color="auto"/>
            </w:tcBorders>
          </w:tcPr>
          <w:p>
            <w:pPr>
              <w:jc w:val="center"/>
              <w:ind w:left="47"/>
              <w:spacing w:after="0" w:line="140" w:lineRule="exact"/>
              <w:rPr>
                <w:sz w:val="20"/>
                <w:szCs w:val="20"/>
                <w:color w:val="auto"/>
              </w:rPr>
            </w:pPr>
            <w:r>
              <w:rPr>
                <w:rFonts w:ascii="Times New Roman" w:cs="Times New Roman" w:eastAsia="Times New Roman" w:hAnsi="Times New Roman"/>
                <w:sz w:val="13"/>
                <w:szCs w:val="13"/>
                <w:color w:val="auto"/>
                <w:w w:val="95"/>
              </w:rPr>
              <w:t>Unsold</w:t>
            </w:r>
          </w:p>
        </w:tc>
      </w:tr>
      <w:tr>
        <w:trPr>
          <w:trHeight w:val="135"/>
        </w:trPr>
        <w:tc>
          <w:tcPr>
            <w:tcW w:w="146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center"/>
              <w:ind w:left="95"/>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ind w:left="102"/>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740" w:type="dxa"/>
            <w:vAlign w:val="bottom"/>
            <w:tcBorders>
              <w:right w:val="single" w:sz="8" w:color="auto"/>
            </w:tcBorders>
          </w:tcPr>
          <w:p>
            <w:pPr>
              <w:jc w:val="center"/>
              <w:ind w:left="80"/>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4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ind w:left="81"/>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640" w:type="dxa"/>
            <w:vAlign w:val="bottom"/>
            <w:tcBorders>
              <w:right w:val="single" w:sz="8" w:color="auto"/>
            </w:tcBorders>
          </w:tcPr>
          <w:p>
            <w:pPr>
              <w:jc w:val="center"/>
              <w:ind w:left="101"/>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700" w:type="dxa"/>
            <w:vAlign w:val="bottom"/>
            <w:tcBorders>
              <w:right w:val="single" w:sz="8" w:color="auto"/>
            </w:tcBorders>
          </w:tcPr>
          <w:p>
            <w:pPr>
              <w:jc w:val="center"/>
              <w:ind w:left="102"/>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840" w:type="dxa"/>
            <w:vAlign w:val="bottom"/>
            <w:tcBorders>
              <w:right w:val="single" w:sz="8" w:color="auto"/>
            </w:tcBorders>
          </w:tcPr>
          <w:p>
            <w:pPr>
              <w:jc w:val="center"/>
              <w:ind w:left="67"/>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r>
      <w:tr>
        <w:trPr>
          <w:trHeight w:val="135"/>
        </w:trPr>
        <w:tc>
          <w:tcPr>
            <w:tcW w:w="146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center"/>
              <w:ind w:left="75"/>
              <w:spacing w:after="0" w:line="135" w:lineRule="exact"/>
              <w:rPr>
                <w:sz w:val="20"/>
                <w:szCs w:val="20"/>
                <w:color w:val="auto"/>
              </w:rPr>
            </w:pPr>
            <w:r>
              <w:rPr>
                <w:rFonts w:ascii="Times New Roman" w:cs="Times New Roman" w:eastAsia="Times New Roman" w:hAnsi="Times New Roman"/>
                <w:sz w:val="13"/>
                <w:szCs w:val="13"/>
                <w:color w:val="auto"/>
              </w:rPr>
              <w:t>or Carry</w:t>
            </w:r>
          </w:p>
        </w:tc>
        <w:tc>
          <w:tcPr>
            <w:tcW w:w="7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ind w:left="102"/>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740" w:type="dxa"/>
            <w:vAlign w:val="bottom"/>
            <w:tcBorders>
              <w:right w:val="single" w:sz="8" w:color="auto"/>
            </w:tcBorders>
          </w:tcPr>
          <w:p>
            <w:pPr>
              <w:jc w:val="center"/>
              <w:ind w:left="80"/>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46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ind w:left="76"/>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640" w:type="dxa"/>
            <w:vAlign w:val="bottom"/>
            <w:tcBorders>
              <w:right w:val="single" w:sz="8" w:color="auto"/>
            </w:tcBorders>
          </w:tcPr>
          <w:p>
            <w:pPr>
              <w:jc w:val="center"/>
              <w:ind w:left="81"/>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640" w:type="dxa"/>
            <w:vAlign w:val="bottom"/>
            <w:tcBorders>
              <w:right w:val="single" w:sz="8" w:color="auto"/>
            </w:tcBorders>
          </w:tcPr>
          <w:p>
            <w:pPr>
              <w:jc w:val="center"/>
              <w:ind w:left="101"/>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700" w:type="dxa"/>
            <w:vAlign w:val="bottom"/>
            <w:tcBorders>
              <w:right w:val="single" w:sz="8" w:color="auto"/>
            </w:tcBorders>
          </w:tcPr>
          <w:p>
            <w:pPr>
              <w:jc w:val="center"/>
              <w:ind w:left="82"/>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840" w:type="dxa"/>
            <w:vAlign w:val="bottom"/>
            <w:tcBorders>
              <w:right w:val="single" w:sz="8" w:color="auto"/>
            </w:tcBorders>
          </w:tcPr>
          <w:p>
            <w:pPr>
              <w:jc w:val="center"/>
              <w:ind w:left="47"/>
              <w:spacing w:after="0" w:line="135" w:lineRule="exact"/>
              <w:rPr>
                <w:sz w:val="20"/>
                <w:szCs w:val="20"/>
                <w:color w:val="auto"/>
              </w:rPr>
            </w:pPr>
            <w:r>
              <w:rPr>
                <w:rFonts w:ascii="Times New Roman" w:cs="Times New Roman" w:eastAsia="Times New Roman" w:hAnsi="Times New Roman"/>
                <w:sz w:val="13"/>
                <w:szCs w:val="13"/>
                <w:color w:val="auto"/>
                <w:w w:val="93"/>
              </w:rPr>
              <w:t>to be</w:t>
            </w:r>
          </w:p>
        </w:tc>
      </w:tr>
      <w:tr>
        <w:trPr>
          <w:trHeight w:val="135"/>
        </w:trPr>
        <w:tc>
          <w:tcPr>
            <w:tcW w:w="146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jc w:val="center"/>
              <w:ind w:left="76"/>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400" w:type="dxa"/>
            <w:vAlign w:val="bottom"/>
            <w:tcBorders>
              <w:right w:val="single" w:sz="8" w:color="auto"/>
            </w:tcBorders>
          </w:tcPr>
          <w:p>
            <w:pPr>
              <w:jc w:val="center"/>
              <w:ind w:left="74"/>
              <w:spacing w:after="0" w:line="135" w:lineRule="exact"/>
              <w:rPr>
                <w:sz w:val="20"/>
                <w:szCs w:val="20"/>
                <w:color w:val="auto"/>
              </w:rPr>
            </w:pPr>
            <w:r>
              <w:rPr>
                <w:rFonts w:ascii="Times New Roman" w:cs="Times New Roman" w:eastAsia="Times New Roman" w:hAnsi="Times New Roman"/>
                <w:sz w:val="13"/>
                <w:szCs w:val="13"/>
                <w:color w:val="auto"/>
                <w:w w:val="96"/>
              </w:rPr>
              <w:t>Security Class</w:t>
            </w:r>
          </w:p>
        </w:tc>
        <w:tc>
          <w:tcPr>
            <w:tcW w:w="1120" w:type="dxa"/>
            <w:vAlign w:val="bottom"/>
            <w:tcBorders>
              <w:right w:val="single" w:sz="8" w:color="auto"/>
            </w:tcBorders>
          </w:tcPr>
          <w:p>
            <w:pPr>
              <w:jc w:val="center"/>
              <w:ind w:left="75"/>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740" w:type="dxa"/>
            <w:vAlign w:val="bottom"/>
            <w:tcBorders>
              <w:right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760" w:type="dxa"/>
            <w:vAlign w:val="bottom"/>
            <w:tcBorders>
              <w:right w:val="single" w:sz="8" w:color="auto"/>
            </w:tcBorders>
          </w:tcPr>
          <w:p>
            <w:pPr>
              <w:jc w:val="center"/>
              <w:ind w:left="102"/>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740" w:type="dxa"/>
            <w:vAlign w:val="bottom"/>
            <w:tcBorders>
              <w:right w:val="single" w:sz="8" w:color="auto"/>
            </w:tcBorders>
          </w:tcPr>
          <w:p>
            <w:pPr>
              <w:jc w:val="center"/>
              <w:ind w:left="80"/>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460" w:type="dxa"/>
            <w:vAlign w:val="bottom"/>
            <w:tcBorders>
              <w:right w:val="single" w:sz="8" w:color="auto"/>
            </w:tcBorders>
          </w:tcPr>
          <w:p>
            <w:pPr>
              <w:jc w:val="center"/>
              <w:ind w:left="77"/>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40" w:type="dxa"/>
            <w:vAlign w:val="bottom"/>
            <w:tcBorders>
              <w:right w:val="single" w:sz="8" w:color="auto"/>
            </w:tcBorders>
          </w:tcPr>
          <w:p>
            <w:pPr>
              <w:jc w:val="center"/>
              <w:ind w:left="76"/>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c>
          <w:tcPr>
            <w:tcW w:w="640" w:type="dxa"/>
            <w:vAlign w:val="bottom"/>
            <w:tcBorders>
              <w:right w:val="single" w:sz="8" w:color="auto"/>
            </w:tcBorders>
          </w:tcPr>
          <w:p>
            <w:pPr>
              <w:jc w:val="center"/>
              <w:ind w:left="81"/>
              <w:spacing w:after="0" w:line="135" w:lineRule="exact"/>
              <w:rPr>
                <w:sz w:val="20"/>
                <w:szCs w:val="20"/>
                <w:color w:val="auto"/>
              </w:rPr>
            </w:pPr>
            <w:r>
              <w:rPr>
                <w:rFonts w:ascii="Times New Roman" w:cs="Times New Roman" w:eastAsia="Times New Roman" w:hAnsi="Times New Roman"/>
                <w:sz w:val="13"/>
                <w:szCs w:val="13"/>
                <w:color w:val="auto"/>
                <w:w w:val="99"/>
              </w:rPr>
              <w:t>Form</w:t>
            </w:r>
          </w:p>
        </w:tc>
        <w:tc>
          <w:tcPr>
            <w:tcW w:w="640" w:type="dxa"/>
            <w:vAlign w:val="bottom"/>
            <w:tcBorders>
              <w:right w:val="single" w:sz="8" w:color="auto"/>
            </w:tcBorders>
          </w:tcPr>
          <w:p>
            <w:pPr>
              <w:jc w:val="center"/>
              <w:ind w:left="101"/>
              <w:spacing w:after="0" w:line="135" w:lineRule="exact"/>
              <w:rPr>
                <w:sz w:val="20"/>
                <w:szCs w:val="20"/>
                <w:color w:val="auto"/>
              </w:rPr>
            </w:pPr>
            <w:r>
              <w:rPr>
                <w:rFonts w:ascii="Times New Roman" w:cs="Times New Roman" w:eastAsia="Times New Roman" w:hAnsi="Times New Roman"/>
                <w:sz w:val="13"/>
                <w:szCs w:val="13"/>
                <w:color w:val="auto"/>
                <w:w w:val="88"/>
              </w:rPr>
              <w:t>File</w:t>
            </w:r>
          </w:p>
        </w:tc>
        <w:tc>
          <w:tcPr>
            <w:tcW w:w="700" w:type="dxa"/>
            <w:vAlign w:val="bottom"/>
            <w:tcBorders>
              <w:right w:val="single" w:sz="8" w:color="auto"/>
            </w:tcBorders>
          </w:tcPr>
          <w:p>
            <w:pPr>
              <w:jc w:val="center"/>
              <w:ind w:left="82"/>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840" w:type="dxa"/>
            <w:vAlign w:val="bottom"/>
            <w:tcBorders>
              <w:right w:val="single" w:sz="8" w:color="auto"/>
            </w:tcBorders>
          </w:tcPr>
          <w:p>
            <w:pPr>
              <w:jc w:val="center"/>
              <w:ind w:left="67"/>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r>
      <w:tr>
        <w:trPr>
          <w:trHeight w:val="162"/>
        </w:trPr>
        <w:tc>
          <w:tcPr>
            <w:tcW w:w="146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center"/>
              <w:ind w:left="96"/>
              <w:spacing w:after="0"/>
              <w:rPr>
                <w:sz w:val="20"/>
                <w:szCs w:val="20"/>
                <w:color w:val="auto"/>
              </w:rPr>
            </w:pPr>
            <w:r>
              <w:rPr>
                <w:rFonts w:ascii="Times New Roman" w:cs="Times New Roman" w:eastAsia="Times New Roman" w:hAnsi="Times New Roman"/>
                <w:sz w:val="13"/>
                <w:szCs w:val="13"/>
                <w:color w:val="auto"/>
                <w:w w:val="89"/>
              </w:rPr>
              <w:t>Type</w:t>
            </w:r>
          </w:p>
        </w:tc>
        <w:tc>
          <w:tcPr>
            <w:tcW w:w="140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3"/>
                <w:szCs w:val="13"/>
                <w:color w:val="auto"/>
                <w:w w:val="97"/>
              </w:rPr>
              <w:t>Title</w:t>
            </w:r>
          </w:p>
        </w:tc>
        <w:tc>
          <w:tcPr>
            <w:tcW w:w="1120" w:type="dxa"/>
            <w:vAlign w:val="bottom"/>
            <w:tcBorders>
              <w:bottom w:val="single" w:sz="8" w:color="auto"/>
              <w:right w:val="single" w:sz="8" w:color="auto"/>
            </w:tcBorders>
          </w:tcPr>
          <w:p>
            <w:pPr>
              <w:jc w:val="center"/>
              <w:ind w:left="75"/>
              <w:spacing w:after="0"/>
              <w:rPr>
                <w:sz w:val="20"/>
                <w:szCs w:val="20"/>
                <w:color w:val="auto"/>
              </w:rPr>
            </w:pPr>
            <w:r>
              <w:rPr>
                <w:rFonts w:ascii="Times New Roman" w:cs="Times New Roman" w:eastAsia="Times New Roman" w:hAnsi="Times New Roman"/>
                <w:sz w:val="13"/>
                <w:szCs w:val="13"/>
                <w:color w:val="auto"/>
                <w:w w:val="97"/>
              </w:rPr>
              <w:t>Rule</w:t>
            </w: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Registered</w:t>
            </w:r>
          </w:p>
        </w:tc>
        <w:tc>
          <w:tcPr>
            <w:tcW w:w="760" w:type="dxa"/>
            <w:vAlign w:val="bottom"/>
            <w:tcBorders>
              <w:bottom w:val="single" w:sz="8" w:color="auto"/>
              <w:right w:val="single" w:sz="8" w:color="auto"/>
            </w:tcBorders>
          </w:tcPr>
          <w:p>
            <w:pPr>
              <w:jc w:val="center"/>
              <w:ind w:left="102"/>
              <w:spacing w:after="0"/>
              <w:rPr>
                <w:sz w:val="20"/>
                <w:szCs w:val="20"/>
                <w:color w:val="auto"/>
              </w:rPr>
            </w:pPr>
            <w:r>
              <w:rPr>
                <w:rFonts w:ascii="Times New Roman" w:cs="Times New Roman" w:eastAsia="Times New Roman" w:hAnsi="Times New Roman"/>
                <w:sz w:val="13"/>
                <w:szCs w:val="13"/>
                <w:color w:val="auto"/>
              </w:rPr>
              <w:t>Share</w:t>
            </w:r>
          </w:p>
        </w:tc>
        <w:tc>
          <w:tcPr>
            <w:tcW w:w="740" w:type="dxa"/>
            <w:vAlign w:val="bottom"/>
            <w:tcBorders>
              <w:bottom w:val="single" w:sz="8" w:color="auto"/>
              <w:right w:val="single" w:sz="8" w:color="auto"/>
            </w:tcBorders>
          </w:tcPr>
          <w:p>
            <w:pPr>
              <w:jc w:val="center"/>
              <w:ind w:left="80"/>
              <w:spacing w:after="0"/>
              <w:rPr>
                <w:sz w:val="20"/>
                <w:szCs w:val="20"/>
                <w:color w:val="auto"/>
              </w:rPr>
            </w:pPr>
            <w:r>
              <w:rPr>
                <w:rFonts w:ascii="Times New Roman" w:cs="Times New Roman" w:eastAsia="Times New Roman" w:hAnsi="Times New Roman"/>
                <w:sz w:val="13"/>
                <w:szCs w:val="13"/>
                <w:color w:val="auto"/>
                <w:w w:val="97"/>
              </w:rPr>
              <w:t>Price</w:t>
            </w:r>
          </w:p>
        </w:tc>
        <w:tc>
          <w:tcPr>
            <w:tcW w:w="460" w:type="dxa"/>
            <w:vAlign w:val="bottom"/>
            <w:tcBorders>
              <w:bottom w:val="single" w:sz="8" w:color="auto"/>
              <w:right w:val="single" w:sz="8" w:color="auto"/>
            </w:tcBorders>
          </w:tcPr>
          <w:p>
            <w:pPr>
              <w:jc w:val="center"/>
              <w:ind w:left="77"/>
              <w:spacing w:after="0"/>
              <w:rPr>
                <w:sz w:val="20"/>
                <w:szCs w:val="20"/>
                <w:color w:val="auto"/>
              </w:rPr>
            </w:pPr>
            <w:r>
              <w:rPr>
                <w:rFonts w:ascii="Times New Roman" w:cs="Times New Roman" w:eastAsia="Times New Roman" w:hAnsi="Times New Roman"/>
                <w:sz w:val="13"/>
                <w:szCs w:val="13"/>
                <w:color w:val="auto"/>
                <w:w w:val="92"/>
              </w:rPr>
              <w:t>Rate</w:t>
            </w:r>
          </w:p>
        </w:tc>
        <w:tc>
          <w:tcPr>
            <w:tcW w:w="840" w:type="dxa"/>
            <w:vAlign w:val="bottom"/>
            <w:tcBorders>
              <w:bottom w:val="single" w:sz="8" w:color="auto"/>
              <w:right w:val="single" w:sz="8" w:color="auto"/>
            </w:tcBorders>
          </w:tcPr>
          <w:p>
            <w:pPr>
              <w:jc w:val="center"/>
              <w:ind w:left="76"/>
              <w:spacing w:after="0"/>
              <w:rPr>
                <w:sz w:val="20"/>
                <w:szCs w:val="20"/>
                <w:color w:val="auto"/>
              </w:rPr>
            </w:pPr>
            <w:r>
              <w:rPr>
                <w:rFonts w:ascii="Times New Roman" w:cs="Times New Roman" w:eastAsia="Times New Roman" w:hAnsi="Times New Roman"/>
                <w:sz w:val="13"/>
                <w:szCs w:val="13"/>
                <w:color w:val="auto"/>
              </w:rPr>
              <w:t>Fee</w:t>
            </w:r>
          </w:p>
        </w:tc>
        <w:tc>
          <w:tcPr>
            <w:tcW w:w="640" w:type="dxa"/>
            <w:vAlign w:val="bottom"/>
            <w:tcBorders>
              <w:bottom w:val="single" w:sz="8" w:color="auto"/>
              <w:right w:val="single" w:sz="8" w:color="auto"/>
            </w:tcBorders>
          </w:tcPr>
          <w:p>
            <w:pPr>
              <w:jc w:val="center"/>
              <w:ind w:left="81"/>
              <w:spacing w:after="0"/>
              <w:rPr>
                <w:sz w:val="20"/>
                <w:szCs w:val="20"/>
                <w:color w:val="auto"/>
              </w:rPr>
            </w:pPr>
            <w:r>
              <w:rPr>
                <w:rFonts w:ascii="Times New Roman" w:cs="Times New Roman" w:eastAsia="Times New Roman" w:hAnsi="Times New Roman"/>
                <w:sz w:val="13"/>
                <w:szCs w:val="13"/>
                <w:color w:val="auto"/>
                <w:w w:val="89"/>
              </w:rPr>
              <w:t>Type</w:t>
            </w:r>
          </w:p>
        </w:tc>
        <w:tc>
          <w:tcPr>
            <w:tcW w:w="640" w:type="dxa"/>
            <w:vAlign w:val="bottom"/>
            <w:tcBorders>
              <w:bottom w:val="single" w:sz="8" w:color="auto"/>
              <w:right w:val="single" w:sz="8" w:color="auto"/>
            </w:tcBorders>
          </w:tcPr>
          <w:p>
            <w:pPr>
              <w:jc w:val="center"/>
              <w:ind w:left="101"/>
              <w:spacing w:after="0"/>
              <w:rPr>
                <w:sz w:val="20"/>
                <w:szCs w:val="20"/>
                <w:color w:val="auto"/>
              </w:rPr>
            </w:pPr>
            <w:r>
              <w:rPr>
                <w:rFonts w:ascii="Times New Roman" w:cs="Times New Roman" w:eastAsia="Times New Roman" w:hAnsi="Times New Roman"/>
                <w:sz w:val="13"/>
                <w:szCs w:val="13"/>
                <w:color w:val="auto"/>
                <w:w w:val="98"/>
              </w:rPr>
              <w:t>Number</w:t>
            </w:r>
          </w:p>
        </w:tc>
        <w:tc>
          <w:tcPr>
            <w:tcW w:w="700" w:type="dxa"/>
            <w:vAlign w:val="bottom"/>
            <w:tcBorders>
              <w:bottom w:val="single" w:sz="8" w:color="auto"/>
              <w:right w:val="single" w:sz="8" w:color="auto"/>
            </w:tcBorders>
          </w:tcPr>
          <w:p>
            <w:pPr>
              <w:jc w:val="center"/>
              <w:ind w:left="102"/>
              <w:spacing w:after="0"/>
              <w:rPr>
                <w:sz w:val="20"/>
                <w:szCs w:val="20"/>
                <w:color w:val="auto"/>
              </w:rPr>
            </w:pPr>
            <w:r>
              <w:rPr>
                <w:rFonts w:ascii="Times New Roman" w:cs="Times New Roman" w:eastAsia="Times New Roman" w:hAnsi="Times New Roman"/>
                <w:sz w:val="13"/>
                <w:szCs w:val="13"/>
                <w:color w:val="auto"/>
                <w:w w:val="97"/>
              </w:rPr>
              <w:t>Date</w:t>
            </w:r>
          </w:p>
        </w:tc>
        <w:tc>
          <w:tcPr>
            <w:tcW w:w="840" w:type="dxa"/>
            <w:vAlign w:val="bottom"/>
            <w:tcBorders>
              <w:bottom w:val="single" w:sz="8" w:color="auto"/>
              <w:right w:val="single" w:sz="8" w:color="auto"/>
            </w:tcBorders>
          </w:tcPr>
          <w:p>
            <w:pPr>
              <w:jc w:val="center"/>
              <w:ind w:left="67"/>
              <w:spacing w:after="0"/>
              <w:rPr>
                <w:sz w:val="20"/>
                <w:szCs w:val="20"/>
                <w:color w:val="auto"/>
              </w:rPr>
            </w:pPr>
            <w:r>
              <w:rPr>
                <w:rFonts w:ascii="Times New Roman" w:cs="Times New Roman" w:eastAsia="Times New Roman" w:hAnsi="Times New Roman"/>
                <w:sz w:val="13"/>
                <w:szCs w:val="13"/>
                <w:color w:val="auto"/>
                <w:w w:val="95"/>
              </w:rPr>
              <w:t>Forward</w:t>
            </w:r>
          </w:p>
        </w:tc>
      </w:tr>
      <w:tr>
        <w:trPr>
          <w:trHeight w:val="209"/>
        </w:trPr>
        <w:tc>
          <w:tcPr>
            <w:tcW w:w="1460" w:type="dxa"/>
            <w:vAlign w:val="bottom"/>
            <w:tcBorders>
              <w:left w:val="single" w:sz="8" w:color="auto"/>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center"/>
              <w:ind w:left="555"/>
              <w:spacing w:after="0"/>
              <w:rPr>
                <w:sz w:val="20"/>
                <w:szCs w:val="20"/>
                <w:color w:val="auto"/>
              </w:rPr>
            </w:pPr>
            <w:r>
              <w:rPr>
                <w:rFonts w:ascii="Times New Roman" w:cs="Times New Roman" w:eastAsia="Times New Roman" w:hAnsi="Times New Roman"/>
                <w:sz w:val="18"/>
                <w:szCs w:val="18"/>
                <w:color w:val="auto"/>
                <w:w w:val="99"/>
              </w:rPr>
              <w:t>Newly Registered Securities</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191"/>
        </w:trPr>
        <w:tc>
          <w:tcPr>
            <w:tcW w:w="1460" w:type="dxa"/>
            <w:vAlign w:val="bottom"/>
            <w:tcBorders>
              <w:left w:val="single" w:sz="8" w:color="auto"/>
              <w:right w:val="single" w:sz="8" w:color="auto"/>
            </w:tcBorders>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w w:val="98"/>
              </w:rPr>
              <w:t>Fees to be</w:t>
            </w:r>
          </w:p>
        </w:tc>
        <w:tc>
          <w:tcPr>
            <w:tcW w:w="7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jc w:val="center"/>
              <w:ind w:left="94"/>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1120" w:type="dxa"/>
            <w:vAlign w:val="bottom"/>
            <w:tcBorders>
              <w:right w:val="single" w:sz="8" w:color="auto"/>
            </w:tcBorders>
          </w:tcPr>
          <w:p>
            <w:pPr>
              <w:jc w:val="center"/>
              <w:ind w:left="55"/>
              <w:spacing w:after="0" w:line="191" w:lineRule="exact"/>
              <w:rPr>
                <w:sz w:val="20"/>
                <w:szCs w:val="20"/>
                <w:color w:val="auto"/>
              </w:rPr>
            </w:pPr>
            <w:r>
              <w:rPr>
                <w:rFonts w:ascii="Times New Roman" w:cs="Times New Roman" w:eastAsia="Times New Roman" w:hAnsi="Times New Roman"/>
                <w:sz w:val="18"/>
                <w:szCs w:val="18"/>
                <w:color w:val="auto"/>
                <w:w w:val="99"/>
              </w:rPr>
              <w:t>Rule 456(b)</w:t>
            </w:r>
          </w:p>
        </w:tc>
        <w:tc>
          <w:tcPr>
            <w:tcW w:w="7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216"/>
        </w:trPr>
        <w:tc>
          <w:tcPr>
            <w:tcW w:w="14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Paid</w:t>
            </w:r>
          </w:p>
        </w:tc>
        <w:tc>
          <w:tcPr>
            <w:tcW w:w="7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ind w:left="94"/>
              <w:spacing w:after="0"/>
              <w:rPr>
                <w:sz w:val="20"/>
                <w:szCs w:val="20"/>
                <w:color w:val="auto"/>
              </w:rPr>
            </w:pPr>
            <w:r>
              <w:rPr>
                <w:rFonts w:ascii="Times New Roman" w:cs="Times New Roman" w:eastAsia="Times New Roman" w:hAnsi="Times New Roman"/>
                <w:sz w:val="18"/>
                <w:szCs w:val="18"/>
                <w:color w:val="auto"/>
                <w:w w:val="99"/>
              </w:rPr>
              <w:t>$0.0001 par</w:t>
            </w:r>
          </w:p>
        </w:tc>
        <w:tc>
          <w:tcPr>
            <w:tcW w:w="1120" w:type="dxa"/>
            <w:vAlign w:val="bottom"/>
            <w:tcBorders>
              <w:right w:val="single" w:sz="8" w:color="auto"/>
            </w:tcBorders>
          </w:tcPr>
          <w:p>
            <w:pPr>
              <w:jc w:val="center"/>
              <w:ind w:left="75"/>
              <w:spacing w:after="0"/>
              <w:rPr>
                <w:sz w:val="20"/>
                <w:szCs w:val="20"/>
                <w:color w:val="auto"/>
              </w:rPr>
            </w:pPr>
            <w:r>
              <w:rPr>
                <w:rFonts w:ascii="Times New Roman" w:cs="Times New Roman" w:eastAsia="Times New Roman" w:hAnsi="Times New Roman"/>
                <w:sz w:val="18"/>
                <w:szCs w:val="18"/>
                <w:color w:val="auto"/>
                <w:w w:val="99"/>
              </w:rPr>
              <w:t>and Rule</w:t>
            </w: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34"/>
        </w:trPr>
        <w:tc>
          <w:tcPr>
            <w:tcW w:w="146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ind w:left="96"/>
              <w:spacing w:after="0"/>
              <w:rPr>
                <w:sz w:val="20"/>
                <w:szCs w:val="20"/>
                <w:color w:val="auto"/>
              </w:rPr>
            </w:pPr>
            <w:r>
              <w:rPr>
                <w:rFonts w:ascii="Times New Roman" w:cs="Times New Roman" w:eastAsia="Times New Roman" w:hAnsi="Times New Roman"/>
                <w:sz w:val="18"/>
                <w:szCs w:val="18"/>
                <w:color w:val="auto"/>
                <w:w w:val="99"/>
              </w:rPr>
              <w:t>Equity</w:t>
            </w:r>
          </w:p>
        </w:tc>
        <w:tc>
          <w:tcPr>
            <w:tcW w:w="1400" w:type="dxa"/>
            <w:vAlign w:val="bottom"/>
            <w:tcBorders>
              <w:bottom w:val="single" w:sz="8" w:color="auto"/>
              <w:right w:val="single" w:sz="8" w:color="auto"/>
            </w:tcBorders>
          </w:tcPr>
          <w:p>
            <w:pPr>
              <w:jc w:val="center"/>
              <w:ind w:left="94"/>
              <w:spacing w:after="0"/>
              <w:rPr>
                <w:sz w:val="20"/>
                <w:szCs w:val="20"/>
                <w:color w:val="auto"/>
              </w:rPr>
            </w:pPr>
            <w:r>
              <w:rPr>
                <w:rFonts w:ascii="Times New Roman" w:cs="Times New Roman" w:eastAsia="Times New Roman" w:hAnsi="Times New Roman"/>
                <w:sz w:val="18"/>
                <w:szCs w:val="18"/>
                <w:color w:val="auto"/>
              </w:rPr>
              <w:t>value per share</w:t>
            </w:r>
          </w:p>
        </w:tc>
        <w:tc>
          <w:tcPr>
            <w:tcW w:w="1120" w:type="dxa"/>
            <w:vAlign w:val="bottom"/>
            <w:tcBorders>
              <w:bottom w:val="single" w:sz="8" w:color="auto"/>
              <w:right w:val="single" w:sz="8" w:color="auto"/>
            </w:tcBorders>
          </w:tcPr>
          <w:p>
            <w:pPr>
              <w:jc w:val="center"/>
              <w:ind w:left="75"/>
              <w:spacing w:after="0"/>
              <w:rPr>
                <w:sz w:val="20"/>
                <w:szCs w:val="20"/>
                <w:color w:val="auto"/>
              </w:rPr>
            </w:pPr>
            <w:r>
              <w:rPr>
                <w:rFonts w:ascii="Times New Roman" w:cs="Times New Roman" w:eastAsia="Times New Roman" w:hAnsi="Times New Roman"/>
                <w:sz w:val="18"/>
                <w:szCs w:val="18"/>
                <w:color w:val="auto"/>
              </w:rPr>
              <w:t>457(r) (1)</w:t>
            </w:r>
          </w:p>
        </w:tc>
        <w:tc>
          <w:tcPr>
            <w:tcW w:w="740" w:type="dxa"/>
            <w:vAlign w:val="bottom"/>
            <w:tcBorders>
              <w:bottom w:val="single" w:sz="8" w:color="auto"/>
              <w:right w:val="single" w:sz="8" w:color="auto"/>
            </w:tcBorders>
          </w:tcPr>
          <w:p>
            <w:pPr>
              <w:jc w:val="center"/>
              <w:ind w:left="96"/>
              <w:spacing w:after="0"/>
              <w:rPr>
                <w:sz w:val="20"/>
                <w:szCs w:val="20"/>
                <w:color w:val="auto"/>
              </w:rPr>
            </w:pPr>
            <w:r>
              <w:rPr>
                <w:rFonts w:ascii="Times New Roman" w:cs="Times New Roman" w:eastAsia="Times New Roman" w:hAnsi="Times New Roman"/>
                <w:sz w:val="18"/>
                <w:szCs w:val="18"/>
                <w:color w:val="auto"/>
                <w:w w:val="95"/>
              </w:rPr>
              <w:t>(2)</w:t>
            </w:r>
          </w:p>
        </w:tc>
        <w:tc>
          <w:tcPr>
            <w:tcW w:w="760" w:type="dxa"/>
            <w:vAlign w:val="bottom"/>
            <w:tcBorders>
              <w:bottom w:val="single" w:sz="8" w:color="auto"/>
              <w:right w:val="single" w:sz="8" w:color="auto"/>
            </w:tcBorders>
          </w:tcPr>
          <w:p>
            <w:pPr>
              <w:jc w:val="center"/>
              <w:ind w:left="102"/>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right w:val="single" w:sz="8" w:color="auto"/>
            </w:tcBorders>
          </w:tcPr>
          <w:p>
            <w:pPr>
              <w:jc w:val="center"/>
              <w:ind w:left="8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bottom w:val="single" w:sz="8" w:color="auto"/>
              <w:right w:val="single" w:sz="8" w:color="auto"/>
            </w:tcBorders>
          </w:tcPr>
          <w:p>
            <w:pPr>
              <w:jc w:val="center"/>
              <w:ind w:left="77"/>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Borders>
              <w:bottom w:val="single" w:sz="8" w:color="auto"/>
              <w:right w:val="single" w:sz="8" w:color="auto"/>
            </w:tcBorders>
          </w:tcPr>
          <w:p>
            <w:pPr>
              <w:jc w:val="center"/>
              <w:ind w:left="76"/>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ind w:left="101"/>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ind w:left="101"/>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ind w:left="82"/>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bottom w:val="single" w:sz="8" w:color="auto"/>
              <w:right w:val="single" w:sz="8" w:color="auto"/>
            </w:tcBorders>
          </w:tcPr>
          <w:p>
            <w:pPr>
              <w:jc w:val="center"/>
              <w:ind w:left="67"/>
              <w:spacing w:after="0"/>
              <w:rPr>
                <w:sz w:val="20"/>
                <w:szCs w:val="20"/>
                <w:color w:val="auto"/>
              </w:rPr>
            </w:pPr>
            <w:r>
              <w:rPr>
                <w:rFonts w:ascii="Times New Roman" w:cs="Times New Roman" w:eastAsia="Times New Roman" w:hAnsi="Times New Roman"/>
                <w:sz w:val="18"/>
                <w:szCs w:val="18"/>
                <w:color w:val="auto"/>
                <w:w w:val="99"/>
              </w:rPr>
              <w:t>—</w:t>
            </w:r>
          </w:p>
        </w:tc>
      </w:tr>
      <w:tr>
        <w:trPr>
          <w:trHeight w:val="191"/>
        </w:trPr>
        <w:tc>
          <w:tcPr>
            <w:tcW w:w="1460" w:type="dxa"/>
            <w:vAlign w:val="bottom"/>
            <w:tcBorders>
              <w:left w:val="single" w:sz="8" w:color="auto"/>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jc w:val="center"/>
              <w:ind w:left="94"/>
              <w:spacing w:after="0" w:line="191" w:lineRule="exact"/>
              <w:rPr>
                <w:sz w:val="20"/>
                <w:szCs w:val="20"/>
                <w:color w:val="auto"/>
              </w:rPr>
            </w:pPr>
            <w:r>
              <w:rPr>
                <w:rFonts w:ascii="Times New Roman" w:cs="Times New Roman" w:eastAsia="Times New Roman" w:hAnsi="Times New Roman"/>
                <w:sz w:val="18"/>
                <w:szCs w:val="18"/>
                <w:color w:val="auto"/>
              </w:rPr>
              <w:t>Preferred Stock,</w:t>
            </w:r>
          </w:p>
        </w:tc>
        <w:tc>
          <w:tcPr>
            <w:tcW w:w="1120" w:type="dxa"/>
            <w:vAlign w:val="bottom"/>
            <w:tcBorders>
              <w:right w:val="single" w:sz="8" w:color="auto"/>
            </w:tcBorders>
          </w:tcPr>
          <w:p>
            <w:pPr>
              <w:jc w:val="center"/>
              <w:ind w:left="55"/>
              <w:spacing w:after="0" w:line="191" w:lineRule="exact"/>
              <w:rPr>
                <w:sz w:val="20"/>
                <w:szCs w:val="20"/>
                <w:color w:val="auto"/>
              </w:rPr>
            </w:pPr>
            <w:r>
              <w:rPr>
                <w:rFonts w:ascii="Times New Roman" w:cs="Times New Roman" w:eastAsia="Times New Roman" w:hAnsi="Times New Roman"/>
                <w:sz w:val="18"/>
                <w:szCs w:val="18"/>
                <w:color w:val="auto"/>
                <w:w w:val="99"/>
              </w:rPr>
              <w:t>Rule 456(b)</w:t>
            </w:r>
          </w:p>
        </w:tc>
        <w:tc>
          <w:tcPr>
            <w:tcW w:w="7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ind w:left="94"/>
              <w:spacing w:after="0"/>
              <w:rPr>
                <w:sz w:val="20"/>
                <w:szCs w:val="20"/>
                <w:color w:val="auto"/>
              </w:rPr>
            </w:pPr>
            <w:r>
              <w:rPr>
                <w:rFonts w:ascii="Times New Roman" w:cs="Times New Roman" w:eastAsia="Times New Roman" w:hAnsi="Times New Roman"/>
                <w:sz w:val="18"/>
                <w:szCs w:val="18"/>
                <w:color w:val="auto"/>
                <w:w w:val="99"/>
              </w:rPr>
              <w:t>$0.0001 par</w:t>
            </w:r>
          </w:p>
        </w:tc>
        <w:tc>
          <w:tcPr>
            <w:tcW w:w="1120" w:type="dxa"/>
            <w:vAlign w:val="bottom"/>
            <w:tcBorders>
              <w:right w:val="single" w:sz="8" w:color="auto"/>
            </w:tcBorders>
          </w:tcPr>
          <w:p>
            <w:pPr>
              <w:jc w:val="center"/>
              <w:ind w:left="75"/>
              <w:spacing w:after="0"/>
              <w:rPr>
                <w:sz w:val="20"/>
                <w:szCs w:val="20"/>
                <w:color w:val="auto"/>
              </w:rPr>
            </w:pPr>
            <w:r>
              <w:rPr>
                <w:rFonts w:ascii="Times New Roman" w:cs="Times New Roman" w:eastAsia="Times New Roman" w:hAnsi="Times New Roman"/>
                <w:sz w:val="18"/>
                <w:szCs w:val="18"/>
                <w:color w:val="auto"/>
                <w:w w:val="99"/>
              </w:rPr>
              <w:t>and Rule</w:t>
            </w: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34"/>
        </w:trPr>
        <w:tc>
          <w:tcPr>
            <w:tcW w:w="146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ind w:left="96"/>
              <w:spacing w:after="0"/>
              <w:rPr>
                <w:sz w:val="20"/>
                <w:szCs w:val="20"/>
                <w:color w:val="auto"/>
              </w:rPr>
            </w:pPr>
            <w:r>
              <w:rPr>
                <w:rFonts w:ascii="Times New Roman" w:cs="Times New Roman" w:eastAsia="Times New Roman" w:hAnsi="Times New Roman"/>
                <w:sz w:val="18"/>
                <w:szCs w:val="18"/>
                <w:color w:val="auto"/>
                <w:w w:val="99"/>
              </w:rPr>
              <w:t>Equity</w:t>
            </w:r>
          </w:p>
        </w:tc>
        <w:tc>
          <w:tcPr>
            <w:tcW w:w="1400" w:type="dxa"/>
            <w:vAlign w:val="bottom"/>
            <w:tcBorders>
              <w:bottom w:val="single" w:sz="8" w:color="auto"/>
              <w:right w:val="single" w:sz="8" w:color="auto"/>
            </w:tcBorders>
          </w:tcPr>
          <w:p>
            <w:pPr>
              <w:jc w:val="center"/>
              <w:ind w:left="94"/>
              <w:spacing w:after="0"/>
              <w:rPr>
                <w:sz w:val="20"/>
                <w:szCs w:val="20"/>
                <w:color w:val="auto"/>
              </w:rPr>
            </w:pPr>
            <w:r>
              <w:rPr>
                <w:rFonts w:ascii="Times New Roman" w:cs="Times New Roman" w:eastAsia="Times New Roman" w:hAnsi="Times New Roman"/>
                <w:sz w:val="18"/>
                <w:szCs w:val="18"/>
                <w:color w:val="auto"/>
              </w:rPr>
              <w:t>value per share</w:t>
            </w:r>
          </w:p>
        </w:tc>
        <w:tc>
          <w:tcPr>
            <w:tcW w:w="1120" w:type="dxa"/>
            <w:vAlign w:val="bottom"/>
            <w:tcBorders>
              <w:bottom w:val="single" w:sz="8" w:color="auto"/>
              <w:right w:val="single" w:sz="8" w:color="auto"/>
            </w:tcBorders>
          </w:tcPr>
          <w:p>
            <w:pPr>
              <w:jc w:val="center"/>
              <w:ind w:left="75"/>
              <w:spacing w:after="0"/>
              <w:rPr>
                <w:sz w:val="20"/>
                <w:szCs w:val="20"/>
                <w:color w:val="auto"/>
              </w:rPr>
            </w:pPr>
            <w:r>
              <w:rPr>
                <w:rFonts w:ascii="Times New Roman" w:cs="Times New Roman" w:eastAsia="Times New Roman" w:hAnsi="Times New Roman"/>
                <w:sz w:val="18"/>
                <w:szCs w:val="18"/>
                <w:color w:val="auto"/>
              </w:rPr>
              <w:t>457(r) (1)</w:t>
            </w:r>
          </w:p>
        </w:tc>
        <w:tc>
          <w:tcPr>
            <w:tcW w:w="740" w:type="dxa"/>
            <w:vAlign w:val="bottom"/>
            <w:tcBorders>
              <w:bottom w:val="single" w:sz="8" w:color="auto"/>
              <w:right w:val="single" w:sz="8" w:color="auto"/>
            </w:tcBorders>
          </w:tcPr>
          <w:p>
            <w:pPr>
              <w:jc w:val="center"/>
              <w:ind w:left="96"/>
              <w:spacing w:after="0"/>
              <w:rPr>
                <w:sz w:val="20"/>
                <w:szCs w:val="20"/>
                <w:color w:val="auto"/>
              </w:rPr>
            </w:pPr>
            <w:r>
              <w:rPr>
                <w:rFonts w:ascii="Times New Roman" w:cs="Times New Roman" w:eastAsia="Times New Roman" w:hAnsi="Times New Roman"/>
                <w:sz w:val="18"/>
                <w:szCs w:val="18"/>
                <w:color w:val="auto"/>
                <w:w w:val="95"/>
              </w:rPr>
              <w:t>(2)</w:t>
            </w:r>
          </w:p>
        </w:tc>
        <w:tc>
          <w:tcPr>
            <w:tcW w:w="760" w:type="dxa"/>
            <w:vAlign w:val="bottom"/>
            <w:tcBorders>
              <w:bottom w:val="single" w:sz="8" w:color="auto"/>
              <w:right w:val="single" w:sz="8" w:color="auto"/>
            </w:tcBorders>
          </w:tcPr>
          <w:p>
            <w:pPr>
              <w:jc w:val="center"/>
              <w:ind w:left="102"/>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right w:val="single" w:sz="8" w:color="auto"/>
            </w:tcBorders>
          </w:tcPr>
          <w:p>
            <w:pPr>
              <w:jc w:val="center"/>
              <w:ind w:left="8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bottom w:val="single" w:sz="8" w:color="auto"/>
              <w:right w:val="single" w:sz="8" w:color="auto"/>
            </w:tcBorders>
          </w:tcPr>
          <w:p>
            <w:pPr>
              <w:jc w:val="center"/>
              <w:ind w:left="77"/>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Borders>
              <w:bottom w:val="single" w:sz="8" w:color="auto"/>
              <w:right w:val="single" w:sz="8" w:color="auto"/>
            </w:tcBorders>
          </w:tcPr>
          <w:p>
            <w:pPr>
              <w:jc w:val="center"/>
              <w:ind w:left="76"/>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ind w:left="101"/>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ind w:left="101"/>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ind w:left="82"/>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bottom w:val="single" w:sz="8" w:color="auto"/>
              <w:right w:val="single" w:sz="8" w:color="auto"/>
            </w:tcBorders>
          </w:tcPr>
          <w:p>
            <w:pPr>
              <w:jc w:val="center"/>
              <w:ind w:left="67"/>
              <w:spacing w:after="0"/>
              <w:rPr>
                <w:sz w:val="20"/>
                <w:szCs w:val="20"/>
                <w:color w:val="auto"/>
              </w:rPr>
            </w:pPr>
            <w:r>
              <w:rPr>
                <w:rFonts w:ascii="Times New Roman" w:cs="Times New Roman" w:eastAsia="Times New Roman" w:hAnsi="Times New Roman"/>
                <w:sz w:val="18"/>
                <w:szCs w:val="18"/>
                <w:color w:val="auto"/>
                <w:w w:val="99"/>
              </w:rPr>
              <w:t>—</w:t>
            </w:r>
          </w:p>
        </w:tc>
      </w:tr>
      <w:tr>
        <w:trPr>
          <w:trHeight w:val="191"/>
        </w:trPr>
        <w:tc>
          <w:tcPr>
            <w:tcW w:w="1460" w:type="dxa"/>
            <w:vAlign w:val="bottom"/>
            <w:tcBorders>
              <w:left w:val="single" w:sz="8" w:color="auto"/>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ind w:left="55"/>
              <w:spacing w:after="0" w:line="191" w:lineRule="exact"/>
              <w:rPr>
                <w:sz w:val="20"/>
                <w:szCs w:val="20"/>
                <w:color w:val="auto"/>
              </w:rPr>
            </w:pPr>
            <w:r>
              <w:rPr>
                <w:rFonts w:ascii="Times New Roman" w:cs="Times New Roman" w:eastAsia="Times New Roman" w:hAnsi="Times New Roman"/>
                <w:sz w:val="18"/>
                <w:szCs w:val="18"/>
                <w:color w:val="auto"/>
                <w:w w:val="99"/>
              </w:rPr>
              <w:t>Rule 456(b)</w:t>
            </w:r>
          </w:p>
        </w:tc>
        <w:tc>
          <w:tcPr>
            <w:tcW w:w="7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ind w:left="75"/>
              <w:spacing w:after="0"/>
              <w:rPr>
                <w:sz w:val="20"/>
                <w:szCs w:val="20"/>
                <w:color w:val="auto"/>
              </w:rPr>
            </w:pPr>
            <w:r>
              <w:rPr>
                <w:rFonts w:ascii="Times New Roman" w:cs="Times New Roman" w:eastAsia="Times New Roman" w:hAnsi="Times New Roman"/>
                <w:sz w:val="18"/>
                <w:szCs w:val="18"/>
                <w:color w:val="auto"/>
                <w:w w:val="99"/>
              </w:rPr>
              <w:t>and Rule</w:t>
            </w: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34"/>
        </w:trPr>
        <w:tc>
          <w:tcPr>
            <w:tcW w:w="146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ind w:left="96"/>
              <w:spacing w:after="0"/>
              <w:rPr>
                <w:sz w:val="20"/>
                <w:szCs w:val="20"/>
                <w:color w:val="auto"/>
              </w:rPr>
            </w:pPr>
            <w:r>
              <w:rPr>
                <w:rFonts w:ascii="Times New Roman" w:cs="Times New Roman" w:eastAsia="Times New Roman" w:hAnsi="Times New Roman"/>
                <w:sz w:val="18"/>
                <w:szCs w:val="18"/>
                <w:color w:val="auto"/>
              </w:rPr>
              <w:t>Debt</w:t>
            </w:r>
          </w:p>
        </w:tc>
        <w:tc>
          <w:tcPr>
            <w:tcW w:w="1400" w:type="dxa"/>
            <w:vAlign w:val="bottom"/>
            <w:tcBorders>
              <w:bottom w:val="single" w:sz="8" w:color="auto"/>
              <w:right w:val="single" w:sz="8" w:color="auto"/>
            </w:tcBorders>
          </w:tcPr>
          <w:p>
            <w:pPr>
              <w:jc w:val="center"/>
              <w:ind w:left="94"/>
              <w:spacing w:after="0"/>
              <w:rPr>
                <w:sz w:val="20"/>
                <w:szCs w:val="20"/>
                <w:color w:val="auto"/>
              </w:rPr>
            </w:pPr>
            <w:r>
              <w:rPr>
                <w:rFonts w:ascii="Times New Roman" w:cs="Times New Roman" w:eastAsia="Times New Roman" w:hAnsi="Times New Roman"/>
                <w:sz w:val="18"/>
                <w:szCs w:val="18"/>
                <w:color w:val="auto"/>
                <w:w w:val="99"/>
              </w:rPr>
              <w:t>Debt Securities</w:t>
            </w:r>
          </w:p>
        </w:tc>
        <w:tc>
          <w:tcPr>
            <w:tcW w:w="1120" w:type="dxa"/>
            <w:vAlign w:val="bottom"/>
            <w:tcBorders>
              <w:bottom w:val="single" w:sz="8" w:color="auto"/>
              <w:right w:val="single" w:sz="8" w:color="auto"/>
            </w:tcBorders>
          </w:tcPr>
          <w:p>
            <w:pPr>
              <w:jc w:val="center"/>
              <w:ind w:left="75"/>
              <w:spacing w:after="0"/>
              <w:rPr>
                <w:sz w:val="20"/>
                <w:szCs w:val="20"/>
                <w:color w:val="auto"/>
              </w:rPr>
            </w:pPr>
            <w:r>
              <w:rPr>
                <w:rFonts w:ascii="Times New Roman" w:cs="Times New Roman" w:eastAsia="Times New Roman" w:hAnsi="Times New Roman"/>
                <w:sz w:val="18"/>
                <w:szCs w:val="18"/>
                <w:color w:val="auto"/>
              </w:rPr>
              <w:t>457(r) (1)</w:t>
            </w:r>
          </w:p>
        </w:tc>
        <w:tc>
          <w:tcPr>
            <w:tcW w:w="740" w:type="dxa"/>
            <w:vAlign w:val="bottom"/>
            <w:tcBorders>
              <w:bottom w:val="single" w:sz="8" w:color="auto"/>
              <w:right w:val="single" w:sz="8" w:color="auto"/>
            </w:tcBorders>
          </w:tcPr>
          <w:p>
            <w:pPr>
              <w:jc w:val="center"/>
              <w:ind w:left="96"/>
              <w:spacing w:after="0"/>
              <w:rPr>
                <w:sz w:val="20"/>
                <w:szCs w:val="20"/>
                <w:color w:val="auto"/>
              </w:rPr>
            </w:pPr>
            <w:r>
              <w:rPr>
                <w:rFonts w:ascii="Times New Roman" w:cs="Times New Roman" w:eastAsia="Times New Roman" w:hAnsi="Times New Roman"/>
                <w:sz w:val="18"/>
                <w:szCs w:val="18"/>
                <w:color w:val="auto"/>
                <w:w w:val="95"/>
              </w:rPr>
              <w:t>(2)</w:t>
            </w:r>
          </w:p>
        </w:tc>
        <w:tc>
          <w:tcPr>
            <w:tcW w:w="760" w:type="dxa"/>
            <w:vAlign w:val="bottom"/>
            <w:tcBorders>
              <w:bottom w:val="single" w:sz="8" w:color="auto"/>
              <w:right w:val="single" w:sz="8" w:color="auto"/>
            </w:tcBorders>
          </w:tcPr>
          <w:p>
            <w:pPr>
              <w:jc w:val="center"/>
              <w:ind w:left="102"/>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right w:val="single" w:sz="8" w:color="auto"/>
            </w:tcBorders>
          </w:tcPr>
          <w:p>
            <w:pPr>
              <w:jc w:val="center"/>
              <w:ind w:left="8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bottom w:val="single" w:sz="8" w:color="auto"/>
              <w:right w:val="single" w:sz="8" w:color="auto"/>
            </w:tcBorders>
          </w:tcPr>
          <w:p>
            <w:pPr>
              <w:jc w:val="center"/>
              <w:ind w:left="77"/>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Borders>
              <w:bottom w:val="single" w:sz="8" w:color="auto"/>
              <w:right w:val="single" w:sz="8" w:color="auto"/>
            </w:tcBorders>
          </w:tcPr>
          <w:p>
            <w:pPr>
              <w:jc w:val="center"/>
              <w:ind w:left="76"/>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ind w:left="101"/>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ind w:left="101"/>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ind w:left="82"/>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bottom w:val="single" w:sz="8" w:color="auto"/>
              <w:right w:val="single" w:sz="8" w:color="auto"/>
            </w:tcBorders>
          </w:tcPr>
          <w:p>
            <w:pPr>
              <w:jc w:val="center"/>
              <w:ind w:left="67"/>
              <w:spacing w:after="0"/>
              <w:rPr>
                <w:sz w:val="20"/>
                <w:szCs w:val="20"/>
                <w:color w:val="auto"/>
              </w:rPr>
            </w:pPr>
            <w:r>
              <w:rPr>
                <w:rFonts w:ascii="Times New Roman" w:cs="Times New Roman" w:eastAsia="Times New Roman" w:hAnsi="Times New Roman"/>
                <w:sz w:val="18"/>
                <w:szCs w:val="18"/>
                <w:color w:val="auto"/>
                <w:w w:val="99"/>
              </w:rPr>
              <w:t>—</w:t>
            </w:r>
          </w:p>
        </w:tc>
      </w:tr>
      <w:tr>
        <w:trPr>
          <w:trHeight w:val="191"/>
        </w:trPr>
        <w:tc>
          <w:tcPr>
            <w:tcW w:w="1460" w:type="dxa"/>
            <w:vAlign w:val="bottom"/>
            <w:tcBorders>
              <w:left w:val="single" w:sz="8" w:color="auto"/>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ind w:left="55"/>
              <w:spacing w:after="0" w:line="191" w:lineRule="exact"/>
              <w:rPr>
                <w:sz w:val="20"/>
                <w:szCs w:val="20"/>
                <w:color w:val="auto"/>
              </w:rPr>
            </w:pPr>
            <w:r>
              <w:rPr>
                <w:rFonts w:ascii="Times New Roman" w:cs="Times New Roman" w:eastAsia="Times New Roman" w:hAnsi="Times New Roman"/>
                <w:sz w:val="18"/>
                <w:szCs w:val="18"/>
                <w:color w:val="auto"/>
                <w:w w:val="99"/>
              </w:rPr>
              <w:t>Rule 456(b)</w:t>
            </w:r>
          </w:p>
        </w:tc>
        <w:tc>
          <w:tcPr>
            <w:tcW w:w="7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ind w:left="75"/>
              <w:spacing w:after="0"/>
              <w:rPr>
                <w:sz w:val="20"/>
                <w:szCs w:val="20"/>
                <w:color w:val="auto"/>
              </w:rPr>
            </w:pPr>
            <w:r>
              <w:rPr>
                <w:rFonts w:ascii="Times New Roman" w:cs="Times New Roman" w:eastAsia="Times New Roman" w:hAnsi="Times New Roman"/>
                <w:sz w:val="18"/>
                <w:szCs w:val="18"/>
                <w:color w:val="auto"/>
                <w:w w:val="99"/>
              </w:rPr>
              <w:t>and Rule</w:t>
            </w: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34"/>
        </w:trPr>
        <w:tc>
          <w:tcPr>
            <w:tcW w:w="146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ind w:left="96"/>
              <w:spacing w:after="0"/>
              <w:rPr>
                <w:sz w:val="20"/>
                <w:szCs w:val="20"/>
                <w:color w:val="auto"/>
              </w:rPr>
            </w:pPr>
            <w:r>
              <w:rPr>
                <w:rFonts w:ascii="Times New Roman" w:cs="Times New Roman" w:eastAsia="Times New Roman" w:hAnsi="Times New Roman"/>
                <w:sz w:val="18"/>
                <w:szCs w:val="18"/>
                <w:color w:val="auto"/>
                <w:w w:val="97"/>
              </w:rPr>
              <w:t>Other</w:t>
            </w:r>
          </w:p>
        </w:tc>
        <w:tc>
          <w:tcPr>
            <w:tcW w:w="140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8"/>
                <w:szCs w:val="18"/>
                <w:color w:val="auto"/>
                <w:w w:val="96"/>
              </w:rPr>
              <w:t>Warrants</w:t>
            </w:r>
          </w:p>
        </w:tc>
        <w:tc>
          <w:tcPr>
            <w:tcW w:w="1120" w:type="dxa"/>
            <w:vAlign w:val="bottom"/>
            <w:tcBorders>
              <w:bottom w:val="single" w:sz="8" w:color="auto"/>
              <w:right w:val="single" w:sz="8" w:color="auto"/>
            </w:tcBorders>
          </w:tcPr>
          <w:p>
            <w:pPr>
              <w:jc w:val="center"/>
              <w:ind w:left="75"/>
              <w:spacing w:after="0"/>
              <w:rPr>
                <w:sz w:val="20"/>
                <w:szCs w:val="20"/>
                <w:color w:val="auto"/>
              </w:rPr>
            </w:pPr>
            <w:r>
              <w:rPr>
                <w:rFonts w:ascii="Times New Roman" w:cs="Times New Roman" w:eastAsia="Times New Roman" w:hAnsi="Times New Roman"/>
                <w:sz w:val="18"/>
                <w:szCs w:val="18"/>
                <w:color w:val="auto"/>
              </w:rPr>
              <w:t>457(r) (1)</w:t>
            </w:r>
          </w:p>
        </w:tc>
        <w:tc>
          <w:tcPr>
            <w:tcW w:w="740" w:type="dxa"/>
            <w:vAlign w:val="bottom"/>
            <w:tcBorders>
              <w:bottom w:val="single" w:sz="8" w:color="auto"/>
              <w:right w:val="single" w:sz="8" w:color="auto"/>
            </w:tcBorders>
          </w:tcPr>
          <w:p>
            <w:pPr>
              <w:jc w:val="center"/>
              <w:ind w:left="96"/>
              <w:spacing w:after="0"/>
              <w:rPr>
                <w:sz w:val="20"/>
                <w:szCs w:val="20"/>
                <w:color w:val="auto"/>
              </w:rPr>
            </w:pPr>
            <w:r>
              <w:rPr>
                <w:rFonts w:ascii="Times New Roman" w:cs="Times New Roman" w:eastAsia="Times New Roman" w:hAnsi="Times New Roman"/>
                <w:sz w:val="18"/>
                <w:szCs w:val="18"/>
                <w:color w:val="auto"/>
                <w:w w:val="95"/>
              </w:rPr>
              <w:t>(2)</w:t>
            </w:r>
          </w:p>
        </w:tc>
        <w:tc>
          <w:tcPr>
            <w:tcW w:w="760" w:type="dxa"/>
            <w:vAlign w:val="bottom"/>
            <w:tcBorders>
              <w:bottom w:val="single" w:sz="8" w:color="auto"/>
              <w:right w:val="single" w:sz="8" w:color="auto"/>
            </w:tcBorders>
          </w:tcPr>
          <w:p>
            <w:pPr>
              <w:jc w:val="center"/>
              <w:ind w:left="102"/>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right w:val="single" w:sz="8" w:color="auto"/>
            </w:tcBorders>
          </w:tcPr>
          <w:p>
            <w:pPr>
              <w:jc w:val="center"/>
              <w:ind w:left="8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bottom w:val="single" w:sz="8" w:color="auto"/>
              <w:right w:val="single" w:sz="8" w:color="auto"/>
            </w:tcBorders>
          </w:tcPr>
          <w:p>
            <w:pPr>
              <w:jc w:val="center"/>
              <w:ind w:left="77"/>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Borders>
              <w:bottom w:val="single" w:sz="8" w:color="auto"/>
              <w:right w:val="single" w:sz="8" w:color="auto"/>
            </w:tcBorders>
          </w:tcPr>
          <w:p>
            <w:pPr>
              <w:jc w:val="center"/>
              <w:ind w:left="76"/>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ind w:left="101"/>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ind w:left="101"/>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ind w:left="82"/>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bottom w:val="single" w:sz="8" w:color="auto"/>
              <w:right w:val="single" w:sz="8" w:color="auto"/>
            </w:tcBorders>
          </w:tcPr>
          <w:p>
            <w:pPr>
              <w:jc w:val="center"/>
              <w:ind w:left="67"/>
              <w:spacing w:after="0"/>
              <w:rPr>
                <w:sz w:val="20"/>
                <w:szCs w:val="20"/>
                <w:color w:val="auto"/>
              </w:rPr>
            </w:pPr>
            <w:r>
              <w:rPr>
                <w:rFonts w:ascii="Times New Roman" w:cs="Times New Roman" w:eastAsia="Times New Roman" w:hAnsi="Times New Roman"/>
                <w:sz w:val="18"/>
                <w:szCs w:val="18"/>
                <w:color w:val="auto"/>
                <w:w w:val="99"/>
              </w:rPr>
              <w:t>—</w:t>
            </w:r>
          </w:p>
        </w:tc>
      </w:tr>
      <w:tr>
        <w:trPr>
          <w:trHeight w:val="191"/>
        </w:trPr>
        <w:tc>
          <w:tcPr>
            <w:tcW w:w="1460" w:type="dxa"/>
            <w:vAlign w:val="bottom"/>
            <w:tcBorders>
              <w:left w:val="single" w:sz="8" w:color="auto"/>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ind w:left="55"/>
              <w:spacing w:after="0" w:line="191" w:lineRule="exact"/>
              <w:rPr>
                <w:sz w:val="20"/>
                <w:szCs w:val="20"/>
                <w:color w:val="auto"/>
              </w:rPr>
            </w:pPr>
            <w:r>
              <w:rPr>
                <w:rFonts w:ascii="Times New Roman" w:cs="Times New Roman" w:eastAsia="Times New Roman" w:hAnsi="Times New Roman"/>
                <w:sz w:val="18"/>
                <w:szCs w:val="18"/>
                <w:color w:val="auto"/>
                <w:w w:val="99"/>
              </w:rPr>
              <w:t>Rule 456(b)</w:t>
            </w:r>
          </w:p>
        </w:tc>
        <w:tc>
          <w:tcPr>
            <w:tcW w:w="7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ind w:left="75"/>
              <w:spacing w:after="0"/>
              <w:rPr>
                <w:sz w:val="20"/>
                <w:szCs w:val="20"/>
                <w:color w:val="auto"/>
              </w:rPr>
            </w:pPr>
            <w:r>
              <w:rPr>
                <w:rFonts w:ascii="Times New Roman" w:cs="Times New Roman" w:eastAsia="Times New Roman" w:hAnsi="Times New Roman"/>
                <w:sz w:val="18"/>
                <w:szCs w:val="18"/>
                <w:color w:val="auto"/>
                <w:w w:val="99"/>
              </w:rPr>
              <w:t>and Rule</w:t>
            </w: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34"/>
        </w:trPr>
        <w:tc>
          <w:tcPr>
            <w:tcW w:w="146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center"/>
              <w:ind w:left="96"/>
              <w:spacing w:after="0"/>
              <w:rPr>
                <w:sz w:val="20"/>
                <w:szCs w:val="20"/>
                <w:color w:val="auto"/>
              </w:rPr>
            </w:pPr>
            <w:r>
              <w:rPr>
                <w:rFonts w:ascii="Times New Roman" w:cs="Times New Roman" w:eastAsia="Times New Roman" w:hAnsi="Times New Roman"/>
                <w:sz w:val="18"/>
                <w:szCs w:val="18"/>
                <w:color w:val="auto"/>
                <w:w w:val="97"/>
              </w:rPr>
              <w:t>Other</w:t>
            </w:r>
          </w:p>
        </w:tc>
        <w:tc>
          <w:tcPr>
            <w:tcW w:w="140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8"/>
                <w:szCs w:val="18"/>
                <w:color w:val="auto"/>
                <w:w w:val="99"/>
              </w:rPr>
              <w:t>Units(3)</w:t>
            </w:r>
          </w:p>
        </w:tc>
        <w:tc>
          <w:tcPr>
            <w:tcW w:w="1120" w:type="dxa"/>
            <w:vAlign w:val="bottom"/>
            <w:tcBorders>
              <w:bottom w:val="single" w:sz="8" w:color="auto"/>
              <w:right w:val="single" w:sz="8" w:color="auto"/>
            </w:tcBorders>
          </w:tcPr>
          <w:p>
            <w:pPr>
              <w:jc w:val="center"/>
              <w:ind w:left="75"/>
              <w:spacing w:after="0"/>
              <w:rPr>
                <w:sz w:val="20"/>
                <w:szCs w:val="20"/>
                <w:color w:val="auto"/>
              </w:rPr>
            </w:pPr>
            <w:r>
              <w:rPr>
                <w:rFonts w:ascii="Times New Roman" w:cs="Times New Roman" w:eastAsia="Times New Roman" w:hAnsi="Times New Roman"/>
                <w:sz w:val="18"/>
                <w:szCs w:val="18"/>
                <w:color w:val="auto"/>
              </w:rPr>
              <w:t>457(r) (1)</w:t>
            </w:r>
          </w:p>
        </w:tc>
        <w:tc>
          <w:tcPr>
            <w:tcW w:w="740" w:type="dxa"/>
            <w:vAlign w:val="bottom"/>
            <w:tcBorders>
              <w:bottom w:val="single" w:sz="8" w:color="auto"/>
              <w:right w:val="single" w:sz="8" w:color="auto"/>
            </w:tcBorders>
          </w:tcPr>
          <w:p>
            <w:pPr>
              <w:jc w:val="center"/>
              <w:ind w:left="96"/>
              <w:spacing w:after="0"/>
              <w:rPr>
                <w:sz w:val="20"/>
                <w:szCs w:val="20"/>
                <w:color w:val="auto"/>
              </w:rPr>
            </w:pPr>
            <w:r>
              <w:rPr>
                <w:rFonts w:ascii="Times New Roman" w:cs="Times New Roman" w:eastAsia="Times New Roman" w:hAnsi="Times New Roman"/>
                <w:sz w:val="18"/>
                <w:szCs w:val="18"/>
                <w:color w:val="auto"/>
                <w:w w:val="95"/>
              </w:rPr>
              <w:t>(2)</w:t>
            </w:r>
          </w:p>
        </w:tc>
        <w:tc>
          <w:tcPr>
            <w:tcW w:w="760" w:type="dxa"/>
            <w:vAlign w:val="bottom"/>
            <w:tcBorders>
              <w:bottom w:val="single" w:sz="8" w:color="auto"/>
              <w:right w:val="single" w:sz="8" w:color="auto"/>
            </w:tcBorders>
          </w:tcPr>
          <w:p>
            <w:pPr>
              <w:jc w:val="center"/>
              <w:ind w:left="102"/>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right w:val="single" w:sz="8" w:color="auto"/>
            </w:tcBorders>
          </w:tcPr>
          <w:p>
            <w:pPr>
              <w:jc w:val="center"/>
              <w:ind w:left="8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bottom w:val="single" w:sz="8" w:color="auto"/>
              <w:right w:val="single" w:sz="8" w:color="auto"/>
            </w:tcBorders>
          </w:tcPr>
          <w:p>
            <w:pPr>
              <w:jc w:val="center"/>
              <w:ind w:left="77"/>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Borders>
              <w:bottom w:val="single" w:sz="8" w:color="auto"/>
              <w:right w:val="single" w:sz="8" w:color="auto"/>
            </w:tcBorders>
          </w:tcPr>
          <w:p>
            <w:pPr>
              <w:jc w:val="center"/>
              <w:ind w:left="76"/>
              <w:spacing w:after="0"/>
              <w:rPr>
                <w:sz w:val="20"/>
                <w:szCs w:val="20"/>
                <w:color w:val="auto"/>
              </w:rPr>
            </w:pPr>
            <w:r>
              <w:rPr>
                <w:rFonts w:ascii="Times New Roman" w:cs="Times New Roman" w:eastAsia="Times New Roman" w:hAnsi="Times New Roman"/>
                <w:sz w:val="18"/>
                <w:szCs w:val="18"/>
                <w:color w:val="auto"/>
                <w:w w:val="95"/>
              </w:rPr>
              <w:t>(1)</w:t>
            </w:r>
          </w:p>
        </w:tc>
        <w:tc>
          <w:tcPr>
            <w:tcW w:w="640" w:type="dxa"/>
            <w:vAlign w:val="bottom"/>
            <w:tcBorders>
              <w:bottom w:val="single" w:sz="8" w:color="auto"/>
              <w:right w:val="single" w:sz="8" w:color="auto"/>
            </w:tcBorders>
          </w:tcPr>
          <w:p>
            <w:pPr>
              <w:jc w:val="center"/>
              <w:ind w:left="101"/>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ind w:left="101"/>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ind w:left="82"/>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bottom w:val="single" w:sz="8" w:color="auto"/>
              <w:right w:val="single" w:sz="8" w:color="auto"/>
            </w:tcBorders>
          </w:tcPr>
          <w:p>
            <w:pPr>
              <w:jc w:val="center"/>
              <w:ind w:left="67"/>
              <w:spacing w:after="0"/>
              <w:rPr>
                <w:sz w:val="20"/>
                <w:szCs w:val="20"/>
                <w:color w:val="auto"/>
              </w:rPr>
            </w:pPr>
            <w:r>
              <w:rPr>
                <w:rFonts w:ascii="Times New Roman" w:cs="Times New Roman" w:eastAsia="Times New Roman" w:hAnsi="Times New Roman"/>
                <w:sz w:val="18"/>
                <w:szCs w:val="18"/>
                <w:color w:val="auto"/>
                <w:w w:val="99"/>
              </w:rPr>
              <w:t>—</w:t>
            </w:r>
          </w:p>
        </w:tc>
      </w:tr>
      <w:tr>
        <w:trPr>
          <w:trHeight w:val="191"/>
        </w:trPr>
        <w:tc>
          <w:tcPr>
            <w:tcW w:w="1460" w:type="dxa"/>
            <w:vAlign w:val="bottom"/>
            <w:tcBorders>
              <w:left w:val="single" w:sz="8" w:color="auto"/>
              <w:right w:val="single" w:sz="8" w:color="auto"/>
            </w:tcBorders>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w w:val="96"/>
              </w:rPr>
              <w:t>Fees</w:t>
            </w:r>
          </w:p>
        </w:tc>
        <w:tc>
          <w:tcPr>
            <w:tcW w:w="7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216"/>
        </w:trPr>
        <w:tc>
          <w:tcPr>
            <w:tcW w:w="14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Previously</w:t>
            </w:r>
          </w:p>
        </w:tc>
        <w:tc>
          <w:tcPr>
            <w:tcW w:w="7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48"/>
        </w:trPr>
        <w:tc>
          <w:tcPr>
            <w:tcW w:w="14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paid</w:t>
            </w:r>
          </w:p>
        </w:tc>
        <w:tc>
          <w:tcPr>
            <w:tcW w:w="70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bottom w:val="single" w:sz="8" w:color="auto"/>
              <w:right w:val="single" w:sz="8" w:color="auto"/>
            </w:tcBorders>
          </w:tcPr>
          <w:p>
            <w:pPr>
              <w:jc w:val="center"/>
              <w:ind w:left="94"/>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Borders>
              <w:bottom w:val="single" w:sz="8" w:color="auto"/>
              <w:right w:val="single" w:sz="8" w:color="auto"/>
            </w:tcBorders>
          </w:tcPr>
          <w:p>
            <w:pPr>
              <w:jc w:val="center"/>
              <w:ind w:left="95"/>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right w:val="single" w:sz="8" w:color="auto"/>
            </w:tcBorders>
          </w:tcPr>
          <w:p>
            <w:pPr>
              <w:jc w:val="center"/>
              <w:ind w:left="76"/>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jc w:val="center"/>
              <w:ind w:left="102"/>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right w:val="single" w:sz="8" w:color="auto"/>
            </w:tcBorders>
          </w:tcPr>
          <w:p>
            <w:pPr>
              <w:jc w:val="center"/>
              <w:ind w:left="8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right w:val="single" w:sz="8" w:color="auto"/>
            </w:tcBorders>
          </w:tcPr>
          <w:p>
            <w:pPr>
              <w:jc w:val="center"/>
              <w:ind w:left="77"/>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bottom w:val="single" w:sz="8" w:color="auto"/>
              <w:right w:val="single" w:sz="8" w:color="auto"/>
            </w:tcBorders>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right w:val="single" w:sz="8" w:color="auto"/>
            </w:tcBorders>
          </w:tcPr>
          <w:p>
            <w:pPr>
              <w:jc w:val="center"/>
              <w:ind w:left="101"/>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bottom w:val="single" w:sz="8" w:color="auto"/>
              <w:right w:val="single" w:sz="8" w:color="auto"/>
            </w:tcBorders>
          </w:tcPr>
          <w:p>
            <w:pPr>
              <w:jc w:val="center"/>
              <w:ind w:left="101"/>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ind w:left="82"/>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bottom w:val="single" w:sz="8" w:color="auto"/>
              <w:right w:val="single" w:sz="8" w:color="auto"/>
            </w:tcBorders>
          </w:tcPr>
          <w:p>
            <w:pPr>
              <w:jc w:val="center"/>
              <w:ind w:left="67"/>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1460" w:type="dxa"/>
            <w:vAlign w:val="bottom"/>
            <w:tcBorders>
              <w:left w:val="single" w:sz="8" w:color="auto"/>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8"/>
              </w:rPr>
              <w:t>Carry Forward Securities</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191"/>
        </w:trPr>
        <w:tc>
          <w:tcPr>
            <w:tcW w:w="1460" w:type="dxa"/>
            <w:vAlign w:val="bottom"/>
            <w:tcBorders>
              <w:left w:val="single" w:sz="8" w:color="auto"/>
              <w:right w:val="single" w:sz="8" w:color="auto"/>
            </w:tcBorders>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w w:val="97"/>
              </w:rPr>
              <w:t>Carry</w:t>
            </w:r>
          </w:p>
        </w:tc>
        <w:tc>
          <w:tcPr>
            <w:tcW w:w="70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216"/>
        </w:trPr>
        <w:tc>
          <w:tcPr>
            <w:tcW w:w="14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Forward</w:t>
            </w:r>
          </w:p>
        </w:tc>
        <w:tc>
          <w:tcPr>
            <w:tcW w:w="7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248"/>
        </w:trPr>
        <w:tc>
          <w:tcPr>
            <w:tcW w:w="146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Securities</w:t>
            </w:r>
          </w:p>
        </w:tc>
        <w:tc>
          <w:tcPr>
            <w:tcW w:w="700" w:type="dxa"/>
            <w:vAlign w:val="bottom"/>
            <w:tcBorders>
              <w:bottom w:val="single" w:sz="8" w:color="auto"/>
              <w:right w:val="single" w:sz="8" w:color="auto"/>
            </w:tcBorders>
          </w:tcPr>
          <w:p>
            <w:pPr>
              <w:jc w:val="center"/>
              <w:ind w:left="96"/>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r>
      <w:tr>
        <w:trPr>
          <w:trHeight w:val="210"/>
        </w:trPr>
        <w:tc>
          <w:tcPr>
            <w:tcW w:w="1460" w:type="dxa"/>
            <w:vAlign w:val="bottom"/>
            <w:tcBorders>
              <w:left w:val="single" w:sz="8" w:color="auto"/>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Total Offering Amounts   </w:t>
            </w:r>
          </w:p>
        </w:tc>
        <w:tc>
          <w:tcPr>
            <w:tcW w:w="7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jc w:val="center"/>
              <w:ind w:left="80"/>
              <w:spacing w:after="0"/>
              <w:rPr>
                <w:sz w:val="20"/>
                <w:szCs w:val="20"/>
                <w:color w:val="auto"/>
              </w:rPr>
            </w:pPr>
            <w:r>
              <w:rPr>
                <w:rFonts w:ascii="Times New Roman" w:cs="Times New Roman" w:eastAsia="Times New Roman" w:hAnsi="Times New Roman"/>
                <w:sz w:val="18"/>
                <w:szCs w:val="18"/>
                <w:color w:val="auto"/>
                <w:w w:val="96"/>
              </w:rPr>
              <w:t>N/A</w:t>
            </w:r>
          </w:p>
        </w:tc>
        <w:tc>
          <w:tcPr>
            <w:tcW w:w="4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ind w:left="76"/>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09"/>
        </w:trPr>
        <w:tc>
          <w:tcPr>
            <w:tcW w:w="1460" w:type="dxa"/>
            <w:vAlign w:val="bottom"/>
            <w:tcBorders>
              <w:left w:val="single" w:sz="8" w:color="auto"/>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Total Fees Previously Paid   </w:t>
            </w:r>
          </w:p>
        </w:tc>
        <w:tc>
          <w:tcPr>
            <w:tcW w:w="7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7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r>
        <w:trPr>
          <w:trHeight w:val="210"/>
        </w:trPr>
        <w:tc>
          <w:tcPr>
            <w:tcW w:w="1460" w:type="dxa"/>
            <w:vAlign w:val="bottom"/>
            <w:tcBorders>
              <w:left w:val="single" w:sz="8" w:color="auto"/>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Net Fee Due   </w:t>
            </w:r>
          </w:p>
        </w:tc>
        <w:tc>
          <w:tcPr>
            <w:tcW w:w="7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center"/>
              <w:ind w:left="76"/>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r>
    </w:tbl>
    <w:p>
      <w:pPr>
        <w:spacing w:after="0" w:line="225" w:lineRule="exact"/>
        <w:rPr>
          <w:sz w:val="20"/>
          <w:szCs w:val="20"/>
          <w:color w:val="auto"/>
        </w:rPr>
      </w:pPr>
    </w:p>
    <w:p>
      <w:pPr>
        <w:jc w:val="both"/>
        <w:ind w:left="424" w:right="120" w:hanging="424"/>
        <w:spacing w:after="0" w:line="255" w:lineRule="auto"/>
        <w:tabs>
          <w:tab w:leader="none" w:pos="42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relying on Rule 456(b) and Rule 457(r) under the Securities Act of 1933, as amended (the “Securities Act”), to defer payment of all of the registration fee.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w:t>
      </w:r>
    </w:p>
    <w:p>
      <w:pPr>
        <w:spacing w:after="0" w:line="2"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number of the securities of each identified class are being registered as may from time to time be offered at indeterminate prices, including an indeterminate number or amount of securities that may be issued upon settlement, exercise, conversion or exchange of securities offered hereunder, or pursuant to anti-dilution provisions. Separate consideration may or may not be received for securities that are issuable upon settlement, exercise, conversion or exchange of other securities or that are issued in units.</w:t>
      </w:r>
    </w:p>
    <w:p>
      <w:pPr>
        <w:spacing w:after="0" w:line="1" w:lineRule="exact"/>
        <w:rPr>
          <w:rFonts w:ascii="Times New Roman" w:cs="Times New Roman" w:eastAsia="Times New Roman" w:hAnsi="Times New Roman"/>
          <w:sz w:val="18"/>
          <w:szCs w:val="18"/>
          <w:color w:val="auto"/>
        </w:rPr>
      </w:pPr>
    </w:p>
    <w:p>
      <w:pPr>
        <w:ind w:left="424" w:right="300" w:hanging="424"/>
        <w:spacing w:after="0" w:line="255" w:lineRule="auto"/>
        <w:tabs>
          <w:tab w:leader="none" w:pos="42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may be issued under a unit agreement and will represent an interest in one or more securities registered under this registration statement including shares of common stock or preferred stock, debt securities or warrants, in any combination, which may or may not be separable from one another.</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1)"/>
      <w:numFmt w:val="lowerLetter"/>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1)"/>
      <w:numFmt w:val="lowerRoman"/>
      <w:start w:val="2"/>
    </w:lvl>
  </w:abstractNum>
  <w:abstractNum w:abstractNumId="23">
    <w:nsid w:val="235BA861"/>
    <w:multiLevelType w:val="hybridMultilevel"/>
    <w:lvl w:ilvl="0">
      <w:lvlJc w:val="left"/>
      <w:lvlText w:val=" "/>
      <w:numFmt w:val="bullet"/>
      <w:start w:val="1"/>
    </w:lvl>
  </w:abstractNum>
  <w:abstractNum w:abstractNumId="24">
    <w:nsid w:val="47398C89"/>
    <w:multiLevelType w:val="hybridMultilevel"/>
    <w:lvl w:ilvl="0">
      <w:lvlJc w:val="left"/>
      <w:lvlText w:val=" "/>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D34B6A8"/>
    <w:multiLevelType w:val="hybridMultilevel"/>
    <w:lvl w:ilvl="0">
      <w:lvlJc w:val="left"/>
      <w:lvlText w:val="(%1)"/>
      <w:numFmt w:val="decimal"/>
      <w:start w:val="2"/>
    </w:lvl>
    <w:lvl w:ilvl="1">
      <w:lvlJc w:val="left"/>
      <w:lvlText w:val="(%2)"/>
      <w:numFmt w:val="upperLetter"/>
      <w:start w:val="1"/>
    </w:lvl>
  </w:abstractNum>
  <w:abstractNum w:abstractNumId="29">
    <w:nsid w:val="10233C99"/>
    <w:multiLevelType w:val="hybridMultilevel"/>
    <w:lvl w:ilvl="0">
      <w:lvlJc w:val="left"/>
      <w:lvlText w:val="(%1)"/>
      <w:numFmt w:val="decimal"/>
      <w:start w:val="5"/>
    </w:lvl>
    <w:lvl w:ilvl="1">
      <w:lvlJc w:val="left"/>
      <w:lvlText w:val="%2."/>
      <w:numFmt w:val="lowerRoman"/>
      <w:start w:val="1"/>
    </w:lvl>
  </w:abstractNum>
  <w:abstractNum w:abstractNumId="30">
    <w:nsid w:val="3F6AB60F"/>
    <w:multiLevelType w:val="hybridMultilevel"/>
    <w:lvl w:ilvl="0">
      <w:lvlJc w:val="left"/>
      <w:lvlText w:val="(%1)"/>
      <w:numFmt w:val="lowerRoman"/>
      <w:start w:val="1"/>
    </w:lvl>
  </w:abstractNum>
  <w:abstractNum w:abstractNumId="31">
    <w:nsid w:val="61574095"/>
    <w:multiLevelType w:val="hybridMultilevel"/>
    <w:lvl w:ilvl="0">
      <w:lvlJc w:val="left"/>
      <w:lvlText w:val="(%1)"/>
      <w:numFmt w:val="lowerRoman"/>
      <w:start w:val="4"/>
    </w:lvl>
  </w:abstractNum>
  <w:abstractNum w:abstractNumId="32">
    <w:nsid w:val="7E0C57B1"/>
    <w:multiLevelType w:val="hybridMultilevel"/>
    <w:lvl w:ilvl="0">
      <w:lvlJc w:val="left"/>
      <w:lvlText w:val="(%1)"/>
      <w:numFmt w:val="decimal"/>
      <w:start w:val="1"/>
    </w:lvl>
  </w:abstractNum>
  <w:abstractNum w:abstractNumId="33">
    <w:nsid w:val="77AE35EB"/>
    <w:multiLevelType w:val="hybridMultilevel"/>
    <w:lvl w:ilvl="0">
      <w:lvlJc w:val="left"/>
      <w:lvlText w:val="(%1)"/>
      <w:numFmt w:val="lowerLetter"/>
      <w:start w:val="1"/>
    </w:lvl>
  </w:abstractNum>
  <w:abstractNum w:abstractNumId="34">
    <w:nsid w:val="579BE4F1"/>
    <w:multiLevelType w:val="hybridMultilevel"/>
    <w:lvl w:ilvl="0">
      <w:lvlJc w:val="left"/>
      <w:lvlText w:val="(%1)"/>
      <w:numFmt w:val="lowerLetter"/>
      <w:start w:val="5"/>
    </w:lvl>
  </w:abstractNum>
  <w:abstractNum w:abstractNumId="35">
    <w:nsid w:val="310C50B3"/>
    <w:multiLevelType w:val="hybridMultilevel"/>
    <w:lvl w:ilvl="0">
      <w:lvlJc w:val="left"/>
      <w:lvlText w:val="(%1)"/>
      <w:numFmt w:val="decimal"/>
      <w:start w:val="1"/>
    </w:lvl>
  </w:abstractNum>
  <w:abstractNum w:abstractNumId="36">
    <w:nsid w:val="5FF87E05"/>
    <w:multiLevelType w:val="hybridMultilevel"/>
    <w:lvl w:ilvl="0">
      <w:lvlJc w:val="left"/>
      <w:lvlText w:val="(%1)"/>
      <w:numFmt w:val="lowerRoman"/>
      <w:start w:val="1"/>
    </w:lvl>
  </w:abstractNum>
  <w:abstractNum w:abstractNumId="37">
    <w:nsid w:val="2F305DEF"/>
    <w:multiLevelType w:val="hybridMultilevel"/>
    <w:lvl w:ilvl="0">
      <w:lvlJc w:val="left"/>
      <w:lvlText w:val="(%1)"/>
      <w:numFmt w:val="lowerRoman"/>
      <w:start w:val="4"/>
    </w:lvl>
  </w:abstractNum>
  <w:abstractNum w:abstractNumId="38">
    <w:nsid w:val="25A70BF7"/>
    <w:multiLevelType w:val="hybridMultilevel"/>
    <w:lvl w:ilvl="0">
      <w:lvlJc w:val="left"/>
      <w:lvlText w:val="(%1)"/>
      <w:numFmt w:val="lowerRoman"/>
      <w:start w:val="1"/>
    </w:lvl>
  </w:abstractNum>
  <w:abstractNum w:abstractNumId="39">
    <w:nsid w:val="1DBABF00"/>
    <w:multiLevelType w:val="hybridMultilevel"/>
    <w:lvl w:ilvl="0">
      <w:lvlJc w:val="left"/>
      <w:lvlText w:val="(%1)"/>
      <w:numFmt w:val="lowerRoman"/>
      <w:start w:val="4"/>
    </w:lvl>
  </w:abstractNum>
  <w:abstractNum w:abstractNumId="40">
    <w:nsid w:val="4AD084E9"/>
    <w:multiLevelType w:val="hybridMultilevel"/>
    <w:lvl w:ilvl="0">
      <w:lvlJc w:val="left"/>
      <w:lvlText w:val="(%1)"/>
      <w:numFmt w:val="decimal"/>
      <w:start w:val="1"/>
    </w:lvl>
  </w:abstractNum>
  <w:abstractNum w:abstractNumId="41">
    <w:nsid w:val="1F48EAA1"/>
    <w:multiLevelType w:val="hybridMultilevel"/>
    <w:lvl w:ilvl="0">
      <w:lvlJc w:val="left"/>
      <w:lvlText w:val="(%1)"/>
      <w:numFmt w:val="decimal"/>
      <w:start w:val="4"/>
    </w:lvl>
  </w:abstractNum>
  <w:abstractNum w:abstractNumId="42">
    <w:nsid w:val="1381823A"/>
    <w:multiLevelType w:val="hybridMultilevel"/>
    <w:lvl w:ilvl="0">
      <w:lvlJc w:val="left"/>
      <w:lvlText w:val="(%1)"/>
      <w:numFmt w:val="decimal"/>
      <w:start w:val="11"/>
    </w:lvl>
  </w:abstractNum>
  <w:abstractNum w:abstractNumId="43">
    <w:nsid w:val="5DB70AE5"/>
    <w:multiLevelType w:val="hybridMultilevel"/>
    <w:lvl w:ilvl="0">
      <w:lvlJc w:val="left"/>
      <w:lvlText w:val="(%1)"/>
      <w:numFmt w:val="decimal"/>
      <w:start w:val="19"/>
    </w:lvl>
  </w:abstractNum>
  <w:abstractNum w:abstractNumId="44">
    <w:nsid w:val="100F8FCA"/>
    <w:multiLevelType w:val="hybridMultilevel"/>
    <w:lvl w:ilvl="0">
      <w:lvlJc w:val="left"/>
      <w:lvlText w:val="(%1)"/>
      <w:numFmt w:val="lowerRoman"/>
      <w:start w:val="1"/>
    </w:lvl>
  </w:abstractNum>
  <w:abstractNum w:abstractNumId="45">
    <w:nsid w:val="6590700B"/>
    <w:multiLevelType w:val="hybridMultilevel"/>
    <w:lvl w:ilvl="0">
      <w:lvlJc w:val="left"/>
      <w:lvlText w:val="(%1)"/>
      <w:numFmt w:val="lowerRoman"/>
      <w:start w:val="5"/>
    </w:lvl>
  </w:abstractNum>
  <w:abstractNum w:abstractNumId="46">
    <w:nsid w:val="15014ACB"/>
    <w:multiLevelType w:val="hybridMultilevel"/>
    <w:lvl w:ilvl="0">
      <w:lvlJc w:val="left"/>
      <w:lvlText w:val="(%1)"/>
      <w:numFmt w:val="upperLetter"/>
      <w:start w:val="2"/>
    </w:lvl>
  </w:abstractNum>
  <w:abstractNum w:abstractNumId="47">
    <w:nsid w:val="5F5E7FD0"/>
    <w:multiLevelType w:val="hybridMultilevel"/>
    <w:lvl w:ilvl="0">
      <w:lvlJc w:val="left"/>
      <w:lvlText w:val="(%1)"/>
      <w:numFmt w:val="decimal"/>
      <w:start w:val="1"/>
    </w:lvl>
  </w:abstractNum>
  <w:abstractNum w:abstractNumId="48">
    <w:nsid w:val="98A3148"/>
    <w:multiLevelType w:val="hybridMultilevel"/>
    <w:lvl w:ilvl="0">
      <w:lvlJc w:val="left"/>
      <w:lvlText w:val="(%1)"/>
      <w:numFmt w:val="decimal"/>
      <w:start w:val="2"/>
    </w:lvl>
  </w:abstractNum>
  <w:abstractNum w:abstractNumId="49">
    <w:nsid w:val="799D0247"/>
    <w:multiLevelType w:val="hybridMultilevel"/>
    <w:lvl w:ilvl="0">
      <w:lvlJc w:val="left"/>
      <w:lvlText w:val="(%1)"/>
      <w:numFmt w:val="lowerLetter"/>
      <w:start w:val="2"/>
    </w:lvl>
  </w:abstractNum>
  <w:abstractNum w:abstractNumId="50">
    <w:nsid w:val="6B94764"/>
    <w:multiLevelType w:val="hybridMultilevel"/>
    <w:lvl w:ilvl="0">
      <w:lvlJc w:val="left"/>
      <w:lvlText w:val="(%1)"/>
      <w:numFmt w:val="lowerLetter"/>
      <w:start w:val="1"/>
    </w:lvl>
  </w:abstractNum>
  <w:abstractNum w:abstractNumId="51">
    <w:nsid w:val="42C296BD"/>
    <w:multiLevelType w:val="hybridMultilevel"/>
    <w:lvl w:ilvl="0">
      <w:lvlJc w:val="left"/>
      <w:lvlText w:val="(%1)"/>
      <w:numFmt w:val="lowerLetter"/>
      <w:start w:val="3"/>
    </w:lvl>
  </w:abstractNum>
  <w:abstractNum w:abstractNumId="52">
    <w:nsid w:val="168E121F"/>
    <w:multiLevelType w:val="hybridMultilevel"/>
    <w:lvl w:ilvl="0">
      <w:lvlJc w:val="left"/>
      <w:lvlText w:val="(%1)"/>
      <w:numFmt w:val="lowerLetter"/>
      <w:start w:val="5"/>
    </w:lvl>
  </w:abstractNum>
  <w:abstractNum w:abstractNumId="53">
    <w:nsid w:val="1EBA5D23"/>
    <w:multiLevelType w:val="hybridMultilevel"/>
    <w:lvl w:ilvl="0">
      <w:lvlJc w:val="left"/>
      <w:lvlText w:val="(%1)"/>
      <w:numFmt w:val="lowerLetter"/>
      <w:start w:val="2"/>
    </w:lvl>
  </w:abstractNum>
  <w:abstractNum w:abstractNumId="54">
    <w:nsid w:val="661E3F1E"/>
    <w:multiLevelType w:val="hybridMultilevel"/>
    <w:lvl w:ilvl="0">
      <w:lvlJc w:val="left"/>
      <w:lvlText w:val="(%1)"/>
      <w:numFmt w:val="lowerLetter"/>
      <w:start w:val="3"/>
    </w:lvl>
  </w:abstractNum>
  <w:abstractNum w:abstractNumId="55">
    <w:nsid w:val="5DC79EA8"/>
    <w:multiLevelType w:val="hybridMultilevel"/>
    <w:lvl w:ilvl="0">
      <w:lvlJc w:val="left"/>
      <w:lvlText w:val="(%1)"/>
      <w:numFmt w:val="lowerLetter"/>
      <w:start w:val="1"/>
    </w:lvl>
    <w:lvl w:ilvl="1">
      <w:lvlJc w:val="left"/>
      <w:lvlText w:val="%2"/>
      <w:numFmt w:val="lowerRoman"/>
      <w:start w:val="1"/>
    </w:lvl>
    <w:lvl w:ilvl="2">
      <w:lvlJc w:val="left"/>
      <w:lvlText w:val="(%3)"/>
      <w:numFmt w:val="lowerRoman"/>
    </w:lvl>
    <w:lvl w:ilvl="3">
      <w:lvlJc w:val="left"/>
      <w:lvlText w:val="(%4)"/>
      <w:numFmt w:val="upperLetter"/>
      <w:start w:val="1"/>
    </w:lvl>
  </w:abstractNum>
  <w:abstractNum w:abstractNumId="56">
    <w:nsid w:val="540A471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lvl w:ilvl="3">
      <w:lvlJc w:val="left"/>
      <w:lvlText w:val="(%4)"/>
      <w:numFmt w:val="upperLetter"/>
      <w:start w:val="2"/>
    </w:lvl>
  </w:abstractNum>
  <w:abstractNum w:abstractNumId="57">
    <w:nsid w:val="7BD3EE7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58">
    <w:nsid w:val="51D9C564"/>
    <w:multiLevelType w:val="hybridMultilevel"/>
    <w:lvl w:ilvl="0">
      <w:lvlJc w:val="left"/>
      <w:lvlText w:val="(%1)"/>
      <w:numFmt w:val="lowerRoman"/>
      <w:start w:val="2"/>
    </w:lvl>
  </w:abstractNum>
  <w:abstractNum w:abstractNumId="59">
    <w:nsid w:val="613EFDC5"/>
    <w:multiLevelType w:val="hybridMultilevel"/>
    <w:lvl w:ilvl="0">
      <w:lvlJc w:val="left"/>
      <w:lvlText w:val="(%1)"/>
      <w:numFmt w:val="lowerLetter"/>
      <w:start w:val="2"/>
    </w:lvl>
  </w:abstractNum>
  <w:abstractNum w:abstractNumId="60">
    <w:nsid w:val="BF72B14"/>
    <w:multiLevelType w:val="hybridMultilevel"/>
    <w:lvl w:ilvl="0">
      <w:lvlJc w:val="left"/>
      <w:lvlText w:val="(%1)"/>
      <w:numFmt w:val="decimal"/>
      <w:start w:val="1"/>
    </w:lvl>
  </w:abstractNum>
  <w:abstractNum w:abstractNumId="61">
    <w:nsid w:val="11447B73"/>
    <w:multiLevelType w:val="hybridMultilevel"/>
    <w:lvl w:ilvl="0">
      <w:lvlJc w:val="left"/>
      <w:lvlText w:val="%1"/>
      <w:numFmt w:val="lowerLetter"/>
      <w:start w:val="1"/>
    </w:lvl>
    <w:lvl w:ilvl="1">
      <w:lvlJc w:val="left"/>
      <w:lvlText w:val="(%2)"/>
      <w:numFmt w:val="decimal"/>
      <w:start w:val="1"/>
    </w:lvl>
  </w:abstractNum>
  <w:abstractNum w:abstractNumId="62">
    <w:nsid w:val="42963E5A"/>
    <w:multiLevelType w:val="hybridMultilevel"/>
    <w:lvl w:ilvl="0">
      <w:lvlJc w:val="left"/>
      <w:lvlText w:val="(%1)"/>
      <w:numFmt w:val="lowerLetter"/>
      <w:start w:val="1"/>
    </w:lvl>
    <w:lvl w:ilvl="1">
      <w:lvlJc w:val="left"/>
      <w:lvlText w:val="(%2)"/>
      <w:numFmt w:val="decimal"/>
      <w:start w:val="2"/>
    </w:lvl>
  </w:abstractNum>
  <w:abstractNum w:abstractNumId="63">
    <w:nsid w:val="A0382C5"/>
    <w:multiLevelType w:val="hybridMultilevel"/>
    <w:lvl w:ilvl="0">
      <w:lvlJc w:val="left"/>
      <w:lvlText w:val="(%1)"/>
      <w:numFmt w:val="lowerLetter"/>
      <w:start w:val="1"/>
    </w:lvl>
    <w:lvl w:ilvl="1">
      <w:lvlJc w:val="left"/>
      <w:lvlText w:val="(%2)"/>
      <w:numFmt w:val="decimal"/>
      <w:start w:val="4"/>
    </w:lvl>
  </w:abstractNum>
  <w:abstractNum w:abstractNumId="64">
    <w:nsid w:val="8F2B15E"/>
    <w:multiLevelType w:val="hybridMultilevel"/>
    <w:lvl w:ilvl="0">
      <w:lvlJc w:val="left"/>
      <w:lvlText w:val="(%1)"/>
      <w:numFmt w:val="decimal"/>
      <w:start w:val="10"/>
    </w:lvl>
  </w:abstractNum>
  <w:abstractNum w:abstractNumId="65">
    <w:nsid w:val="1A32234B"/>
    <w:multiLevelType w:val="hybridMultilevel"/>
    <w:lvl w:ilvl="0">
      <w:lvlJc w:val="left"/>
      <w:lvlText w:val="(%1)"/>
      <w:numFmt w:val="decimal"/>
      <w:start w:val="1"/>
    </w:lvl>
  </w:abstractNum>
  <w:abstractNum w:abstractNumId="66">
    <w:nsid w:val="3B0FD379"/>
    <w:multiLevelType w:val="hybridMultilevel"/>
    <w:lvl w:ilvl="0">
      <w:lvlJc w:val="left"/>
      <w:lvlText w:val="(%1)"/>
      <w:numFmt w:val="lowerLetter"/>
      <w:start w:val="1"/>
    </w:lvl>
  </w:abstractNum>
  <w:abstractNum w:abstractNumId="67">
    <w:nsid w:val="68EB2F63"/>
    <w:multiLevelType w:val="hybridMultilevel"/>
    <w:lvl w:ilvl="0">
      <w:lvlJc w:val="left"/>
      <w:lvlText w:val="(%1)"/>
      <w:numFmt w:val="lowerLetter"/>
      <w:start w:val="2"/>
    </w:lvl>
    <w:lvl w:ilvl="1">
      <w:lvlJc w:val="left"/>
      <w:lvlText w:val="(%2)"/>
      <w:numFmt w:val="decimal"/>
      <w:start w:val="1"/>
    </w:lvl>
  </w:abstractNum>
  <w:abstractNum w:abstractNumId="68">
    <w:nsid w:val="4962813B"/>
    <w:multiLevelType w:val="hybridMultilevel"/>
    <w:lvl w:ilvl="0">
      <w:lvlJc w:val="left"/>
      <w:lvlText w:val="(%1)"/>
      <w:numFmt w:val="lowerLetter"/>
      <w:start w:val="4"/>
    </w:lvl>
  </w:abstractNum>
  <w:abstractNum w:abstractNumId="69">
    <w:nsid w:val="60B6DF70"/>
    <w:multiLevelType w:val="hybridMultilevel"/>
    <w:lvl w:ilvl="0">
      <w:lvlJc w:val="left"/>
      <w:lvlText w:val="(%1)"/>
      <w:numFmt w:val="lowerLetter"/>
      <w:start w:val="5"/>
    </w:lvl>
  </w:abstractNum>
  <w:abstractNum w:abstractNumId="70">
    <w:nsid w:val="6A5EE64"/>
    <w:multiLevelType w:val="hybridMultilevel"/>
    <w:lvl w:ilvl="0">
      <w:lvlJc w:val="left"/>
      <w:lvlText w:val="(%1)"/>
      <w:numFmt w:val="lowerLetter"/>
      <w:start w:val="1"/>
    </w:lvl>
  </w:abstractNum>
  <w:abstractNum w:abstractNumId="71">
    <w:nsid w:val="14330624"/>
    <w:multiLevelType w:val="hybridMultilevel"/>
    <w:lvl w:ilvl="0">
      <w:lvlJc w:val="left"/>
      <w:lvlText w:val="(%1)"/>
      <w:numFmt w:val="lowerLetter"/>
      <w:start w:val="2"/>
    </w:lvl>
  </w:abstractNum>
  <w:abstractNum w:abstractNumId="72">
    <w:nsid w:val="7FFFCA11"/>
    <w:multiLevelType w:val="hybridMultilevel"/>
    <w:lvl w:ilvl="0">
      <w:lvlJc w:val="left"/>
      <w:lvlText w:val="(%1)"/>
      <w:numFmt w:val="decimal"/>
      <w:start w:val="1"/>
    </w:lvl>
  </w:abstractNum>
  <w:abstractNum w:abstractNumId="73">
    <w:nsid w:val="1A27709E"/>
    <w:multiLevelType w:val="hybridMultilevel"/>
    <w:lvl w:ilvl="0">
      <w:lvlJc w:val="left"/>
      <w:lvlText w:val="(%1)"/>
      <w:numFmt w:val="decimal"/>
      <w:start w:val="2"/>
    </w:lvl>
  </w:abstractNum>
  <w:abstractNum w:abstractNumId="74">
    <w:nsid w:val="71EA1109"/>
    <w:multiLevelType w:val="hybridMultilevel"/>
    <w:lvl w:ilvl="0">
      <w:lvlJc w:val="left"/>
      <w:lvlText w:val="(%1)"/>
      <w:numFmt w:val="decimal"/>
      <w:start w:val="1"/>
    </w:lvl>
  </w:abstractNum>
  <w:abstractNum w:abstractNumId="75">
    <w:nsid w:val="100F59DC"/>
    <w:multiLevelType w:val="hybridMultilevel"/>
    <w:lvl w:ilvl="0">
      <w:lvlJc w:val="left"/>
      <w:lvlText w:val="(%1)"/>
      <w:numFmt w:val="decimal"/>
      <w:start w:val="3"/>
    </w:lvl>
  </w:abstractNum>
  <w:abstractNum w:abstractNumId="76">
    <w:nsid w:val="7FB7E0AA"/>
    <w:multiLevelType w:val="hybridMultilevel"/>
    <w:lvl w:ilvl="0">
      <w:lvlJc w:val="left"/>
      <w:lvlText w:val="(%1)"/>
      <w:numFmt w:val="decimal"/>
      <w:start w:val="12"/>
    </w:lvl>
  </w:abstractNum>
  <w:abstractNum w:abstractNumId="77">
    <w:nsid w:val="6EB5BD4"/>
    <w:multiLevelType w:val="hybridMultilevel"/>
    <w:lvl w:ilvl="0">
      <w:lvlJc w:val="left"/>
      <w:lvlText w:val="(%1)"/>
      <w:numFmt w:val="decimal"/>
      <w:start w:val="1"/>
    </w:lvl>
  </w:abstractNum>
  <w:abstractNum w:abstractNumId="78">
    <w:nsid w:val="6F6DD9AC"/>
    <w:multiLevelType w:val="hybridMultilevel"/>
    <w:lvl w:ilvl="0">
      <w:lvlJc w:val="left"/>
      <w:lvlText w:val="(%1)"/>
      <w:numFmt w:val="decimal"/>
      <w:start w:val="3"/>
    </w:lvl>
  </w:abstractNum>
  <w:abstractNum w:abstractNumId="79">
    <w:nsid w:val="94211F2"/>
    <w:multiLevelType w:val="hybridMultilevel"/>
    <w:lvl w:ilvl="0">
      <w:lvlJc w:val="left"/>
      <w:lvlText w:val="(%1)"/>
      <w:numFmt w:val="decimal"/>
      <w:start w:val="1"/>
    </w:lvl>
  </w:abstractNum>
  <w:abstractNum w:abstractNumId="80">
    <w:nsid w:val="885E1B"/>
    <w:multiLevelType w:val="hybridMultilevel"/>
    <w:lvl w:ilvl="0">
      <w:lvlJc w:val="left"/>
      <w:lvlText w:val="(%1)"/>
      <w:numFmt w:val="decimal"/>
      <w:start w:val="10"/>
    </w:lvl>
  </w:abstractNum>
  <w:abstractNum w:abstractNumId="81">
    <w:nsid w:val="76272110"/>
    <w:multiLevelType w:val="hybridMultilevel"/>
    <w:lvl w:ilvl="0">
      <w:lvlJc w:val="left"/>
      <w:lvlText w:val="(%1)"/>
      <w:numFmt w:val="decimal"/>
      <w:start w:val="1"/>
    </w:lvl>
  </w:abstractNum>
  <w:abstractNum w:abstractNumId="82">
    <w:nsid w:val="4C04A8AF"/>
    <w:multiLevelType w:val="hybridMultilevel"/>
    <w:lvl w:ilvl="0">
      <w:lvlJc w:val="left"/>
      <w:lvlText w:val="%1"/>
      <w:numFmt w:val="lowerRoman"/>
      <w:start w:val="1"/>
    </w:lvl>
    <w:lvl w:ilvl="1">
      <w:lvlJc w:val="left"/>
      <w:lvlText w:val="(%2)"/>
      <w:numFmt w:val="decimal"/>
      <w:start w:val="2"/>
    </w:lvl>
  </w:abstractNum>
  <w:abstractNum w:abstractNumId="83">
    <w:nsid w:val="1716703B"/>
    <w:multiLevelType w:val="hybridMultilevel"/>
    <w:lvl w:ilvl="0">
      <w:lvlJc w:val="left"/>
      <w:lvlText w:val="(%1)"/>
      <w:numFmt w:val="lowerRoman"/>
      <w:start w:val="10"/>
    </w:lvl>
    <w:lvl w:ilvl="1">
      <w:lvlJc w:val="left"/>
      <w:lvlText w:val="(%2)"/>
      <w:numFmt w:val="decimal"/>
      <w:start w:val="5"/>
    </w:lvl>
  </w:abstractNum>
  <w:abstractNum w:abstractNumId="84">
    <w:nsid w:val="14E17E33"/>
    <w:multiLevelType w:val="hybridMultilevel"/>
    <w:lvl w:ilvl="0">
      <w:lvlJc w:val="left"/>
      <w:lvlText w:val="(%1)"/>
      <w:numFmt w:val="lowerLetter"/>
      <w:start w:val="1"/>
    </w:lvl>
  </w:abstractNum>
  <w:abstractNum w:abstractNumId="85">
    <w:nsid w:val="3222E7CD"/>
    <w:multiLevelType w:val="hybridMultilevel"/>
    <w:lvl w:ilvl="0">
      <w:lvlJc w:val="left"/>
      <w:lvlText w:val="(%1)"/>
      <w:numFmt w:val="lowerRoman"/>
      <w:start w:val="1"/>
    </w:lvl>
  </w:abstractNum>
  <w:abstractNum w:abstractNumId="86">
    <w:nsid w:val="74DE0EE3"/>
    <w:multiLevelType w:val="hybridMultilevel"/>
    <w:lvl w:ilvl="0">
      <w:lvlJc w:val="left"/>
      <w:lvlText w:val="(%1)"/>
      <w:numFmt w:val="lowerLetter"/>
      <w:start w:val="1"/>
    </w:lvl>
  </w:abstractNum>
  <w:abstractNum w:abstractNumId="87">
    <w:nsid w:val="68EBC550"/>
    <w:multiLevelType w:val="hybridMultilevel"/>
    <w:lvl w:ilvl="0">
      <w:lvlJc w:val="left"/>
      <w:lvlText w:val="(%1)"/>
      <w:numFmt w:val="lowerRoman"/>
      <w:start w:val="1"/>
    </w:lvl>
  </w:abstractNum>
  <w:abstractNum w:abstractNumId="88">
    <w:nsid w:val="2DF6D648"/>
    <w:multiLevelType w:val="hybridMultilevel"/>
    <w:lvl w:ilvl="0">
      <w:lvlJc w:val="left"/>
      <w:lvlText w:val="%1."/>
      <w:numFmt w:val="decimal"/>
      <w:start w:val="1"/>
    </w:lvl>
  </w:abstractNum>
  <w:abstractNum w:abstractNumId="89">
    <w:nsid w:val="46B7D447"/>
    <w:multiLevelType w:val="hybridMultilevel"/>
    <w:lvl w:ilvl="0">
      <w:lvlJc w:val="left"/>
      <w:lvlText w:val="%1."/>
      <w:numFmt w:val="decimal"/>
      <w:start w:val="5"/>
    </w:lvl>
  </w:abstractNum>
  <w:abstractNum w:abstractNumId="90">
    <w:nsid w:val="4A2AC315"/>
    <w:multiLevelType w:val="hybridMultilevel"/>
    <w:lvl w:ilvl="0">
      <w:lvlJc w:val="left"/>
      <w:lvlText w:val="(%1)"/>
      <w:numFmt w:val="lowerLetter"/>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jpe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jpeg"/><Relationship Id="rId179" Type="http://schemas.openxmlformats.org/officeDocument/2006/relationships/image" Target="media/image164.jpeg"/><Relationship Id="rId180" Type="http://schemas.openxmlformats.org/officeDocument/2006/relationships/image" Target="media/image165.jpeg"/><Relationship Id="rId181" Type="http://schemas.openxmlformats.org/officeDocument/2006/relationships/image" Target="media/image166.jpeg"/><Relationship Id="rId182" Type="http://schemas.openxmlformats.org/officeDocument/2006/relationships/image" Target="media/image167.png"/><Relationship Id="rId183" Type="http://schemas.openxmlformats.org/officeDocument/2006/relationships/image" Target="media/image168.jpeg"/><Relationship Id="rId184" Type="http://schemas.openxmlformats.org/officeDocument/2006/relationships/image" Target="media/image169.png"/><Relationship Id="rId185" Type="http://schemas.openxmlformats.org/officeDocument/2006/relationships/image" Target="media/image170.jpeg"/><Relationship Id="rId56" Type="http://schemas.openxmlformats.org/officeDocument/2006/relationships/hyperlink" Target="http://www.sec.gov/ix?doc=/Archives/edgar/data/1819790/000181979024000018/tars-20231231.htm" TargetMode="External"/><Relationship Id="rId57" Type="http://schemas.openxmlformats.org/officeDocument/2006/relationships/hyperlink" Target="http://www.sec.gov/ix?doc=/Archives/edgar/data/1819790/000181979024000006/tars-20240111.htm" TargetMode="External"/><Relationship Id="rId58" Type="http://schemas.openxmlformats.org/officeDocument/2006/relationships/hyperlink" Target="http://www.sec.gov/Archives/edgar/data/1819790/000119312520267409/d68419d8a12b.htm" TargetMode="External"/><Relationship Id="rId59" Type="http://schemas.openxmlformats.org/officeDocument/2006/relationships/hyperlink" Target="http://www.sec.gov/Archives/edgar/data/1819790/000181979022000010/tarsus-form10xkxex42descri.htm" TargetMode="External"/><Relationship Id="rId71" Type="http://schemas.openxmlformats.org/officeDocument/2006/relationships/hyperlink" Target="http://www.sec.gov/Archives/edgar/data/1819790/000119312520272900/d11649dex31.htm" TargetMode="External"/><Relationship Id="rId72" Type="http://schemas.openxmlformats.org/officeDocument/2006/relationships/hyperlink" Target="http://www.sec.gov/Archives/edgar/data/1819790/000119312520272900/d11649dex32.htm" TargetMode="External"/><Relationship Id="rId73" Type="http://schemas.openxmlformats.org/officeDocument/2006/relationships/hyperlink" Target="http://www.sec.gov/Archives/edgar/data/1819790/000119312520267327/d30607dex41.htm" TargetMode="External"/><Relationship Id="rId74" Type="http://schemas.openxmlformats.org/officeDocument/2006/relationships/hyperlink" Target="http://www.sec.gov/Archives/edgar/data/1819790/000119312520267327/d3060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2024-02-29T15:46:35Z</dcterms:created>
  <dcterms:modified xsi:type="dcterms:W3CDTF">2024-02-29T15:46:35Z</dcterms:modified>
</cp:coreProperties>
</file>