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1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Lin Elizabeth Yeu</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340"/>
        <w:spacing w:after="0" w:line="379" w:lineRule="auto"/>
        <w:rPr>
          <w:sz w:val="20"/>
          <w:szCs w:val="20"/>
          <w:color w:val="auto"/>
        </w:rPr>
      </w:pPr>
      <w:r>
        <w:rPr>
          <w:rFonts w:ascii="Times New Roman" w:cs="Times New Roman" w:eastAsia="Times New Roman" w:hAnsi="Times New Roman"/>
          <w:sz w:val="16"/>
          <w:szCs w:val="16"/>
          <w:color w:val="0000FF"/>
        </w:rPr>
        <w:t>C/O TARSUS PHARMACEUTICALS, INC. 15440 LAGUNA CANYON ROAD, SUITE 160</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IRVINE</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49"/>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Tarsus Pharmaceuticals,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TARS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2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4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01/25/2024</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26.25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01/25/2024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01/24/2034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in connection with certain consulting services being provided by the Reporting Person. The option will vest in full on January 30, 2025, subject to the Reporting Person's continuous service through such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Jeffrey Farrow, Attorney-in- </w:t>
      </w:r>
      <w:r>
        <w:rPr>
          <w:rFonts w:ascii="Times New Roman" w:cs="Times New Roman" w:eastAsia="Times New Roman" w:hAnsi="Times New Roman"/>
          <w:sz w:val="33"/>
          <w:szCs w:val="33"/>
          <w:color w:val="0000FF"/>
          <w:vertAlign w:val="subscript"/>
        </w:rPr>
        <w:t>01/30/2024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32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42190"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2024-01-30T15:35:17Z</dcterms:created>
  <dcterms:modified xsi:type="dcterms:W3CDTF">2024-01-30T15:35:17Z</dcterms:modified>
</cp:coreProperties>
</file>