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wk-form3_1793914794.xml.htm"/>
      <w:bookmarkStart w:id="1" w:name="kswkform3_1793914794"/>
      <w:bookmarkEnd w:id="0"/>
      <w:bookmarkEnd w:id="1"/>
      <w: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INITIAL STATEMENT OF BENEFICIAL OWNERSHIP OF SECURITIES</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921"/>
            </w:tblGrid>
            <w:t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c>
                <w:tcPr>
                  <w:tcW w:w="2941" w:type="dxa"/>
                  <w:tcBorders/>
                  <w:vAlign w:val="center"/>
                </w:tcPr>
                <w:p>
                  <w:pPr>
                    <w:pStyle w:val="TableContents"/>
                    <w:bidi w:val="0"/>
                    <w:spacing w:before="0" w:after="283"/>
                    <w:jc w:val="left"/>
                  </w:pPr>
                  <w:hyperlink r:id="rId2">
                    <w:r>
                      <w:rPr>
                        <w:rStyle w:val="InternetLink"/>
                      </w:rPr>
                      <w:t>Clase Neera</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17700 LAGUNA CANYON ROAD, FLOOR 4</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2. Date of Event Requiring Statement (Month/Day/Year)</w:t>
            </w:r>
            <w:r>
              <w:br/>
            </w:r>
            <w:r>
              <w:rPr>
                <w:rFonts w:ascii="Times;serif" w:hAnsi="Times;serif"/>
                <w:color w:val="0000FF"/>
                <w:sz w:val="24"/>
                <w:shd w:fill="FFFFFF" w:val="clear"/>
              </w:rPr>
              <w:t>11/01/2026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3">
              <w:r>
                <w:rPr>
                  <w:rStyle w:val="InternetLink"/>
                </w:rPr>
                <w:t>Tarsus Pharmaceuticals, Inc.</w:t>
              </w:r>
            </w:hyperlink>
            <w:r>
              <w:t xml:space="preserve"> [ </w:t>
            </w:r>
            <w:r>
              <w:rPr>
                <w:rFonts w:ascii="Times;serif" w:hAnsi="Times;serif"/>
                <w:color w:val="0000FF"/>
                <w:sz w:val="24"/>
                <w:shd w:fill="FFFFFF" w:val="clear"/>
              </w:rPr>
              <w:t>TARS</w:t>
            </w:r>
            <w:r>
              <w:t xml:space="preserve"> ] </w:t>
              <w:br/>
            </w:r>
            <w:r>
              <w:rPr>
                <w:rFonts w:ascii="arial;helvetica;sans-serif" w:hAnsi="arial;helvetica;sans-serif"/>
                <w:sz w:val="20"/>
              </w:rPr>
              <w:t>Foreign Trading Symbol</w:t>
            </w:r>
          </w:p>
        </w:tc>
      </w:tr>
      <w:tr>
        <w:tc>
          <w:tcPr>
            <w:tcW w:w="3061" w:type="dxa"/>
            <w:vMerge w:val="continue"/>
            <w:tcBorders>
              <w:left w:val="single" w:sz="6" w:space="0" w:color="808080"/>
              <w:bottom w:val="single" w:sz="2" w:space="0" w:color="808080"/>
              <w:right w:val="single" w:sz="6" w:space="0" w:color="808080"/>
            </w:tcBorders>
          </w:tcPr>
          <w:p>
            <w:pPr>
              <w:pStyle w:val="Normal"/>
              <w:bidi w:val="0"/>
              <w:jc w:val="left"/>
            </w:pPr>
            <w:r/>
          </w:p>
        </w:tc>
        <w:tc>
          <w:tcPr>
            <w:tcW w:w="1531" w:type="dxa"/>
            <w:vMerge w:val="continue"/>
            <w:tcBorders>
              <w:left w:val="single" w:sz="2" w:space="0" w:color="808080"/>
              <w:bottom w:val="single" w:sz="2" w:space="0" w:color="808080"/>
              <w:right w:val="single" w:sz="6" w:space="0" w:color="808080"/>
            </w:tcBorders>
          </w:tcPr>
          <w:p>
            <w:pPr>
              <w:pStyle w:val="Normal"/>
              <w:bidi w:val="0"/>
              <w:jc w:val="left"/>
            </w:p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4.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c>
          <w:tcPr>
            <w:tcW w:w="3061" w:type="dxa"/>
            <w:vMerge w:val="continue"/>
            <w:tcBorders>
              <w:left w:val="single" w:sz="6" w:space="0" w:color="808080"/>
              <w:bottom w:val="single" w:sz="6" w:space="0" w:color="808080"/>
              <w:right w:val="single" w:sz="6" w:space="0" w:color="808080"/>
            </w:tcBorders>
          </w:tcPr>
          <w:p>
            <w:pPr>
              <w:pStyle w:val="Normal"/>
              <w:bidi w:val="0"/>
              <w:jc w:val="left"/>
            </w:pPr>
            <w:r/>
          </w:p>
        </w:tc>
        <w:tc>
          <w:tcPr>
            <w:tcW w:w="1531" w:type="dxa"/>
            <w:vMerge w:val="continue"/>
            <w:tcBorders>
              <w:left w:val="single" w:sz="2" w:space="0" w:color="808080"/>
              <w:bottom w:val="single" w:sz="6" w:space="0" w:color="808080"/>
              <w:right w:val="single" w:sz="6" w:space="0" w:color="808080"/>
            </w:tcBorders>
          </w:tcPr>
          <w:p>
            <w:pPr>
              <w:pStyle w:val="Normal"/>
              <w:bidi w:val="0"/>
              <w:jc w:val="left"/>
            </w:pPr>
            <w:r/>
          </w:p>
        </w:tc>
        <w:tc>
          <w:tcPr>
            <w:tcW w:w="3061" w:type="dxa"/>
            <w:vMerge w:val="continue"/>
            <w:tcBorders>
              <w:left w:val="single" w:sz="2" w:space="0" w:color="808080"/>
              <w:bottom w:val="single" w:sz="6" w:space="0" w:color="808080"/>
              <w:right w:val="single" w:sz="6" w:space="0" w:color="808080"/>
            </w:tcBorders>
          </w:tcPr>
          <w:p>
            <w:pPr>
              <w:pStyle w:val="Normal"/>
              <w:bidi w:val="0"/>
              <w:jc w:val="left"/>
            </w:p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p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pPr>
            <w:r/>
          </w:p>
        </w:tc>
        <w:tc>
          <w:tcPr>
            <w:tcW w:w="1228" w:type="dxa"/>
            <w:vMerge w:val="continue"/>
            <w:tcBorders>
              <w:left w:val="single" w:sz="2" w:space="0" w:color="808080"/>
              <w:bottom w:val="single" w:sz="2" w:space="0" w:color="808080"/>
              <w:right w:val="single" w:sz="6" w:space="0" w:color="808080"/>
            </w:tcBorders>
          </w:tcPr>
          <w:p>
            <w:pPr>
              <w:pStyle w:val="Normal"/>
              <w:bidi w:val="0"/>
              <w:jc w:val="left"/>
            </w:pPr>
            <w:r/>
          </w:p>
        </w:tc>
        <w:tc>
          <w:tcPr>
            <w:tcW w:w="1381"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09/06/2031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03/08/2032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03/07/2033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14,909</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03/06/2034</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9,119</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03/04/2035</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6,126</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03/04/2036</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5,007</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Options granted under the Tarsus Pharmaceuticals, Inc. 2020 Stock Plan (the "Plan"). 25% of the option shares vested and became exercisable on August 16, 2022, and 1/48th of the option shares vested each month thereafter for a period of 3 years.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Options granted under the Plan. 25% of the option shares vested and became exercisable on March 9, 2023, and 1/48th of the option shares each month thereafter for a period of 3 years, subject to the Reporting Person's continuous service.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Options granted under the Plan. 25% of the option shares vested and became exercisable on March 8, 2024, and 1/48th of the option shares each month thereafter for a period of 3 years, subject to the Reporting Person's continuous service.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Options granted under the Plan. 25% of the option shares vested and became exercisable on March 7, 2025, and 1/48th of the option shares each month thereafter for a period of 3 years, subject to the Reporting Person's continuous service.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Options granted under the Plan. 25% of the option shares vested and became exercisable on March 5, 2026, and 1/48th of the option shares each month thereafter for a period of 3 years, subject to the Reporting Person's continuous service.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Options granted under the Plan. 25% of the option shares will vest and become exercisable on March 5, 2027, and 1/48th of the option shares each month thereafter for a period of 3 years, subject to the Reporting Person's continuous service.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Restricted Stock Units ("RSUs") granted under the Plan. The RSUs shall vest on March 15, 2027, subject to the Reporting Person's continuous service.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RSUs granted under the Plan. The RSUs shall vest in equal annual installments on March 15, 2027 and March 15, 2028, subject to the Reporting Person's continuous service.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RSUs granted under the Plan. The RSUs shall vest in equal annual installments on March 15th of each of 2027, 2028, and 2029, subject to the Reporting Person's continuous service.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RSUs granted under the Plan. The RSUs shall vest in equal annual installments on March 15th of each of 2027, 2028, 2029, and 2030, subject to the Reporting Person's continuous service.</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Sieckert,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pPr>
      <w:bookmarkStart w:id="2" w:name="tarsus-powerofattorneyse.htm"/>
      <w:bookmarkStart w:id="3" w:name="kstarsuspowerofattorneyse"/>
      <w:bookmarkEnd w:id="2"/>
      <w:bookmarkEnd w:id="3"/>
      <w: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t xml:space="preserve"> </w:t>
      </w:r>
      <w:r>
        <w:br w:type="page"/>
      </w:r>
    </w:p>
    <w:p>
      <w:pPr>
        <w:pStyle w:val="TextBody"/>
        <w:bidi w:val="0"/>
        <w:jc w:val="center"/>
        <w:rPr>
          <w:color w:val="FFFFFF"/>
          <w:sz w:val="2"/>
        </w:rPr>
      </w:pPr>
      <w:r>
        <w:rPr>
          <w:color w:val="FFFFFF"/>
          <w:sz w:val="2"/>
        </w:rPr>
        <w:t xml:space="preserve">Tarsus Pharmaceuticals, Inc. - Power of Attorney GDSVF&amp;H\10344171.1 KNOW ALL BY THESE PRESENTS, the undersigned hereby constitutes and appoints each of Bobak Azamian, Jeffrey Farrow, Bryan Wahl, Scott Sieckert, Nicole Golan, Shannon Callan, Jacob Brouwer, and Kristine Mengoli, signing singly, and with full power of substitution, the undersigned’s true and lawful attorney-in-fact to: (1) execute for and on behalf of the undersigned a Form ID Application, if required, and submit the same to the United States Securities and Exchange Commission; (2) 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 (3) 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 (4) take any other action of any type whatsoever in connection with the foregoing that, in the opinion of such attorney- 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the date written below. Date: ________________ By: _______________________________ Name: Docusign Envelope ID: 3E0D4CB9-3924-8086-8395-B787DC342B82 Neera Clase 10/27/2026 </w:t>
      </w:r>
    </w:p>
    <w:p>
      <w:pPr>
        <w:pStyle w:val="HorizontalLine"/>
        <w:pBdr>
          <w:bottom w:val="single" w:sz="12" w:space="0" w:color="808080"/>
        </w:pBdr>
        <w:bidi w:val="0"/>
        <w:jc w:val="center"/>
      </w:pPr>
      <w:r/>
    </w:p>
    <w:p>
      <w:pPr>
        <w:pStyle w:val="TextBody"/>
        <w:bidi w:val="0"/>
        <w:spacing w:before="0" w:after="283"/>
        <w:jc w:val="center"/>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62845" TargetMode="External"/><Relationship Id="rId3" Type="http://schemas.openxmlformats.org/officeDocument/2006/relationships/hyperlink" Target="http://www.sec.gov/cgi-bin/browse-edgar?action=getcompany&amp;CIK=00018197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1457</Words>
  <Characters>7626</Characters>
  <CharactersWithSpaces>8956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tarsus-powerofattorneyse</dc:title>
</cp:coreProperties>
</file>