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069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6920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Wahl Bryan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Tarsus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TARS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014"/>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11" w:lineRule="exact"/>
        <w:rPr>
          <w:sz w:val="24"/>
          <w:szCs w:val="24"/>
          <w:color w:val="auto"/>
        </w:rPr>
      </w:pPr>
    </w:p>
    <w:p>
      <w:pPr>
        <w:sectPr>
          <w:pgSz w:w="11900" w:h="16838" w:orient="portrait"/>
          <w:cols w:equalWidth="0" w:num="3">
            <w:col w:w="3440" w:space="460"/>
            <w:col w:w="3106" w:space="720"/>
            <w:col w:w="3354"/>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92618</w:t>
            </w:r>
          </w:p>
        </w:tc>
      </w:tr>
      <w:tr>
        <w:trPr>
          <w:trHeight w:val="151"/>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03/15/2023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4,790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18,513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03/16/2023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337</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18,176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4,790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03/15/2023</w:t>
            </w:r>
          </w:p>
        </w:tc>
        <w:tc>
          <w:tcPr>
            <w:tcW w:w="110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4,790</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20"/>
              <w:spacing w:after="0" w:line="130" w:lineRule="exact"/>
              <w:rPr>
                <w:sz w:val="20"/>
                <w:szCs w:val="20"/>
                <w:color w:val="auto"/>
              </w:rPr>
            </w:pPr>
            <w:r>
              <w:rPr>
                <w:rFonts w:ascii="Times New Roman" w:cs="Times New Roman" w:eastAsia="Times New Roman" w:hAnsi="Times New Roman"/>
                <w:sz w:val="13"/>
                <w:szCs w:val="13"/>
                <w:color w:val="0000FF"/>
              </w:rPr>
              <w:t>14,370</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settlement of vested Restricted Stock Units ("RSUs").</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Company's common stock.</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granted on March 9, 2022, under the Tarsus Pharmaceuticals, Inc. 2020 Stock Plan. 25% of the RSUs will vest on March 15th of each of 2023, 2024, 2025, and 2026, subject to the Reporting Person's continuous service.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Leonard M. Greenstein,</w:t>
            </w:r>
          </w:p>
        </w:tc>
        <w:tc>
          <w:tcPr>
            <w:tcW w:w="3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03/17/2023</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10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1401"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2023-03-17T19:47:07Z</dcterms:created>
  <dcterms:modified xsi:type="dcterms:W3CDTF">2023-03-17T19:47:07Z</dcterms:modified>
</cp:coreProperties>
</file>