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296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9653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Wahl Bryan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line="319" w:lineRule="auto"/>
        <w:rPr>
          <w:sz w:val="20"/>
          <w:szCs w:val="20"/>
          <w:color w:val="auto"/>
        </w:rPr>
      </w:pPr>
      <w:r>
        <w:rPr>
          <w:rFonts w:ascii="Times New Roman" w:cs="Times New Roman" w:eastAsia="Times New Roman" w:hAnsi="Times New Roman"/>
          <w:sz w:val="16"/>
          <w:szCs w:val="16"/>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Tarsus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TARS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11/29/2022</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17"/>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3" w:lineRule="exact"/>
        <w:rPr>
          <w:sz w:val="24"/>
          <w:szCs w:val="24"/>
          <w:color w:val="auto"/>
        </w:rPr>
      </w:pPr>
    </w:p>
    <w:p>
      <w:pPr>
        <w:sectPr>
          <w:pgSz w:w="11900" w:h="16838" w:orient="portrait"/>
          <w:cols w:equalWidth="0" w:num="3">
            <w:col w:w="3420" w:space="48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00" w:type="dxa"/>
            <w:vAlign w:val="bottom"/>
            <w:gridSpan w:val="8"/>
          </w:tcPr>
          <w:p>
            <w:pPr>
              <w:jc w:val="center"/>
              <w:ind w:right="28"/>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40" w:type="dxa"/>
            <w:vAlign w:val="bottom"/>
            <w:gridSpan w:val="10"/>
          </w:tcPr>
          <w:p>
            <w:pPr>
              <w:ind w:left="28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IRVINE</w:t>
            </w:r>
          </w:p>
        </w:tc>
        <w:tc>
          <w:tcPr>
            <w:tcW w:w="18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92618</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0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3"/>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6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11/29/2022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10,251</w:t>
            </w: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ind w:left="131"/>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17,224</w:t>
            </w:r>
            <w:r>
              <w:rPr>
                <w:rFonts w:ascii="Times New Roman" w:cs="Times New Roman" w:eastAsia="Times New Roman" w:hAnsi="Times New Roman"/>
                <w:sz w:val="21"/>
                <w:szCs w:val="21"/>
                <w:color w:val="008000"/>
                <w:w w:val="95"/>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11/30/2022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5"/>
              </w:rPr>
              <w:t>1,183</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7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16.5</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16,041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jc w:val="center"/>
              <w:ind w:left="590"/>
              <w:spacing w:after="0"/>
              <w:rPr>
                <w:sz w:val="20"/>
                <w:szCs w:val="20"/>
                <w:color w:val="auto"/>
              </w:rPr>
            </w:pPr>
            <w:r>
              <w:rPr>
                <w:rFonts w:ascii="Times New Roman" w:cs="Times New Roman" w:eastAsia="Times New Roman" w:hAnsi="Times New Roman"/>
                <w:sz w:val="17"/>
                <w:szCs w:val="17"/>
                <w:color w:val="0000FF"/>
                <w:w w:val="98"/>
              </w:rPr>
              <w:t>12/01/2022</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1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5"/>
              </w:rPr>
              <w:t>1,164</w:t>
            </w:r>
            <w:r>
              <w:rPr>
                <w:rFonts w:ascii="Times New Roman" w:cs="Times New Roman" w:eastAsia="Times New Roman" w:hAnsi="Times New Roman"/>
                <w:sz w:val="21"/>
                <w:szCs w:val="21"/>
                <w:color w:val="008000"/>
                <w:w w:val="95"/>
                <w:vertAlign w:val="superscript"/>
              </w:rPr>
              <w:t>(3)</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16.75</w:t>
            </w:r>
          </w:p>
        </w:tc>
        <w:tc>
          <w:tcPr>
            <w:tcW w:w="120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8"/>
              </w:rPr>
              <w:t>14,877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5"/>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jc w:val="center"/>
              <w:ind w:right="438"/>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jc w:val="center"/>
              <w:ind w:right="438"/>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10,251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11/29/2022</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10,251</w:t>
            </w: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23,920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ind w:right="148"/>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restricted stock units ("RSUs") which represent a contingent right to receive one share of Issuer's Common Stock for each RSU. This reported transaction represents the settlement of RSUs vested as of November 29, 2022.</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862 shares acquired under the Issuer's employee stock purchase plan on December 31, 2021, and includes 1,111 shares acquired under the Issuer's employee stock purchase plan on June 30, 2022.</w:t>
      </w:r>
    </w:p>
    <w:p>
      <w:pPr>
        <w:spacing w:after="0" w:line="44" w:lineRule="exact"/>
        <w:rPr>
          <w:rFonts w:ascii="Times New Roman" w:cs="Times New Roman" w:eastAsia="Times New Roman" w:hAnsi="Times New Roman"/>
          <w:sz w:val="13"/>
          <w:szCs w:val="13"/>
          <w:color w:val="008000"/>
        </w:rPr>
      </w:pPr>
    </w:p>
    <w:p>
      <w:pPr>
        <w:ind w:left="40" w:right="5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is mandated by the Issuer's election to require the satisfaction of tax withholding obligations to be funded by a "sell to cover" transaction and does not represent a discretionary transaction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 granted under the Tarsus Pharmaceuticals, Inc. 2020 Stock Plan. The RSUs will vest 30% on November 29, 2022, and 70% on November 29, 2023, subject to the Reporting Person's continuous service.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12/01/2022</w:t>
            </w:r>
          </w:p>
        </w:tc>
        <w:tc>
          <w:tcPr>
            <w:tcW w:w="0" w:type="dxa"/>
            <w:vAlign w:val="bottom"/>
          </w:tcPr>
          <w:p>
            <w:pPr>
              <w:spacing w:after="0"/>
              <w:rPr>
                <w:sz w:val="1"/>
                <w:szCs w:val="1"/>
                <w:color w:val="auto"/>
              </w:rPr>
            </w:pPr>
          </w:p>
        </w:tc>
      </w:tr>
      <w:tr>
        <w:trPr>
          <w:trHeight w:val="88"/>
        </w:trPr>
        <w:tc>
          <w:tcPr>
            <w:tcW w:w="180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1401"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2022-12-01T19:04:04Z</dcterms:created>
  <dcterms:modified xsi:type="dcterms:W3CDTF">2022-12-01T19:04:04Z</dcterms:modified>
</cp:coreProperties>
</file>