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565785</wp:posOffset>
            </wp:positionV>
            <wp:extent cx="1664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3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45720</wp:posOffset>
            </wp:positionV>
            <wp:extent cx="1664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64135</wp:posOffset>
            </wp:positionV>
            <wp:extent cx="1664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spacing w:after="0" w:line="400" w:lineRule="exact"/>
        <w:rPr>
          <w:sz w:val="24"/>
          <w:szCs w:val="24"/>
          <w:color w:val="auto"/>
        </w:rPr>
      </w:pPr>
    </w:p>
    <w:p>
      <w:pPr>
        <w:ind w:left="600" w:hanging="575"/>
        <w:spacing w:after="0"/>
        <w:tabs>
          <w:tab w:leader="none" w:pos="600" w:val="left"/>
        </w:tabs>
        <w:numPr>
          <w:ilvl w:val="0"/>
          <w:numId w:val="1"/>
        </w:numPr>
        <w:rPr>
          <w:rFonts w:ascii="MS PGothic" w:cs="MS PGothic" w:eastAsia="MS PGothic" w:hAnsi="MS PGothic"/>
          <w:sz w:val="32"/>
          <w:szCs w:val="32"/>
          <w:color w:val="auto"/>
          <w:highlight w:val="black"/>
          <w:vertAlign w:val="superscript"/>
        </w:rPr>
      </w:pPr>
      <w:r>
        <w:rPr>
          <w:rFonts w:ascii="Arial" w:cs="Arial" w:eastAsia="Arial" w:hAnsi="Arial"/>
          <w:sz w:val="21"/>
          <w:szCs w:val="21"/>
          <w:b w:val="1"/>
          <w:bCs w:val="1"/>
          <w:color w:val="auto"/>
        </w:rPr>
        <w:t>ANNUAL REPORT PURSUANT TO SECTION 13 OR 15(d) OF THE SECURITIES EXCHANGE ACT OF 1934</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62" w:lineRule="exact"/>
        <w:rPr>
          <w:sz w:val="24"/>
          <w:szCs w:val="24"/>
          <w:color w:val="auto"/>
        </w:rPr>
      </w:pPr>
    </w:p>
    <w:p>
      <w:pPr>
        <w:ind w:left="620" w:hanging="595"/>
        <w:spacing w:after="0"/>
        <w:tabs>
          <w:tab w:leader="none" w:pos="6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w:t>
      </w:r>
    </w:p>
    <w:p>
      <w:pPr>
        <w:ind w:left="5620"/>
        <w:spacing w:after="0"/>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1934</w:t>
      </w:r>
    </w:p>
    <w:p>
      <w:pPr>
        <w:spacing w:after="0" w:line="30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001-396147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58420</wp:posOffset>
            </wp:positionV>
            <wp:extent cx="1664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433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279400</wp:posOffset>
            </wp:positionV>
            <wp:extent cx="1435100" cy="942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5100" cy="942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TARSUS PHARMACEUTICALS,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46355</wp:posOffset>
            </wp:positionV>
            <wp:extent cx="1664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spacing w:after="0" w:line="164" w:lineRule="exact"/>
        <w:rPr>
          <w:sz w:val="24"/>
          <w:szCs w:val="24"/>
          <w:color w:val="auto"/>
        </w:rPr>
      </w:pPr>
    </w:p>
    <w:tbl>
      <w:tblPr>
        <w:tblLayout w:type="fixed"/>
        <w:tblInd w:w="1600" w:type="dxa"/>
        <w:tblCellMar>
          <w:top w:w="0" w:type="dxa"/>
          <w:left w:w="0" w:type="dxa"/>
          <w:bottom w:w="0" w:type="dxa"/>
          <w:right w:w="0" w:type="dxa"/>
        </w:tblCellMar>
      </w:tblPr>
      <w:tr>
        <w:trPr>
          <w:trHeight w:val="185"/>
        </w:trPr>
        <w:tc>
          <w:tcPr>
            <w:tcW w:w="2720" w:type="dxa"/>
            <w:vAlign w:val="bottom"/>
          </w:tcPr>
          <w:p>
            <w:pPr>
              <w:jc w:val="center"/>
              <w:ind w:right="269"/>
              <w:spacing w:after="0"/>
              <w:rPr>
                <w:sz w:val="20"/>
                <w:szCs w:val="20"/>
                <w:color w:val="auto"/>
              </w:rPr>
            </w:pPr>
            <w:r>
              <w:rPr>
                <w:rFonts w:ascii="Arial" w:cs="Arial" w:eastAsia="Arial" w:hAnsi="Arial"/>
                <w:sz w:val="14"/>
                <w:szCs w:val="14"/>
                <w:b w:val="1"/>
                <w:bCs w:val="1"/>
                <w:color w:val="auto"/>
                <w:w w:val="94"/>
              </w:rPr>
              <w:t>Delaware</w:t>
            </w:r>
          </w:p>
        </w:tc>
        <w:tc>
          <w:tcPr>
            <w:tcW w:w="4840" w:type="dxa"/>
            <w:vAlign w:val="bottom"/>
            <w:gridSpan w:val="2"/>
          </w:tcPr>
          <w:p>
            <w:pPr>
              <w:jc w:val="center"/>
              <w:ind w:left="3349"/>
              <w:spacing w:after="0"/>
              <w:rPr>
                <w:sz w:val="20"/>
                <w:szCs w:val="20"/>
                <w:color w:val="auto"/>
              </w:rPr>
            </w:pPr>
            <w:r>
              <w:rPr>
                <w:rFonts w:ascii="Arial" w:cs="Arial" w:eastAsia="Arial" w:hAnsi="Arial"/>
                <w:sz w:val="14"/>
                <w:szCs w:val="14"/>
                <w:b w:val="1"/>
                <w:bCs w:val="1"/>
                <w:color w:val="auto"/>
                <w:w w:val="93"/>
              </w:rPr>
              <w:t>81-4717861</w:t>
            </w:r>
          </w:p>
        </w:tc>
        <w:tc>
          <w:tcPr>
            <w:tcW w:w="0" w:type="dxa"/>
            <w:vAlign w:val="bottom"/>
          </w:tcPr>
          <w:p>
            <w:pPr>
              <w:spacing w:after="0"/>
              <w:rPr>
                <w:sz w:val="1"/>
                <w:szCs w:val="1"/>
                <w:color w:val="auto"/>
              </w:rPr>
            </w:pPr>
          </w:p>
        </w:tc>
      </w:tr>
      <w:tr>
        <w:trPr>
          <w:trHeight w:val="145"/>
        </w:trPr>
        <w:tc>
          <w:tcPr>
            <w:tcW w:w="2720" w:type="dxa"/>
            <w:vAlign w:val="bottom"/>
          </w:tcPr>
          <w:p>
            <w:pPr>
              <w:jc w:val="center"/>
              <w:ind w:right="269"/>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2620" w:type="dxa"/>
            <w:vAlign w:val="bottom"/>
          </w:tcPr>
          <w:p>
            <w:pPr>
              <w:spacing w:after="0"/>
              <w:rPr>
                <w:sz w:val="12"/>
                <w:szCs w:val="12"/>
                <w:color w:val="auto"/>
              </w:rPr>
            </w:pPr>
          </w:p>
        </w:tc>
        <w:tc>
          <w:tcPr>
            <w:tcW w:w="2220" w:type="dxa"/>
            <w:vAlign w:val="bottom"/>
          </w:tcPr>
          <w:p>
            <w:pPr>
              <w:jc w:val="center"/>
              <w:ind w:left="729"/>
              <w:spacing w:after="0" w:line="145"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5"/>
        </w:trPr>
        <w:tc>
          <w:tcPr>
            <w:tcW w:w="2720" w:type="dxa"/>
            <w:vAlign w:val="bottom"/>
          </w:tcPr>
          <w:p>
            <w:pPr>
              <w:jc w:val="center"/>
              <w:ind w:right="269"/>
              <w:spacing w:after="0"/>
              <w:rPr>
                <w:sz w:val="20"/>
                <w:szCs w:val="20"/>
                <w:color w:val="auto"/>
              </w:rPr>
            </w:pPr>
            <w:r>
              <w:rPr>
                <w:rFonts w:ascii="Arial" w:cs="Arial" w:eastAsia="Arial" w:hAnsi="Arial"/>
                <w:sz w:val="14"/>
                <w:szCs w:val="14"/>
                <w:b w:val="1"/>
                <w:bCs w:val="1"/>
                <w:color w:val="auto"/>
                <w:w w:val="93"/>
              </w:rPr>
              <w:t>incorporation or organization)</w:t>
            </w:r>
          </w:p>
        </w:tc>
        <w:tc>
          <w:tcPr>
            <w:tcW w:w="2620" w:type="dxa"/>
            <w:vAlign w:val="bottom"/>
          </w:tcPr>
          <w:p>
            <w:pPr>
              <w:spacing w:after="0"/>
              <w:rPr>
                <w:sz w:val="16"/>
                <w:szCs w:val="16"/>
                <w:color w:val="auto"/>
              </w:rPr>
            </w:pPr>
          </w:p>
        </w:tc>
        <w:tc>
          <w:tcPr>
            <w:tcW w:w="2220" w:type="dxa"/>
            <w:vAlign w:val="bottom"/>
          </w:tcPr>
          <w:p>
            <w:pPr>
              <w:jc w:val="center"/>
              <w:ind w:left="729"/>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176"/>
        </w:trPr>
        <w:tc>
          <w:tcPr>
            <w:tcW w:w="2720" w:type="dxa"/>
            <w:vAlign w:val="bottom"/>
            <w:vMerge w:val="restart"/>
          </w:tcPr>
          <w:p>
            <w:pPr>
              <w:jc w:val="center"/>
              <w:ind w:right="289"/>
              <w:spacing w:after="0"/>
              <w:rPr>
                <w:sz w:val="20"/>
                <w:szCs w:val="20"/>
                <w:color w:val="auto"/>
              </w:rPr>
            </w:pPr>
            <w:r>
              <w:rPr>
                <w:rFonts w:ascii="Arial" w:cs="Arial" w:eastAsia="Arial" w:hAnsi="Arial"/>
                <w:sz w:val="14"/>
                <w:szCs w:val="14"/>
                <w:b w:val="1"/>
                <w:bCs w:val="1"/>
                <w:color w:val="auto"/>
                <w:w w:val="92"/>
              </w:rPr>
              <w:t>15440 Laguna Canyon Road, Suite 160</w:t>
            </w:r>
          </w:p>
        </w:tc>
        <w:tc>
          <w:tcPr>
            <w:tcW w:w="2620" w:type="dxa"/>
            <w:vAlign w:val="bottom"/>
            <w:tcBorders>
              <w:bottom w:val="single" w:sz="8" w:color="auto"/>
            </w:tcBorders>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272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720" w:type="dxa"/>
            <w:vAlign w:val="bottom"/>
          </w:tcPr>
          <w:p>
            <w:pPr>
              <w:jc w:val="center"/>
              <w:ind w:right="269"/>
              <w:spacing w:after="0"/>
              <w:rPr>
                <w:sz w:val="20"/>
                <w:szCs w:val="20"/>
                <w:color w:val="auto"/>
              </w:rPr>
            </w:pPr>
            <w:r>
              <w:rPr>
                <w:rFonts w:ascii="Arial" w:cs="Arial" w:eastAsia="Arial" w:hAnsi="Arial"/>
                <w:sz w:val="14"/>
                <w:szCs w:val="14"/>
                <w:b w:val="1"/>
                <w:bCs w:val="1"/>
                <w:color w:val="auto"/>
                <w:w w:val="96"/>
              </w:rPr>
              <w:t>Irvine, California</w:t>
            </w:r>
          </w:p>
        </w:tc>
        <w:tc>
          <w:tcPr>
            <w:tcW w:w="4840" w:type="dxa"/>
            <w:vAlign w:val="bottom"/>
            <w:gridSpan w:val="2"/>
          </w:tcPr>
          <w:p>
            <w:pPr>
              <w:jc w:val="center"/>
              <w:ind w:left="3369"/>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87"/>
        </w:trPr>
        <w:tc>
          <w:tcPr>
            <w:tcW w:w="2720" w:type="dxa"/>
            <w:vAlign w:val="bottom"/>
          </w:tcPr>
          <w:p>
            <w:pPr>
              <w:jc w:val="center"/>
              <w:ind w:right="269"/>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2620" w:type="dxa"/>
            <w:vAlign w:val="bottom"/>
          </w:tcPr>
          <w:p>
            <w:pPr>
              <w:spacing w:after="0"/>
              <w:rPr>
                <w:sz w:val="16"/>
                <w:szCs w:val="16"/>
                <w:color w:val="auto"/>
              </w:rPr>
            </w:pPr>
          </w:p>
        </w:tc>
        <w:tc>
          <w:tcPr>
            <w:tcW w:w="2220" w:type="dxa"/>
            <w:vAlign w:val="bottom"/>
          </w:tcPr>
          <w:p>
            <w:pPr>
              <w:jc w:val="center"/>
              <w:ind w:left="72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(949) 409-9820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46355</wp:posOffset>
            </wp:positionV>
            <wp:extent cx="1664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4"/>
                <w:szCs w:val="14"/>
                <w:b w:val="1"/>
                <w:bCs w:val="1"/>
                <w:color w:val="auto"/>
              </w:rPr>
              <w:t>Title of each class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27"/>
        </w:trPr>
        <w:tc>
          <w:tcPr>
            <w:tcW w:w="4940" w:type="dxa"/>
            <w:vAlign w:val="bottom"/>
            <w:tcBorders>
              <w:right w:val="single" w:sz="8" w:color="auto"/>
            </w:tcBorders>
          </w:tcPr>
          <w:p>
            <w:pPr>
              <w:ind w:left="20"/>
              <w:spacing w:after="0" w:line="127" w:lineRule="exact"/>
              <w:rPr>
                <w:sz w:val="20"/>
                <w:szCs w:val="20"/>
                <w:color w:val="auto"/>
              </w:rPr>
            </w:pPr>
            <w:r>
              <w:rPr>
                <w:rFonts w:ascii="Arial" w:cs="Arial" w:eastAsia="Arial" w:hAnsi="Arial"/>
                <w:sz w:val="14"/>
                <w:szCs w:val="14"/>
                <w:color w:val="auto"/>
              </w:rPr>
              <w:t>Common Stock, $0.0001 par value per share</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TARS</w:t>
            </w:r>
          </w:p>
        </w:tc>
        <w:tc>
          <w:tcPr>
            <w:tcW w:w="4920" w:type="dxa"/>
            <w:vAlign w:val="bottom"/>
          </w:tcPr>
          <w:p>
            <w:pPr>
              <w:jc w:val="center"/>
              <w:spacing w:after="0" w:line="127" w:lineRule="exact"/>
              <w:rPr>
                <w:sz w:val="20"/>
                <w:szCs w:val="20"/>
                <w:color w:val="auto"/>
              </w:rPr>
            </w:pPr>
            <w:r>
              <w:rPr>
                <w:rFonts w:ascii="Arial" w:cs="Arial" w:eastAsia="Arial" w:hAnsi="Arial"/>
                <w:sz w:val="14"/>
                <w:szCs w:val="14"/>
                <w:color w:val="auto"/>
                <w:w w:val="94"/>
              </w:rPr>
              <w:t>The Nasdaq Global Market LLC</w:t>
            </w:r>
          </w:p>
        </w:tc>
        <w:tc>
          <w:tcPr>
            <w:tcW w:w="0" w:type="dxa"/>
            <w:vAlign w:val="bottom"/>
          </w:tcPr>
          <w:p>
            <w:pPr>
              <w:spacing w:after="0"/>
              <w:rPr>
                <w:sz w:val="1"/>
                <w:szCs w:val="1"/>
                <w:color w:val="auto"/>
              </w:rPr>
            </w:pPr>
          </w:p>
        </w:tc>
      </w:tr>
      <w:tr>
        <w:trPr>
          <w:trHeight w:val="187"/>
        </w:trPr>
        <w:tc>
          <w:tcPr>
            <w:tcW w:w="49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49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3" w:lineRule="exact"/>
        <w:rPr>
          <w:sz w:val="24"/>
          <w:szCs w:val="24"/>
          <w:color w:val="auto"/>
        </w:rPr>
      </w:pPr>
    </w:p>
    <w:p>
      <w:pPr>
        <w:ind w:right="1740"/>
        <w:spacing w:after="0" w:line="2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400"/>
        <w:spacing w:after="0" w:line="21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519430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8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518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3"/>
        </w:trPr>
        <w:tc>
          <w:tcPr>
            <w:tcW w:w="19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518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highlight w:val="black"/>
                <w:w w:val="87"/>
              </w:rPr>
              <w:t>☒</w:t>
            </w:r>
          </w:p>
        </w:tc>
      </w:tr>
    </w:tbl>
    <w:p>
      <w:pPr>
        <w:spacing w:after="0" w:line="307"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68" w:lineRule="exact"/>
        <w:rPr>
          <w:sz w:val="20"/>
          <w:szCs w:val="20"/>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highlight w:val="black"/>
        </w:rPr>
        <w:t>☒</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aggregate market value of the registrant’s voting and non-voting common equity held by non-affiliates of the registrant, based on the closing price of the registrant’s common stock as reported by the Nasdaq Global Select Market on June 30, 2021, was approximately $484 million.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As of March 9, 2022, the number of outstanding shares of the registrant’s common stock, par value $0.0001 per share, was 20,708,946.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Portions of the information called for by Part III of this Annual Report on Form 10-K is hereby incorporated by reference to portions of the registrant’s definitive proxy statement for its 2022 annual meeting of stockholders, which will be filed with the Securities and Exchange Commission not later than 120 days after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530225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80" w:type="dxa"/>
            <w:vAlign w:val="bottom"/>
            <w:gridSpan w:val="2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781"/>
        </w:trPr>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gridSpan w:val="8"/>
          </w:tcPr>
          <w:p>
            <w:pPr>
              <w:ind w:left="5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64"/>
        </w:trPr>
        <w:tc>
          <w:tcPr>
            <w:tcW w:w="20" w:type="dxa"/>
            <w:vAlign w:val="bottom"/>
          </w:tcPr>
          <w:p>
            <w:pPr>
              <w:spacing w:after="0"/>
              <w:rPr>
                <w:sz w:val="24"/>
                <w:szCs w:val="24"/>
                <w:color w:val="auto"/>
              </w:rPr>
            </w:pPr>
          </w:p>
        </w:tc>
        <w:tc>
          <w:tcPr>
            <w:tcW w:w="4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Part I</w:t>
              </w:r>
            </w:hyperlink>
          </w:p>
        </w:tc>
        <w:tc>
          <w:tcPr>
            <w:tcW w:w="9260" w:type="dxa"/>
            <w:vAlign w:val="bottom"/>
            <w:gridSpan w:val="25"/>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Item 1. Business</w:t>
              </w:r>
            </w:hyperlink>
          </w:p>
        </w:tc>
        <w:tc>
          <w:tcPr>
            <w:tcW w:w="1100" w:type="dxa"/>
            <w:vAlign w:val="bottom"/>
            <w:gridSpan w:val="3"/>
          </w:tcPr>
          <w:p>
            <w:pPr>
              <w:ind w:left="920"/>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8"/>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1A. Risk Factors</w:t>
              </w:r>
            </w:hyperlink>
          </w:p>
        </w:tc>
        <w:tc>
          <w:tcPr>
            <w:tcW w:w="7860" w:type="dxa"/>
            <w:vAlign w:val="bottom"/>
            <w:gridSpan w:val="18"/>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15"/>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Item 1B. Unresolved Staff Comments</w:t>
              </w:r>
            </w:hyperlink>
          </w:p>
        </w:tc>
        <w:tc>
          <w:tcPr>
            <w:tcW w:w="6740" w:type="dxa"/>
            <w:vAlign w:val="bottom"/>
            <w:gridSpan w:val="11"/>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87</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7"/>
          </w:tcPr>
          <w:p>
            <w:pPr>
              <w:spacing w:after="0"/>
              <w:rPr>
                <w:rFonts w:ascii="Arial" w:cs="Arial" w:eastAsia="Arial" w:hAnsi="Arial"/>
                <w:sz w:val="18"/>
                <w:szCs w:val="18"/>
                <w:color w:val="0000FF"/>
                <w:w w:val="85"/>
              </w:rPr>
            </w:pPr>
            <w:hyperlink w:anchor="page90">
              <w:r>
                <w:rPr>
                  <w:rFonts w:ascii="Arial" w:cs="Arial" w:eastAsia="Arial" w:hAnsi="Arial"/>
                  <w:sz w:val="18"/>
                  <w:szCs w:val="18"/>
                  <w:color w:val="0000FF"/>
                  <w:w w:val="85"/>
                </w:rPr>
                <w:t>Item 2. Properties</w:t>
              </w:r>
            </w:hyperlink>
          </w:p>
        </w:tc>
        <w:tc>
          <w:tcPr>
            <w:tcW w:w="1440" w:type="dxa"/>
            <w:vAlign w:val="bottom"/>
            <w:gridSpan w:val="8"/>
          </w:tcPr>
          <w:p>
            <w:pPr>
              <w:spacing w:after="0"/>
              <w:rPr>
                <w:sz w:val="18"/>
                <w:szCs w:val="18"/>
                <w:color w:val="auto"/>
              </w:rPr>
            </w:pPr>
          </w:p>
        </w:tc>
        <w:tc>
          <w:tcPr>
            <w:tcW w:w="6740" w:type="dxa"/>
            <w:vAlign w:val="bottom"/>
            <w:gridSpan w:val="11"/>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87</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Item 3. Legal Proceedings</w:t>
              </w:r>
            </w:hyperlink>
          </w:p>
        </w:tc>
        <w:tc>
          <w:tcPr>
            <w:tcW w:w="1200" w:type="dxa"/>
            <w:vAlign w:val="bottom"/>
            <w:gridSpan w:val="4"/>
          </w:tcPr>
          <w:p>
            <w:pPr>
              <w:ind w:left="920"/>
              <w:spacing w:after="0"/>
              <w:rPr>
                <w:rFonts w:ascii="Arial" w:cs="Arial" w:eastAsia="Arial" w:hAnsi="Arial"/>
                <w:sz w:val="18"/>
                <w:szCs w:val="18"/>
                <w:color w:val="0000FF"/>
              </w:rPr>
            </w:pPr>
            <w:hyperlink w:anchor="page90">
              <w:r>
                <w:rPr>
                  <w:rFonts w:ascii="Arial" w:cs="Arial" w:eastAsia="Arial" w:hAnsi="Arial"/>
                  <w:sz w:val="18"/>
                  <w:szCs w:val="18"/>
                  <w:color w:val="0000FF"/>
                </w:rPr>
                <w:t>87</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Item 4. Mine Safety Disclosures</w:t>
              </w:r>
            </w:hyperlink>
          </w:p>
        </w:tc>
        <w:tc>
          <w:tcPr>
            <w:tcW w:w="1200" w:type="dxa"/>
            <w:vAlign w:val="bottom"/>
            <w:gridSpan w:val="4"/>
          </w:tcPr>
          <w:p>
            <w:pPr>
              <w:ind w:left="920"/>
              <w:spacing w:after="0"/>
              <w:rPr>
                <w:rFonts w:ascii="Arial" w:cs="Arial" w:eastAsia="Arial" w:hAnsi="Arial"/>
                <w:sz w:val="18"/>
                <w:szCs w:val="18"/>
                <w:color w:val="0000FF"/>
              </w:rPr>
            </w:pPr>
            <w:hyperlink w:anchor="page90">
              <w:r>
                <w:rPr>
                  <w:rFonts w:ascii="Arial" w:cs="Arial" w:eastAsia="Arial" w:hAnsi="Arial"/>
                  <w:sz w:val="18"/>
                  <w:szCs w:val="18"/>
                  <w:color w:val="0000FF"/>
                </w:rPr>
                <w:t>87</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gridSpan w:val="3"/>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Part II</w:t>
              </w:r>
            </w:hyperlink>
          </w:p>
        </w:tc>
        <w:tc>
          <w:tcPr>
            <w:tcW w:w="9200" w:type="dxa"/>
            <w:vAlign w:val="bottom"/>
            <w:gridSpan w:val="24"/>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Item 5. Market for Registrant's Common Equity, Related Stockholder Matters and Issuer Purchases of Equity Securities</w:t>
              </w:r>
            </w:hyperlink>
          </w:p>
        </w:tc>
        <w:tc>
          <w:tcPr>
            <w:tcW w:w="1200" w:type="dxa"/>
            <w:vAlign w:val="bottom"/>
            <w:gridSpan w:val="4"/>
          </w:tcPr>
          <w:p>
            <w:pPr>
              <w:ind w:left="920"/>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7"/>
          </w:tcPr>
          <w:p>
            <w:pPr>
              <w:spacing w:after="0"/>
              <w:rPr>
                <w:rFonts w:ascii="Arial" w:cs="Arial" w:eastAsia="Arial" w:hAnsi="Arial"/>
                <w:sz w:val="18"/>
                <w:szCs w:val="18"/>
                <w:color w:val="0000FF"/>
                <w:w w:val="85"/>
              </w:rPr>
            </w:pPr>
            <w:hyperlink w:anchor="page91">
              <w:r>
                <w:rPr>
                  <w:rFonts w:ascii="Arial" w:cs="Arial" w:eastAsia="Arial" w:hAnsi="Arial"/>
                  <w:sz w:val="18"/>
                  <w:szCs w:val="18"/>
                  <w:color w:val="0000FF"/>
                  <w:w w:val="85"/>
                </w:rPr>
                <w:t>Item 6. Reserved.</w:t>
              </w:r>
            </w:hyperlink>
          </w:p>
        </w:tc>
        <w:tc>
          <w:tcPr>
            <w:tcW w:w="7260" w:type="dxa"/>
            <w:vAlign w:val="bottom"/>
            <w:gridSpan w:val="18"/>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3"/>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Item 7. Management's Discussion and Analysis of Financial Condition and Results of Operations</w:t>
              </w:r>
            </w:hyperlink>
          </w:p>
        </w:tc>
        <w:tc>
          <w:tcPr>
            <w:tcW w:w="1200" w:type="dxa"/>
            <w:vAlign w:val="bottom"/>
            <w:gridSpan w:val="4"/>
          </w:tcPr>
          <w:p>
            <w:pPr>
              <w:ind w:left="920"/>
              <w:spacing w:after="0"/>
              <w:rPr>
                <w:rFonts w:ascii="Arial" w:cs="Arial" w:eastAsia="Arial" w:hAnsi="Arial"/>
                <w:sz w:val="18"/>
                <w:szCs w:val="18"/>
                <w:color w:val="0000FF"/>
              </w:rPr>
            </w:pPr>
            <w:hyperlink w:anchor="page91">
              <w:r>
                <w:rPr>
                  <w:rFonts w:ascii="Arial" w:cs="Arial" w:eastAsia="Arial" w:hAnsi="Arial"/>
                  <w:sz w:val="18"/>
                  <w:szCs w:val="18"/>
                  <w:color w:val="0000FF"/>
                </w:rPr>
                <w:t>89</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2"/>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Item 8. Financial Statements and Supplementary Data</w:t>
              </w:r>
            </w:hyperlink>
          </w:p>
        </w:tc>
        <w:tc>
          <w:tcPr>
            <w:tcW w:w="2520" w:type="dxa"/>
            <w:vAlign w:val="bottom"/>
            <w:gridSpan w:val="4"/>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103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Item 9. Changes in and Disagreements With Accountants on Accounting and Financial Disclosures</w:t>
              </w:r>
            </w:hyperlink>
          </w:p>
        </w:tc>
        <w:tc>
          <w:tcPr>
            <w:tcW w:w="1560" w:type="dxa"/>
            <w:vAlign w:val="bottom"/>
            <w:gridSpan w:val="5"/>
          </w:tcPr>
          <w:p>
            <w:pPr>
              <w:ind w:left="920"/>
              <w:spacing w:after="0"/>
              <w:rPr>
                <w:rFonts w:ascii="Arial" w:cs="Arial" w:eastAsia="Arial" w:hAnsi="Arial"/>
                <w:sz w:val="18"/>
                <w:szCs w:val="18"/>
                <w:color w:val="0000FF"/>
              </w:rPr>
            </w:pPr>
            <w:hyperlink w:anchor="page132">
              <w:r>
                <w:rPr>
                  <w:rFonts w:ascii="Arial" w:cs="Arial" w:eastAsia="Arial" w:hAnsi="Arial"/>
                  <w:sz w:val="18"/>
                  <w:szCs w:val="18"/>
                  <w:color w:val="0000FF"/>
                </w:rPr>
                <w:t>130</w:t>
              </w:r>
            </w:hyperlink>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9"/>
              </w:rPr>
            </w:pPr>
            <w:hyperlink w:anchor="page133">
              <w:r>
                <w:rPr>
                  <w:rFonts w:ascii="Arial" w:cs="Arial" w:eastAsia="Arial" w:hAnsi="Arial"/>
                  <w:sz w:val="18"/>
                  <w:szCs w:val="18"/>
                  <w:color w:val="0000FF"/>
                  <w:w w:val="89"/>
                </w:rPr>
                <w:t>Item 9A. Controls and Procedures</w:t>
              </w:r>
            </w:hyperlink>
          </w:p>
        </w:tc>
        <w:tc>
          <w:tcPr>
            <w:tcW w:w="4620" w:type="dxa"/>
            <w:vAlign w:val="bottom"/>
            <w:tcBorders>
              <w:top w:val="single" w:sz="8" w:color="0000FF"/>
            </w:tcBorders>
            <w:gridSpan w:val="9"/>
          </w:tcPr>
          <w:p>
            <w:pPr>
              <w:spacing w:after="0"/>
              <w:rPr>
                <w:sz w:val="18"/>
                <w:szCs w:val="18"/>
                <w:color w:val="auto"/>
              </w:rPr>
            </w:pPr>
          </w:p>
        </w:tc>
        <w:tc>
          <w:tcPr>
            <w:tcW w:w="238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6"/>
              </w:rPr>
            </w:pPr>
            <w:hyperlink w:anchor="page133">
              <w:r>
                <w:rPr>
                  <w:rFonts w:ascii="Arial" w:cs="Arial" w:eastAsia="Arial" w:hAnsi="Arial"/>
                  <w:sz w:val="18"/>
                  <w:szCs w:val="18"/>
                  <w:color w:val="0000FF"/>
                  <w:w w:val="86"/>
                </w:rPr>
                <w:t>130</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Item 9B. Other Information</w:t>
              </w:r>
            </w:hyperlink>
          </w:p>
        </w:tc>
        <w:tc>
          <w:tcPr>
            <w:tcW w:w="1560" w:type="dxa"/>
            <w:vAlign w:val="bottom"/>
            <w:gridSpan w:val="5"/>
          </w:tcPr>
          <w:p>
            <w:pPr>
              <w:ind w:left="920"/>
              <w:spacing w:after="0"/>
              <w:rPr>
                <w:rFonts w:ascii="Arial" w:cs="Arial" w:eastAsia="Arial" w:hAnsi="Arial"/>
                <w:sz w:val="18"/>
                <w:szCs w:val="18"/>
                <w:color w:val="0000FF"/>
              </w:rPr>
            </w:pPr>
            <w:hyperlink w:anchor="page133">
              <w:r>
                <w:rPr>
                  <w:rFonts w:ascii="Arial" w:cs="Arial" w:eastAsia="Arial" w:hAnsi="Arial"/>
                  <w:sz w:val="18"/>
                  <w:szCs w:val="18"/>
                  <w:color w:val="0000FF"/>
                </w:rPr>
                <w:t>131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134">
              <w:r>
                <w:rPr>
                  <w:rFonts w:ascii="Arial" w:cs="Arial" w:eastAsia="Arial" w:hAnsi="Arial"/>
                  <w:sz w:val="18"/>
                  <w:szCs w:val="18"/>
                  <w:color w:val="0000FF"/>
                  <w:w w:val="89"/>
                </w:rPr>
                <w:t>Item 9C. Disclosure Regarding Foreign Jurisdictions that Prevent Inspections</w:t>
              </w:r>
            </w:hyperlink>
          </w:p>
        </w:tc>
        <w:tc>
          <w:tcPr>
            <w:tcW w:w="3920" w:type="dxa"/>
            <w:vAlign w:val="bottom"/>
            <w:gridSpan w:val="6"/>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131</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52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134">
              <w:r>
                <w:rPr>
                  <w:rFonts w:ascii="Arial" w:cs="Arial" w:eastAsia="Arial" w:hAnsi="Arial"/>
                  <w:sz w:val="18"/>
                  <w:szCs w:val="18"/>
                  <w:color w:val="0000FF"/>
                  <w:w w:val="94"/>
                </w:rPr>
                <w:t>Part III</w:t>
              </w:r>
            </w:hyperlink>
          </w:p>
        </w:tc>
        <w:tc>
          <w:tcPr>
            <w:tcW w:w="9140" w:type="dxa"/>
            <w:vAlign w:val="bottom"/>
            <w:gridSpan w:val="23"/>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132</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0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135">
              <w:r>
                <w:rPr>
                  <w:rFonts w:ascii="Arial" w:cs="Arial" w:eastAsia="Arial" w:hAnsi="Arial"/>
                  <w:sz w:val="18"/>
                  <w:szCs w:val="18"/>
                  <w:color w:val="0000FF"/>
                  <w:w w:val="89"/>
                </w:rPr>
                <w:t>Item 10. Directors, Executive Officers and Corporate Governance</w:t>
              </w:r>
            </w:hyperlink>
          </w:p>
        </w:tc>
        <w:tc>
          <w:tcPr>
            <w:tcW w:w="4740" w:type="dxa"/>
            <w:vAlign w:val="bottom"/>
            <w:gridSpan w:val="7"/>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132</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35">
              <w:r>
                <w:rPr>
                  <w:rFonts w:ascii="Arial" w:cs="Arial" w:eastAsia="Arial" w:hAnsi="Arial"/>
                  <w:sz w:val="18"/>
                  <w:szCs w:val="18"/>
                  <w:color w:val="0000FF"/>
                  <w:w w:val="89"/>
                </w:rPr>
                <w:t>Item 11. Executive Compensation</w:t>
              </w:r>
            </w:hyperlink>
          </w:p>
        </w:tc>
        <w:tc>
          <w:tcPr>
            <w:tcW w:w="7020" w:type="dxa"/>
            <w:vAlign w:val="bottom"/>
            <w:gridSpan w:val="13"/>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132</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Item 12. Security Ownership of Certain Beneficial Owner and Management and Related Stockholder Matters</w:t>
              </w:r>
            </w:hyperlink>
          </w:p>
        </w:tc>
        <w:tc>
          <w:tcPr>
            <w:tcW w:w="1560" w:type="dxa"/>
            <w:vAlign w:val="bottom"/>
            <w:gridSpan w:val="5"/>
          </w:tcPr>
          <w:p>
            <w:pPr>
              <w:ind w:left="920"/>
              <w:spacing w:after="0"/>
              <w:rPr>
                <w:rFonts w:ascii="Arial" w:cs="Arial" w:eastAsia="Arial" w:hAnsi="Arial"/>
                <w:sz w:val="18"/>
                <w:szCs w:val="18"/>
                <w:color w:val="0000FF"/>
              </w:rPr>
            </w:pPr>
            <w:hyperlink w:anchor="page135">
              <w:r>
                <w:rPr>
                  <w:rFonts w:ascii="Arial" w:cs="Arial" w:eastAsia="Arial" w:hAnsi="Arial"/>
                  <w:sz w:val="18"/>
                  <w:szCs w:val="18"/>
                  <w:color w:val="0000FF"/>
                </w:rPr>
                <w:t>132</w:t>
              </w:r>
            </w:hyperlink>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Borders>
              <w:top w:val="single" w:sz="8" w:color="0000FF"/>
              <w:bottom w:val="single" w:sz="8" w:color="0000FF"/>
            </w:tcBorders>
            <w:gridSpan w:val="21"/>
          </w:tcPr>
          <w:p>
            <w:pPr>
              <w:spacing w:after="0"/>
              <w:rPr>
                <w:rFonts w:ascii="Arial" w:cs="Arial" w:eastAsia="Arial" w:hAnsi="Arial"/>
                <w:sz w:val="18"/>
                <w:szCs w:val="18"/>
                <w:color w:val="0000FF"/>
                <w:w w:val="88"/>
              </w:rPr>
            </w:pPr>
            <w:hyperlink w:anchor="page135">
              <w:r>
                <w:rPr>
                  <w:rFonts w:ascii="Arial" w:cs="Arial" w:eastAsia="Arial" w:hAnsi="Arial"/>
                  <w:sz w:val="18"/>
                  <w:szCs w:val="18"/>
                  <w:color w:val="0000FF"/>
                  <w:w w:val="88"/>
                </w:rPr>
                <w:t>Item 13. Certain Relationships and Related Transactions, and Director Independence</w:t>
              </w:r>
            </w:hyperlink>
          </w:p>
        </w:tc>
        <w:tc>
          <w:tcPr>
            <w:tcW w:w="1740" w:type="dxa"/>
            <w:vAlign w:val="bottom"/>
            <w:tcBorders>
              <w:top w:val="single" w:sz="8" w:color="0000FF"/>
            </w:tcBorders>
            <w:gridSpan w:val="3"/>
          </w:tcPr>
          <w:p>
            <w:pPr>
              <w:spacing w:after="0"/>
              <w:rPr>
                <w:sz w:val="18"/>
                <w:szCs w:val="18"/>
                <w:color w:val="auto"/>
              </w:rPr>
            </w:pPr>
          </w:p>
        </w:tc>
        <w:tc>
          <w:tcPr>
            <w:tcW w:w="16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132</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35">
              <w:r>
                <w:rPr>
                  <w:rFonts w:ascii="Arial" w:cs="Arial" w:eastAsia="Arial" w:hAnsi="Arial"/>
                  <w:sz w:val="18"/>
                  <w:szCs w:val="18"/>
                  <w:color w:val="0000FF"/>
                  <w:w w:val="89"/>
                </w:rPr>
                <w:t>Item 14. Principal Accounting Fees and Services</w:t>
              </w:r>
            </w:hyperlink>
          </w:p>
        </w:tc>
        <w:tc>
          <w:tcPr>
            <w:tcW w:w="5960" w:type="dxa"/>
            <w:vAlign w:val="bottom"/>
            <w:gridSpan w:val="10"/>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132</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9660" w:type="dxa"/>
            <w:vAlign w:val="bottom"/>
            <w:gridSpan w:val="27"/>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Part IV</w:t>
              </w:r>
            </w:hyperlink>
          </w:p>
        </w:tc>
        <w:tc>
          <w:tcPr>
            <w:tcW w:w="1560" w:type="dxa"/>
            <w:vAlign w:val="bottom"/>
            <w:gridSpan w:val="5"/>
          </w:tcPr>
          <w:p>
            <w:pPr>
              <w:ind w:left="920"/>
              <w:spacing w:after="0"/>
              <w:rPr>
                <w:rFonts w:ascii="Arial" w:cs="Arial" w:eastAsia="Arial" w:hAnsi="Arial"/>
                <w:sz w:val="18"/>
                <w:szCs w:val="18"/>
                <w:color w:val="0000FF"/>
              </w:rPr>
            </w:pPr>
            <w:hyperlink w:anchor="page135">
              <w:r>
                <w:rPr>
                  <w:rFonts w:ascii="Arial" w:cs="Arial" w:eastAsia="Arial" w:hAnsi="Arial"/>
                  <w:sz w:val="18"/>
                  <w:szCs w:val="18"/>
                  <w:color w:val="0000FF"/>
                </w:rPr>
                <w:t>133</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6"/>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Item 15. Exhibits, Financial Statement Schedules</w:t>
              </w:r>
            </w:hyperlink>
          </w:p>
        </w:tc>
        <w:tc>
          <w:tcPr>
            <w:tcW w:w="1560" w:type="dxa"/>
            <w:vAlign w:val="bottom"/>
            <w:gridSpan w:val="5"/>
          </w:tcPr>
          <w:p>
            <w:pPr>
              <w:ind w:left="920"/>
              <w:spacing w:after="0"/>
              <w:rPr>
                <w:rFonts w:ascii="Arial" w:cs="Arial" w:eastAsia="Arial" w:hAnsi="Arial"/>
                <w:sz w:val="18"/>
                <w:szCs w:val="18"/>
                <w:color w:val="0000FF"/>
              </w:rPr>
            </w:pPr>
            <w:hyperlink w:anchor="page136">
              <w:r>
                <w:rPr>
                  <w:rFonts w:ascii="Arial" w:cs="Arial" w:eastAsia="Arial" w:hAnsi="Arial"/>
                  <w:sz w:val="18"/>
                  <w:szCs w:val="18"/>
                  <w:color w:val="0000FF"/>
                </w:rPr>
                <w:t>133</w:t>
              </w:r>
            </w:hyperlink>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w:anchor="page138">
              <w:r>
                <w:rPr>
                  <w:rFonts w:ascii="Arial" w:cs="Arial" w:eastAsia="Arial" w:hAnsi="Arial"/>
                  <w:sz w:val="18"/>
                  <w:szCs w:val="18"/>
                  <w:color w:val="0000FF"/>
                  <w:w w:val="91"/>
                </w:rPr>
                <w:t>Item 16. Form 10-K Summary</w:t>
              </w:r>
            </w:hyperlink>
          </w:p>
        </w:tc>
        <w:tc>
          <w:tcPr>
            <w:tcW w:w="1320" w:type="dxa"/>
            <w:vAlign w:val="bottom"/>
            <w:tcBorders>
              <w:top w:val="single" w:sz="8" w:color="0000FF"/>
            </w:tcBorders>
            <w:gridSpan w:val="6"/>
          </w:tcPr>
          <w:p>
            <w:pPr>
              <w:spacing w:after="0"/>
              <w:rPr>
                <w:sz w:val="18"/>
                <w:szCs w:val="18"/>
                <w:color w:val="auto"/>
              </w:rPr>
            </w:pPr>
          </w:p>
        </w:tc>
        <w:tc>
          <w:tcPr>
            <w:tcW w:w="5940" w:type="dxa"/>
            <w:vAlign w:val="bottom"/>
            <w:gridSpan w:val="9"/>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6"/>
              </w:rPr>
            </w:pPr>
            <w:hyperlink w:anchor="page138">
              <w:r>
                <w:rPr>
                  <w:rFonts w:ascii="Arial" w:cs="Arial" w:eastAsia="Arial" w:hAnsi="Arial"/>
                  <w:sz w:val="18"/>
                  <w:szCs w:val="18"/>
                  <w:color w:val="0000FF"/>
                  <w:w w:val="86"/>
                </w:rPr>
                <w:t>135</w:t>
              </w:r>
            </w:hyperlink>
          </w:p>
        </w:tc>
        <w:tc>
          <w:tcPr>
            <w:tcW w:w="3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9660" w:type="dxa"/>
            <w:vAlign w:val="bottom"/>
            <w:gridSpan w:val="27"/>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Signatures</w:t>
              </w:r>
            </w:hyperlink>
          </w:p>
        </w:tc>
        <w:tc>
          <w:tcPr>
            <w:tcW w:w="1560" w:type="dxa"/>
            <w:vAlign w:val="bottom"/>
            <w:gridSpan w:val="5"/>
          </w:tcPr>
          <w:p>
            <w:pPr>
              <w:ind w:left="920"/>
              <w:spacing w:after="0"/>
              <w:rPr>
                <w:rFonts w:ascii="Arial" w:cs="Arial" w:eastAsia="Arial" w:hAnsi="Arial"/>
                <w:sz w:val="18"/>
                <w:szCs w:val="18"/>
                <w:color w:val="0000FF"/>
              </w:rPr>
            </w:pPr>
            <w:hyperlink w:anchor="page138">
              <w:r>
                <w:rPr>
                  <w:rFonts w:ascii="Arial" w:cs="Arial" w:eastAsia="Arial" w:hAnsi="Arial"/>
                  <w:sz w:val="18"/>
                  <w:szCs w:val="18"/>
                  <w:color w:val="0000FF"/>
                </w:rPr>
                <w:t>136</w:t>
              </w:r>
            </w:hyperlink>
          </w:p>
        </w:tc>
      </w:tr>
      <w:tr>
        <w:trPr>
          <w:trHeight w:val="976"/>
        </w:trPr>
        <w:tc>
          <w:tcPr>
            <w:tcW w:w="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8" w:lineRule="exact"/>
        <w:rPr>
          <w:sz w:val="20"/>
          <w:szCs w:val="20"/>
          <w:color w:val="auto"/>
        </w:rPr>
      </w:pPr>
    </w:p>
    <w:p>
      <w:pPr>
        <w:ind w:right="120" w:firstLine="642"/>
        <w:spacing w:after="0" w:line="234" w:lineRule="auto"/>
        <w:rPr>
          <w:sz w:val="20"/>
          <w:szCs w:val="20"/>
          <w:color w:val="auto"/>
        </w:rPr>
      </w:pPr>
      <w:r>
        <w:rPr>
          <w:rFonts w:ascii="Arial" w:cs="Arial" w:eastAsia="Arial" w:hAnsi="Arial"/>
          <w:sz w:val="17"/>
          <w:szCs w:val="17"/>
          <w:color w:val="auto"/>
        </w:rPr>
        <w:t>This Annual Report on Form 10-K contains “forward-looking statements” within the meaning of Section 21E of the Securities Exchange Act of 1934, as amended ("Exchange Act"). All statements other than statements of historical facts contained in this Annual Report on Form 10-K,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Factors that may cause actual results to differ from expected results include, among others:</w:t>
      </w:r>
    </w:p>
    <w:p>
      <w:pPr>
        <w:spacing w:after="0" w:line="3" w:lineRule="exact"/>
        <w:rPr>
          <w:sz w:val="20"/>
          <w:szCs w:val="20"/>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204" w:lineRule="exact"/>
        <w:rPr>
          <w:rFonts w:ascii="Arial" w:cs="Arial" w:eastAsia="Arial" w:hAnsi="Arial"/>
          <w:sz w:val="18"/>
          <w:szCs w:val="18"/>
          <w:color w:val="auto"/>
        </w:rPr>
      </w:pPr>
    </w:p>
    <w:p>
      <w:pPr>
        <w:ind w:left="1300" w:right="120" w:hanging="330"/>
        <w:spacing w:after="0" w:line="27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174" w:lineRule="exact"/>
        <w:rPr>
          <w:rFonts w:ascii="Arial" w:cs="Arial" w:eastAsia="Arial" w:hAnsi="Arial"/>
          <w:sz w:val="18"/>
          <w:szCs w:val="18"/>
          <w:color w:val="auto"/>
        </w:rPr>
      </w:pPr>
    </w:p>
    <w:p>
      <w:pPr>
        <w:ind w:left="1300" w:right="60" w:hanging="330"/>
        <w:spacing w:after="0" w:line="27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174" w:lineRule="exact"/>
        <w:rPr>
          <w:rFonts w:ascii="Arial" w:cs="Arial" w:eastAsia="Arial" w:hAnsi="Arial"/>
          <w:sz w:val="18"/>
          <w:szCs w:val="18"/>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prevalence of Demodex blepharitis and the size of the market opportunity for our product candidates;</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sales strategy;</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0" w:lineRule="exact"/>
        <w:rPr>
          <w:rFonts w:ascii="Arial" w:cs="Arial" w:eastAsia="Arial" w:hAnsi="Arial"/>
          <w:sz w:val="18"/>
          <w:szCs w:val="18"/>
          <w:color w:val="auto"/>
        </w:rPr>
      </w:pPr>
    </w:p>
    <w:p>
      <w:pPr>
        <w:ind w:left="1300" w:right="420" w:hanging="330"/>
        <w:spacing w:after="0" w:line="335" w:lineRule="auto"/>
        <w:tabs>
          <w:tab w:leader="none" w:pos="129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the number of patients in the United States ("U.S.") or globally, as applicable, who suffer from Demodex blepharitis, Meibomian Gland Disease, rosacea, Lyme disease and malaria and the number of patients that will enroll in our clinical trials;</w:t>
      </w:r>
    </w:p>
    <w:p>
      <w:pPr>
        <w:spacing w:after="0" w:line="128" w:lineRule="exact"/>
        <w:rPr>
          <w:rFonts w:ascii="Arial" w:cs="Arial" w:eastAsia="Arial" w:hAnsi="Arial"/>
          <w:sz w:val="16"/>
          <w:szCs w:val="16"/>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220" w:lineRule="exact"/>
        <w:rPr>
          <w:rFonts w:ascii="Arial" w:cs="Arial" w:eastAsia="Arial" w:hAnsi="Arial"/>
          <w:sz w:val="18"/>
          <w:szCs w:val="18"/>
          <w:color w:val="auto"/>
        </w:rPr>
      </w:pPr>
    </w:p>
    <w:p>
      <w:pPr>
        <w:ind w:left="1300" w:right="400" w:hanging="330"/>
        <w:spacing w:after="0" w:line="27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174" w:lineRule="exact"/>
        <w:rPr>
          <w:rFonts w:ascii="Arial" w:cs="Arial" w:eastAsia="Arial" w:hAnsi="Arial"/>
          <w:sz w:val="18"/>
          <w:szCs w:val="18"/>
          <w:color w:val="auto"/>
        </w:rPr>
      </w:pPr>
    </w:p>
    <w:p>
      <w:pPr>
        <w:ind w:left="1300" w:right="140" w:hanging="330"/>
        <w:spacing w:after="0" w:line="27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174" w:lineRule="exact"/>
        <w:rPr>
          <w:rFonts w:ascii="Arial" w:cs="Arial" w:eastAsia="Arial" w:hAnsi="Arial"/>
          <w:sz w:val="18"/>
          <w:szCs w:val="18"/>
          <w:color w:val="auto"/>
        </w:rPr>
      </w:pPr>
    </w:p>
    <w:p>
      <w:pPr>
        <w:ind w:left="1300" w:hanging="330"/>
        <w:spacing w:after="0" w:line="27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74" w:lineRule="exact"/>
        <w:rPr>
          <w:rFonts w:ascii="Arial" w:cs="Arial" w:eastAsia="Arial" w:hAnsi="Arial"/>
          <w:sz w:val="18"/>
          <w:szCs w:val="18"/>
          <w:color w:val="auto"/>
        </w:rPr>
      </w:pPr>
    </w:p>
    <w:p>
      <w:pPr>
        <w:ind w:left="1300" w:hanging="330"/>
        <w:spacing w:after="0" w:line="307" w:lineRule="auto"/>
        <w:tabs>
          <w:tab w:leader="none" w:pos="129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49" w:lineRule="exact"/>
        <w:rPr>
          <w:rFonts w:ascii="Arial" w:cs="Arial" w:eastAsia="Arial" w:hAnsi="Arial"/>
          <w:sz w:val="16"/>
          <w:szCs w:val="16"/>
          <w:color w:val="auto"/>
        </w:rPr>
      </w:pPr>
    </w:p>
    <w:p>
      <w:pPr>
        <w:ind w:left="1280" w:hanging="31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U.S. and other jurisdictions;</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00" w:right="560" w:hanging="330"/>
        <w:spacing w:after="0" w:line="271"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74" w:lineRule="exact"/>
        <w:rPr>
          <w:rFonts w:ascii="Arial" w:cs="Arial" w:eastAsia="Arial" w:hAnsi="Arial"/>
          <w:sz w:val="18"/>
          <w:szCs w:val="18"/>
          <w:color w:val="auto"/>
        </w:rPr>
      </w:pPr>
    </w:p>
    <w:p>
      <w:pPr>
        <w:ind w:left="1280" w:hanging="310"/>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hire additional personnel, in particular sales personnel, and our ability to attract and retain such personnel;</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220" w:lineRule="exact"/>
        <w:rPr>
          <w:rFonts w:ascii="Arial" w:cs="Arial" w:eastAsia="Arial" w:hAnsi="Arial"/>
          <w:sz w:val="18"/>
          <w:szCs w:val="18"/>
          <w:color w:val="auto"/>
        </w:rPr>
      </w:pPr>
    </w:p>
    <w:p>
      <w:pPr>
        <w:ind w:left="1280" w:hanging="310"/>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our Initial Public Offering.</w:t>
      </w:r>
    </w:p>
    <w:p>
      <w:pPr>
        <w:spacing w:after="0" w:line="248" w:lineRule="exact"/>
        <w:rPr>
          <w:sz w:val="20"/>
          <w:szCs w:val="20"/>
          <w:color w:val="auto"/>
        </w:rPr>
      </w:pPr>
    </w:p>
    <w:p>
      <w:pPr>
        <w:ind w:firstLine="642"/>
        <w:spacing w:after="0" w:line="266"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speak only as of the date of this Annual Report on Form 10-K and are subject to a number of risks, uncertainties and assumptions, including those described in the section titled “Risk Factors” elsewhere in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Except as required by applicable law, we do not plan to publicly update or revise any forward-looking statements after the date of this Annual Report on Form 10-K, whether as a result of any new information, future events or otherwise.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w:t>
      </w:r>
    </w:p>
    <w:p>
      <w:pPr>
        <w:spacing w:after="0" w:line="20"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expectations reflected in the forward-looking statements are reasonable, we cannot guarantee that the future results, advancements, discoveries, levels of activity, performance or events and circumstances reflected in the forward-looking</w:t>
      </w:r>
    </w:p>
    <w:p>
      <w:pPr>
        <w:ind w:right="2120"/>
        <w:spacing w:after="0" w:line="250" w:lineRule="auto"/>
        <w:rPr>
          <w:sz w:val="20"/>
          <w:szCs w:val="20"/>
          <w:color w:val="auto"/>
        </w:rPr>
      </w:pPr>
      <w:r>
        <w:rPr>
          <w:rFonts w:ascii="Arial" w:cs="Arial" w:eastAsia="Arial" w:hAnsi="Arial"/>
          <w:sz w:val="18"/>
          <w:szCs w:val="18"/>
          <w:color w:val="auto"/>
        </w:rPr>
        <w:t>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221" w:lineRule="exact"/>
        <w:rPr>
          <w:sz w:val="20"/>
          <w:szCs w:val="20"/>
          <w:color w:val="auto"/>
        </w:rPr>
      </w:pPr>
    </w:p>
    <w:p>
      <w:pPr>
        <w:ind w:right="2620" w:firstLine="642"/>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213" w:lineRule="exact"/>
        <w:rPr>
          <w:sz w:val="20"/>
          <w:szCs w:val="20"/>
          <w:color w:val="auto"/>
        </w:rPr>
      </w:pPr>
    </w:p>
    <w:p>
      <w:pPr>
        <w:ind w:right="460" w:firstLine="642"/>
        <w:spacing w:after="0" w:line="301" w:lineRule="auto"/>
        <w:rPr>
          <w:sz w:val="20"/>
          <w:szCs w:val="20"/>
          <w:color w:val="auto"/>
        </w:rPr>
      </w:pPr>
      <w:r>
        <w:rPr>
          <w:rFonts w:ascii="Arial" w:cs="Arial" w:eastAsia="Arial" w:hAnsi="Arial"/>
          <w:sz w:val="17"/>
          <w:szCs w:val="17"/>
          <w:color w:val="auto"/>
        </w:rPr>
        <w:t>Unless the context otherwise requires, all references in this Annual Report on Form 10-K to the “Company”, “we,” “us,” “our,” “Tarsus,” and “Tarsus Pharmaceuticals” refer to Tarsus Pharmaceuticals, Inc. We primarily conduct our business activities as Tarsus Pharmaceuticals.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right="40" w:firstLine="642"/>
        <w:spacing w:after="0" w:line="271" w:lineRule="auto"/>
        <w:rPr>
          <w:sz w:val="20"/>
          <w:szCs w:val="20"/>
          <w:color w:val="auto"/>
        </w:rPr>
      </w:pPr>
      <w:r>
        <w:rPr>
          <w:rFonts w:ascii="Arial" w:cs="Arial" w:eastAsia="Arial" w:hAnsi="Arial"/>
          <w:sz w:val="16"/>
          <w:szCs w:val="16"/>
          <w:color w:val="auto"/>
        </w:rPr>
        <w:t xml:space="preserve">Tarsus Pharmaceuticals, Tarsus, and Tarsus Pharmaceuticals, Inc., our logo and other registered or common law trade names, trademarks or service marks of Tarsus appearing in this report are the property of the Company. This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report appear without the </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8"/>
          <w:szCs w:val="8"/>
          <w:color w:val="auto"/>
        </w:rPr>
        <w:t>SM</w:t>
      </w:r>
      <w:r>
        <w:rPr>
          <w:rFonts w:ascii="Arial" w:cs="Arial" w:eastAsia="Arial" w:hAnsi="Arial"/>
          <w:sz w:val="16"/>
          <w:szCs w:val="16"/>
          <w:color w:val="auto"/>
        </w:rPr>
        <w:t xml:space="preserve"> symbols, but such references are not intended to indicate, in any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way, that we will not assert, to the fullest extent under applicable law, our rights or the right of the applicable licensor to these trade names, trademarks and service marks.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38" w:lineRule="exact"/>
        <w:rPr>
          <w:sz w:val="20"/>
          <w:szCs w:val="20"/>
          <w:color w:val="auto"/>
        </w:rPr>
      </w:pPr>
    </w:p>
    <w:p>
      <w:pPr>
        <w:ind w:right="160" w:firstLine="642"/>
        <w:spacing w:after="0" w:line="255"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more significant risks associated with our business include the following:</w:t>
      </w:r>
    </w:p>
    <w:p>
      <w:pPr>
        <w:spacing w:after="0" w:line="202" w:lineRule="exact"/>
        <w:rPr>
          <w:sz w:val="20"/>
          <w:szCs w:val="20"/>
          <w:color w:val="auto"/>
        </w:rPr>
      </w:pPr>
    </w:p>
    <w:p>
      <w:pPr>
        <w:ind w:left="640" w:right="200" w:hanging="312"/>
        <w:spacing w:after="0" w:line="284"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179" w:lineRule="exact"/>
        <w:rPr>
          <w:rFonts w:ascii="Arial" w:cs="Arial" w:eastAsia="Arial" w:hAnsi="Arial"/>
          <w:sz w:val="17"/>
          <w:szCs w:val="17"/>
          <w:color w:val="auto"/>
        </w:rPr>
      </w:pPr>
    </w:p>
    <w:p>
      <w:pPr>
        <w:ind w:left="640" w:hanging="312"/>
        <w:spacing w:after="0" w:line="24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11"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heavily dependent on the success of our lead product candidate, TP-03 for the treatment of Demodex blepharitis.</w:t>
      </w:r>
    </w:p>
    <w:p>
      <w:pPr>
        <w:spacing w:after="0" w:line="234" w:lineRule="exact"/>
        <w:rPr>
          <w:rFonts w:ascii="Arial" w:cs="Arial" w:eastAsia="Arial" w:hAnsi="Arial"/>
          <w:sz w:val="18"/>
          <w:szCs w:val="18"/>
          <w:color w:val="auto"/>
        </w:rPr>
      </w:pPr>
    </w:p>
    <w:p>
      <w:pPr>
        <w:ind w:left="640" w:right="160" w:hanging="312"/>
        <w:spacing w:after="0" w:line="24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which began in late 2019 and has spread worldwide, may continue to affect our ability to initiate and complete preclinical studies and clinical trials, disrupt regulatory activities, disrupt our manufacturing and supply chain or have other adverse effects on our business and operations.</w:t>
      </w:r>
    </w:p>
    <w:p>
      <w:pPr>
        <w:spacing w:after="0" w:line="211" w:lineRule="exact"/>
        <w:rPr>
          <w:rFonts w:ascii="Arial" w:cs="Arial" w:eastAsia="Arial" w:hAnsi="Arial"/>
          <w:sz w:val="18"/>
          <w:szCs w:val="18"/>
          <w:color w:val="auto"/>
        </w:rPr>
      </w:pPr>
    </w:p>
    <w:p>
      <w:pPr>
        <w:ind w:left="640" w:right="120" w:hanging="312"/>
        <w:spacing w:after="0" w:line="255"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TP-03 or any other product candidate that we develop receives marketing approval, we may not be successful in educating eye care physician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05" w:lineRule="exact"/>
        <w:rPr>
          <w:rFonts w:ascii="Arial" w:cs="Arial" w:eastAsia="Arial" w:hAnsi="Arial"/>
          <w:sz w:val="17"/>
          <w:szCs w:val="17"/>
          <w:color w:val="auto"/>
        </w:rPr>
      </w:pPr>
    </w:p>
    <w:p>
      <w:pPr>
        <w:ind w:left="640" w:right="280" w:hanging="312"/>
        <w:spacing w:after="0" w:line="289"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development and commercialization of our products, including our lead product candidate, TP-03 for the potential treatment of Demodex blepharitis and Meibomian Gland Disease ("MGD"), TP-04 for the potential treatment of rosacea and TP-05 for potential Lyme prophylaxis and community malaria reduction, is dependent on intellectual property we license from Elanco Tiergesundheit AG ("Elanco").</w:t>
      </w:r>
    </w:p>
    <w:p>
      <w:pPr>
        <w:spacing w:after="0" w:line="177" w:lineRule="exact"/>
        <w:rPr>
          <w:rFonts w:ascii="Arial" w:cs="Arial" w:eastAsia="Arial" w:hAnsi="Arial"/>
          <w:sz w:val="16"/>
          <w:szCs w:val="16"/>
          <w:color w:val="auto"/>
        </w:rPr>
      </w:pPr>
    </w:p>
    <w:p>
      <w:pPr>
        <w:ind w:left="640" w:hanging="31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develop and expand our company and we may encounter difficulties in managing our growth, which could disrupt our operations.</w:t>
      </w:r>
    </w:p>
    <w:p>
      <w:pPr>
        <w:spacing w:after="0" w:line="257" w:lineRule="exact"/>
        <w:rPr>
          <w:rFonts w:ascii="Arial" w:cs="Arial" w:eastAsia="Arial" w:hAnsi="Arial"/>
          <w:sz w:val="16"/>
          <w:szCs w:val="16"/>
          <w:color w:val="auto"/>
        </w:rPr>
      </w:pPr>
    </w:p>
    <w:p>
      <w:pPr>
        <w:ind w:left="640" w:right="160" w:hanging="312"/>
        <w:spacing w:after="0" w:line="289"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77" w:lineRule="exact"/>
        <w:rPr>
          <w:rFonts w:ascii="Arial" w:cs="Arial" w:eastAsia="Arial" w:hAnsi="Arial"/>
          <w:sz w:val="16"/>
          <w:szCs w:val="16"/>
          <w:color w:val="auto"/>
        </w:rPr>
      </w:pPr>
    </w:p>
    <w:p>
      <w:pPr>
        <w:ind w:left="640" w:right="100" w:hanging="312"/>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uncertain timelines and uncertain outcomes, and results of earlier studies and trials may not be predictive of future results.</w:t>
      </w:r>
    </w:p>
    <w:p>
      <w:pPr>
        <w:spacing w:after="0" w:line="202" w:lineRule="exact"/>
        <w:rPr>
          <w:rFonts w:ascii="Arial" w:cs="Arial" w:eastAsia="Arial" w:hAnsi="Arial"/>
          <w:sz w:val="18"/>
          <w:szCs w:val="18"/>
          <w:color w:val="auto"/>
        </w:rPr>
      </w:pPr>
    </w:p>
    <w:p>
      <w:pPr>
        <w:ind w:left="640" w:right="80" w:hanging="312"/>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202"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perform some of our research and preclinical studies.</w:t>
      </w:r>
    </w:p>
    <w:p>
      <w:pPr>
        <w:spacing w:after="0" w:line="234" w:lineRule="exact"/>
        <w:rPr>
          <w:rFonts w:ascii="Arial" w:cs="Arial" w:eastAsia="Arial" w:hAnsi="Arial"/>
          <w:sz w:val="18"/>
          <w:szCs w:val="18"/>
          <w:color w:val="auto"/>
        </w:rPr>
      </w:pPr>
    </w:p>
    <w:p>
      <w:pPr>
        <w:ind w:left="640" w:right="100" w:hanging="312"/>
        <w:spacing w:after="0" w:line="24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11" w:lineRule="exact"/>
        <w:rPr>
          <w:rFonts w:ascii="Arial" w:cs="Arial" w:eastAsia="Arial" w:hAnsi="Arial"/>
          <w:sz w:val="18"/>
          <w:szCs w:val="18"/>
          <w:color w:val="auto"/>
        </w:rPr>
      </w:pPr>
    </w:p>
    <w:p>
      <w:pPr>
        <w:ind w:left="640" w:right="180" w:hanging="312"/>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and preclinical programs for an adequate amount of time.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640" w:hanging="312"/>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firstLine="883"/>
        <w:spacing w:after="0" w:line="224" w:lineRule="auto"/>
        <w:rPr>
          <w:sz w:val="20"/>
          <w:szCs w:val="20"/>
          <w:color w:val="auto"/>
        </w:rPr>
      </w:pPr>
      <w:r>
        <w:rPr>
          <w:rFonts w:ascii="Arial" w:cs="Arial" w:eastAsia="Arial" w:hAnsi="Arial"/>
          <w:sz w:val="18"/>
          <w:szCs w:val="18"/>
          <w:color w:val="auto"/>
        </w:rPr>
        <w:t>We are a biopharmaceutical company focused on the development and commercialization of therapeutics, starting with eye care. Our lead product candidate, TP-03, is a novel investigational eye drop in Phase 3 to treat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TP-03 for the Potential Treatment of Demodex Blepharitis</w:t>
      </w:r>
    </w:p>
    <w:p>
      <w:pPr>
        <w:spacing w:after="0" w:line="221" w:lineRule="exact"/>
        <w:rPr>
          <w:sz w:val="20"/>
          <w:szCs w:val="20"/>
          <w:color w:val="auto"/>
        </w:rPr>
      </w:pPr>
    </w:p>
    <w:p>
      <w:pPr>
        <w:ind w:right="340" w:firstLine="883"/>
        <w:spacing w:after="0" w:line="232" w:lineRule="auto"/>
        <w:rPr>
          <w:sz w:val="20"/>
          <w:szCs w:val="20"/>
          <w:color w:val="auto"/>
        </w:rPr>
      </w:pPr>
      <w:r>
        <w:rPr>
          <w:rFonts w:ascii="Arial" w:cs="Arial" w:eastAsia="Arial" w:hAnsi="Arial"/>
          <w:sz w:val="18"/>
          <w:szCs w:val="18"/>
          <w:color w:val="auto"/>
        </w:rPr>
        <w:t>We designed TP-03 to target and eradicate the root cause of Demodex blepharitis – Demodex mite infestation. The active pharmaceutical ingredient ("API") of TP-03, lotilaner, paralyzes and eradicates mites and other parasites through the inhibition of parasite-specific gamma-aminobutyric acid-gated chloride ("GABA-Cl") channels.</w:t>
      </w:r>
    </w:p>
    <w:p>
      <w:pPr>
        <w:spacing w:after="0" w:line="216" w:lineRule="exact"/>
        <w:rPr>
          <w:sz w:val="20"/>
          <w:szCs w:val="20"/>
          <w:color w:val="auto"/>
        </w:rPr>
      </w:pPr>
    </w:p>
    <w:p>
      <w:pPr>
        <w:ind w:right="60" w:firstLine="802"/>
        <w:spacing w:after="0" w:line="272" w:lineRule="auto"/>
        <w:rPr>
          <w:sz w:val="20"/>
          <w:szCs w:val="20"/>
          <w:color w:val="auto"/>
        </w:rPr>
      </w:pPr>
      <w:r>
        <w:rPr>
          <w:rFonts w:ascii="Arial" w:cs="Arial" w:eastAsia="Arial" w:hAnsi="Arial"/>
          <w:sz w:val="16"/>
          <w:szCs w:val="16"/>
          <w:color w:val="auto"/>
        </w:rPr>
        <w:t>To date, we have completed four Phase 2 trials and one Phase 2b/3 trial (the "Saturn-1 trial") for TP-03 in Demodex blepharitis, all of which met their primary, secondary and/or exploratory endpoints, and TP-03 was well tolerated. In February 2022, we completed enrollment of 412 patients in our second pivotal Phase 3 trial (the "Saturn-2 trial"). The Saturn-2 trial is similar in design and size to Saturn-1 and we expect to report topline data results in April 2022. If Saturn-2 results are positive, we expect to use the data from the Saturn-1 and Saturn-2 trials to support our submission of a new drug application ("NDA") with the U.S. Food and Drug Administration ("FDA") for TP-03 for the treatment of Demodex blepharitis in 2022. We believe that TP-03 has the potential to be the first therapeutic approved by the FDA for the treatment of Demodex blepharitis and become the standard of care.</w:t>
      </w:r>
    </w:p>
    <w:p>
      <w:pPr>
        <w:spacing w:after="0" w:line="193" w:lineRule="exact"/>
        <w:rPr>
          <w:sz w:val="20"/>
          <w:szCs w:val="20"/>
          <w:color w:val="auto"/>
        </w:rPr>
      </w:pPr>
    </w:p>
    <w:p>
      <w:pPr>
        <w:ind w:right="40" w:firstLine="802"/>
        <w:spacing w:after="0"/>
        <w:rPr>
          <w:sz w:val="20"/>
          <w:szCs w:val="20"/>
          <w:color w:val="auto"/>
        </w:rPr>
      </w:pPr>
      <w:r>
        <w:rPr>
          <w:rFonts w:ascii="Arial" w:cs="Arial" w:eastAsia="Arial" w:hAnsi="Arial"/>
          <w:sz w:val="18"/>
          <w:szCs w:val="18"/>
          <w:color w:val="auto"/>
        </w:rPr>
        <w:t>We intend to further advance our pipeline with the lotilaner API to address several diseases across therapeutic categories in human medicine, including eye care, dermatology, and other diseases. As further discussed below, we are developing product candidates to address targeted diseases with high unmet medical needs, which currently include TP-03 for the treatment of MGD, TP-04 for the potential treatment of rosacea, and TP-05 for potential Lyme disease prophylaxis and community malaria reduction.</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TP-03 for the Potential Treatment of Meibomian Gland Disease (MGD)</w:t>
      </w:r>
    </w:p>
    <w:p>
      <w:pPr>
        <w:spacing w:after="0" w:line="234" w:lineRule="exact"/>
        <w:rPr>
          <w:sz w:val="20"/>
          <w:szCs w:val="20"/>
          <w:color w:val="auto"/>
        </w:rPr>
      </w:pPr>
    </w:p>
    <w:p>
      <w:pPr>
        <w:ind w:right="20" w:firstLine="963"/>
        <w:spacing w:after="0" w:line="272" w:lineRule="auto"/>
        <w:rPr>
          <w:sz w:val="20"/>
          <w:szCs w:val="20"/>
          <w:color w:val="auto"/>
        </w:rPr>
      </w:pPr>
      <w:r>
        <w:rPr>
          <w:rFonts w:ascii="Arial" w:cs="Arial" w:eastAsia="Arial" w:hAnsi="Arial"/>
          <w:sz w:val="16"/>
          <w:szCs w:val="16"/>
          <w:color w:val="auto"/>
        </w:rPr>
        <w:t xml:space="preserve">We are also exploring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U.S., MGD prevalence has been found to be approximately two-thirds of the estimated 34 million dry eye patient population. One species of Demodex mite, </w:t>
      </w:r>
      <w:r>
        <w:rPr>
          <w:rFonts w:ascii="Arial" w:cs="Arial" w:eastAsia="Arial" w:hAnsi="Arial"/>
          <w:sz w:val="16"/>
          <w:szCs w:val="16"/>
          <w:i w:val="1"/>
          <w:iCs w:val="1"/>
          <w:color w:val="auto"/>
        </w:rPr>
        <w:t>Demodex brevis</w:t>
      </w:r>
      <w:r>
        <w:rPr>
          <w:rFonts w:ascii="Arial" w:cs="Arial" w:eastAsia="Arial" w:hAnsi="Arial"/>
          <w:sz w:val="16"/>
          <w:szCs w:val="16"/>
          <w:color w:val="auto"/>
        </w:rPr>
        <w:t xml:space="preserve">, is known to infest the meibomian gland, and clinical signs of MGD have been shown to be correlated with infestation of </w:t>
      </w:r>
      <w:r>
        <w:rPr>
          <w:rFonts w:ascii="Arial" w:cs="Arial" w:eastAsia="Arial" w:hAnsi="Arial"/>
          <w:sz w:val="16"/>
          <w:szCs w:val="16"/>
          <w:i w:val="1"/>
          <w:iCs w:val="1"/>
          <w:color w:val="auto"/>
        </w:rPr>
        <w:t>Demodex brevis</w:t>
      </w:r>
      <w:r>
        <w:rPr>
          <w:rFonts w:ascii="Arial" w:cs="Arial" w:eastAsia="Arial" w:hAnsi="Arial"/>
          <w:sz w:val="16"/>
          <w:szCs w:val="16"/>
          <w:color w:val="auto"/>
        </w:rPr>
        <w:t xml:space="preserve">. While dry eye is a multi-factorial disease, TP-03 is designed to improve some of the key elements of MGD by causing the death of the </w:t>
      </w:r>
      <w:r>
        <w:rPr>
          <w:rFonts w:ascii="Arial" w:cs="Arial" w:eastAsia="Arial" w:hAnsi="Arial"/>
          <w:sz w:val="16"/>
          <w:szCs w:val="16"/>
          <w:i w:val="1"/>
          <w:iCs w:val="1"/>
          <w:color w:val="auto"/>
        </w:rPr>
        <w:t>Demodex brevis</w:t>
      </w:r>
      <w:r>
        <w:rPr>
          <w:rFonts w:ascii="Arial" w:cs="Arial" w:eastAsia="Arial" w:hAnsi="Arial"/>
          <w:sz w:val="16"/>
          <w:szCs w:val="16"/>
          <w:color w:val="auto"/>
        </w:rPr>
        <w:t xml:space="preserve"> mites. We are on track to initiate, Ersa, a Phase 2a trial of TP-03 for MGD, in the first half of 2022.</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TP-04 for the Potential Treatment of Rosacea</w:t>
      </w:r>
    </w:p>
    <w:p>
      <w:pPr>
        <w:spacing w:after="0" w:line="221" w:lineRule="exact"/>
        <w:rPr>
          <w:sz w:val="20"/>
          <w:szCs w:val="20"/>
          <w:color w:val="auto"/>
        </w:rPr>
      </w:pPr>
    </w:p>
    <w:p>
      <w:pPr>
        <w:ind w:right="20" w:firstLine="1008"/>
        <w:spacing w:after="0" w:line="258" w:lineRule="auto"/>
        <w:rPr>
          <w:sz w:val="20"/>
          <w:szCs w:val="20"/>
          <w:color w:val="auto"/>
        </w:rPr>
      </w:pPr>
      <w:r>
        <w:rPr>
          <w:rFonts w:ascii="Arial" w:cs="Arial" w:eastAsia="Arial" w:hAnsi="Arial"/>
          <w:sz w:val="16"/>
          <w:szCs w:val="16"/>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U.S. are affected by rosacea and rosacea prevalence can represent up to 5.4% of the global population. We intend to leverage systemic preclinical data from our TP-03 program and augment with additional dermal preclinical studies to select a formulation in order to advance to a Phase 2 trial. We are on track to initiate Galatea, a Phase 2 trial for the treatment of Rosacea, in the second half of 2022. We are conducting preclinical dermatological toxicology studies with TP-04.</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TP-05 for the Potential Prevention of Lyme Disease and Reduction of Malaria Transmission</w:t>
      </w:r>
    </w:p>
    <w:p>
      <w:pPr>
        <w:spacing w:after="0" w:line="234" w:lineRule="exact"/>
        <w:rPr>
          <w:sz w:val="20"/>
          <w:szCs w:val="20"/>
          <w:color w:val="auto"/>
        </w:rPr>
      </w:pPr>
    </w:p>
    <w:p>
      <w:pPr>
        <w:jc w:val="both"/>
        <w:ind w:right="100" w:firstLine="1008"/>
        <w:spacing w:after="0" w:line="244" w:lineRule="auto"/>
        <w:rPr>
          <w:sz w:val="20"/>
          <w:szCs w:val="20"/>
          <w:color w:val="auto"/>
        </w:rPr>
      </w:pPr>
      <w:r>
        <w:rPr>
          <w:rFonts w:ascii="Arial" w:cs="Arial" w:eastAsia="Arial" w:hAnsi="Arial"/>
          <w:sz w:val="18"/>
          <w:szCs w:val="18"/>
          <w:color w:val="auto"/>
        </w:rPr>
        <w:t>In June 2021, we initiated the Phase 1 Callisto trial (the "Callisto Trial"), a single ascending dose and multiple ascending dose trial to evaluate the safety, tolerability and pharmacokinetics ("PK") of TP-05 in healthy volunteers for the prevention of Lyme disease and community reduction of malaria. We expect to report data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right="60" w:firstLine="1008"/>
        <w:spacing w:after="0" w:line="270" w:lineRule="auto"/>
        <w:rPr>
          <w:sz w:val="20"/>
          <w:szCs w:val="20"/>
          <w:color w:val="auto"/>
        </w:rPr>
      </w:pPr>
      <w:r>
        <w:rPr>
          <w:rFonts w:ascii="Arial" w:cs="Arial" w:eastAsia="Arial" w:hAnsi="Arial"/>
          <w:sz w:val="16"/>
          <w:szCs w:val="16"/>
          <w:color w:val="auto"/>
        </w:rPr>
        <w:t>We are developing TP-05 as an oral formulation that is designed as a prophylactic drug against Lyme disease to eradicate the tick before it can transmit the Borrelia bacteria. There are approximately 80 million people in the U.S. at risk of Lyme disease exposure, more than 30 million of which are at</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moderate to high risk and there are approximately 300,000 – 400,000 cases in the U.S. each year. People who spend extended amounts of time outdoors in wooded, grassy areas are at higher risk of getting the infection. Data from the Centers for Disease Control and Prevention ("CDC") show that the risk of Lyme disease is spreading to new geographical areas, resulting in a significant need for prophylactic solutions. Currently, there are no FDA-approved pharmacological prophylactic options for Lyme disease. We believe TP-05 is currently the only non-vaccine, drug-based,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191" w:lineRule="exact"/>
        <w:rPr>
          <w:sz w:val="20"/>
          <w:szCs w:val="20"/>
          <w:color w:val="auto"/>
        </w:rPr>
      </w:pPr>
    </w:p>
    <w:p>
      <w:pPr>
        <w:ind w:right="20" w:firstLine="1008"/>
        <w:spacing w:after="0" w:line="228" w:lineRule="auto"/>
        <w:rPr>
          <w:sz w:val="20"/>
          <w:szCs w:val="20"/>
          <w:color w:val="auto"/>
        </w:rPr>
      </w:pPr>
      <w:r>
        <w:rPr>
          <w:rFonts w:ascii="Arial" w:cs="Arial" w:eastAsia="Arial" w:hAnsi="Arial"/>
          <w:sz w:val="18"/>
          <w:szCs w:val="18"/>
          <w:color w:val="auto"/>
        </w:rPr>
        <w:t>Malaria is one of the world’s highest unmet public health needs, with approximately 228 million cases and more than 400,000 deaths annually. Further, we believe TP-05 also has the potential to significantly reduce malaria transmission through reducing the lifespan of mosquitos that transmit malaria. This may in turn provide herd protection against the spread of malaria. TP-05 is not intended to treat the disease, but to limit its transmission. For malaria, we may conduct the Phase 1/2 trial outside of the U.S.</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pipeline chart presents our wholly-owned product candidates and clinical development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158115</wp:posOffset>
            </wp:positionV>
            <wp:extent cx="5808980" cy="2267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08980"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Figure 1: Pipeline Chart</w:t>
      </w:r>
    </w:p>
    <w:p>
      <w:pPr>
        <w:spacing w:after="0" w:line="297" w:lineRule="exact"/>
        <w:rPr>
          <w:sz w:val="20"/>
          <w:szCs w:val="20"/>
          <w:color w:val="auto"/>
        </w:rPr>
      </w:pPr>
    </w:p>
    <w:p>
      <w:pPr>
        <w:ind w:left="520" w:hanging="495"/>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Anticipated milestones are subject to the impact of the ongoing COVID-19 pandemic on our business and those of our partners.</w:t>
      </w:r>
    </w:p>
    <w:p>
      <w:pPr>
        <w:spacing w:after="0" w:line="49" w:lineRule="exact"/>
        <w:rPr>
          <w:sz w:val="20"/>
          <w:szCs w:val="20"/>
          <w:color w:val="auto"/>
        </w:rPr>
      </w:pPr>
    </w:p>
    <w:p>
      <w:pPr>
        <w:ind w:left="520" w:right="400" w:hanging="495"/>
        <w:spacing w:after="0" w:line="265"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spacing w:after="0" w:line="16" w:lineRule="exact"/>
        <w:rPr>
          <w:rFonts w:ascii="Arial" w:cs="Arial" w:eastAsia="Arial" w:hAnsi="Arial"/>
          <w:sz w:val="12"/>
          <w:szCs w:val="12"/>
          <w:color w:val="auto"/>
        </w:rPr>
      </w:pPr>
    </w:p>
    <w:p>
      <w:pPr>
        <w:ind w:left="520" w:hanging="495"/>
        <w:spacing w:after="0" w:line="265"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We intend to leverage all preclinical, Phase 2 and Phase 3 data from the TP-03 Demodex blepharitis program. We intend to conduct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or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bioequivalence studies with our preservative-free formulation to compare it to the current preserved formulation of TP-03 in Demodex blepharitis after NDA submission and file a supplement.</w:t>
      </w:r>
    </w:p>
    <w:p>
      <w:pPr>
        <w:spacing w:after="0" w:line="16" w:lineRule="exact"/>
        <w:rPr>
          <w:sz w:val="20"/>
          <w:szCs w:val="20"/>
          <w:color w:val="auto"/>
        </w:rPr>
      </w:pPr>
    </w:p>
    <w:p>
      <w:pPr>
        <w:ind w:left="520" w:right="180" w:hanging="495"/>
        <w:spacing w:after="0" w:line="304" w:lineRule="auto"/>
        <w:tabs>
          <w:tab w:leader="none" w:pos="5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intend to leverage systemic preclinical data from our TP-03 program and augment with additional dermal preclinical studies to select formulation in order to advance to Phase 1/2, which we intend to conduct outside the U.S. We may need to address this approach with the FDA if we were to conduct a clinical trial in the U.S. We have not conducted any preclinical studies in rosacea with TP-04 to date.</w:t>
      </w:r>
    </w:p>
    <w:p>
      <w:pPr>
        <w:spacing w:after="0" w:line="1" w:lineRule="exact"/>
        <w:rPr>
          <w:sz w:val="20"/>
          <w:szCs w:val="20"/>
          <w:color w:val="auto"/>
        </w:rPr>
      </w:pPr>
    </w:p>
    <w:p>
      <w:pPr>
        <w:ind w:left="520" w:right="40" w:hanging="495"/>
        <w:spacing w:after="0" w:line="268" w:lineRule="auto"/>
        <w:tabs>
          <w:tab w:leader="none" w:pos="5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 relation to Lyme disease prophylaxis and community malaria reduction, we intend to leverage oral systemic preclinical data from our TP-03 program as well as third-party oral systemic preclinical studies for Lyme disease prophylaxis or community malaria reduction, respectively (and will not conduct our own preclinical studies for Lyme disease prophylaxis and community malaria reduction). The formulations used in preclinical studies use the common approach of a gavage that is scaled as appropriate for use in animals. However, human administration, while continuing to be oral, will take the form of a tablet or capsule. We have received FDA feedback from our pre-investigational new drug ("IND") meeting and the FDA has accepted our IND application for Lyme disease prophylaxis. We commenced a Phase 1 trial in June 2021,and further intend to conduct additional trials based on these preclinical studies. In relation to community malaria reduction, we may conduct our trials outside the U.S.</w:t>
      </w:r>
    </w:p>
    <w:p>
      <w:pPr>
        <w:spacing w:after="0" w:line="310"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Our Strategy</w:t>
      </w:r>
    </w:p>
    <w:p>
      <w:pPr>
        <w:spacing w:after="0" w:line="234" w:lineRule="exact"/>
        <w:rPr>
          <w:sz w:val="20"/>
          <w:szCs w:val="20"/>
          <w:color w:val="auto"/>
        </w:rPr>
      </w:pPr>
    </w:p>
    <w:p>
      <w:pPr>
        <w:jc w:val="both"/>
        <w:ind w:right="120" w:firstLine="1008"/>
        <w:spacing w:after="0" w:line="244" w:lineRule="auto"/>
        <w:rPr>
          <w:sz w:val="20"/>
          <w:szCs w:val="20"/>
          <w:color w:val="auto"/>
        </w:rPr>
      </w:pPr>
      <w:r>
        <w:rPr>
          <w:rFonts w:ascii="Arial" w:cs="Arial" w:eastAsia="Arial" w:hAnsi="Arial"/>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 xml:space="preserve">Advance TP-03 through clinical development and eventual approval for the treatment of Demodex blepharitis. </w:t>
      </w:r>
      <w:r>
        <w:rPr>
          <w:rFonts w:ascii="Arial" w:cs="Arial" w:eastAsia="Arial" w:hAnsi="Arial"/>
          <w:sz w:val="18"/>
          <w:szCs w:val="18"/>
          <w:color w:val="auto"/>
        </w:rPr>
        <w:t>TP-03 met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all secondary endpoints and was well tolerated, with a safety profile similar to vehicle in Saturn-1, our first pivotal trial. In February 2022, we completed enrollment of 412 patients in our second pivotal Phase 3 trial, Saturn-2. The Saturn-2 trial is similar in design and size to Saturn-1 and we are on track to report topline data results in April 2022. If Saturn-2 results are positive, we expect to use the data from the Saturn-1 and Saturn-2 trials to support our submission of an NDA with the FDA for TP-03 for the treatment of Demodex blepharitis in 2022.</w:t>
      </w:r>
    </w:p>
    <w:p>
      <w:pPr>
        <w:spacing w:after="0" w:line="133" w:lineRule="exact"/>
        <w:rPr>
          <w:sz w:val="20"/>
          <w:szCs w:val="20"/>
          <w:color w:val="auto"/>
        </w:rPr>
      </w:pPr>
    </w:p>
    <w:p>
      <w:pPr>
        <w:sectPr>
          <w:pgSz w:w="11900" w:h="16838" w:orient="portrait"/>
          <w:cols w:equalWidth="0" w:num="2">
            <w:col w:w="1280" w:space="240"/>
            <w:col w:w="9720"/>
          </w:cols>
          <w:pgMar w:left="320" w:top="125" w:right="339" w:bottom="1440" w:gutter="0" w:footer="0" w:header="0"/>
        </w:sectPr>
      </w:pPr>
    </w:p>
    <w:p>
      <w:pPr>
        <w:ind w:left="1520" w:right="100" w:hanging="425"/>
        <w:spacing w:after="0" w:line="244" w:lineRule="auto"/>
        <w:tabs>
          <w:tab w:leader="none" w:pos="15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Educate ECPs and establish our own specialty sales organization to commercialize TP-03 in the U.S. </w:t>
      </w:r>
      <w:r>
        <w:rPr>
          <w:rFonts w:ascii="Arial" w:cs="Arial" w:eastAsia="Arial" w:hAnsi="Arial"/>
          <w:sz w:val="17"/>
          <w:szCs w:val="17"/>
          <w:color w:val="auto"/>
        </w:rPr>
        <w:t>If approved by the FDA for</w:t>
      </w:r>
      <w:r>
        <w:rPr>
          <w:rFonts w:ascii="Arial" w:cs="Arial" w:eastAsia="Arial" w:hAnsi="Arial"/>
          <w:sz w:val="17"/>
          <w:szCs w:val="17"/>
          <w:b w:val="1"/>
          <w:bCs w:val="1"/>
          <w:color w:val="auto"/>
        </w:rPr>
        <w:t xml:space="preserve"> </w:t>
      </w:r>
      <w:r>
        <w:rPr>
          <w:rFonts w:ascii="Arial" w:cs="Arial" w:eastAsia="Arial" w:hAnsi="Arial"/>
          <w:sz w:val="17"/>
          <w:szCs w:val="17"/>
          <w:color w:val="auto"/>
        </w:rPr>
        <w:t>Demodex blepharitis, we intend to commercialize TP-03 by developing our own sales organization targeting a subset of the approximately 15,000 prescribing ECPs in the United States. Our commercialization efforts, will include educating ECPs on Demodex blepharitis and to the simplicity and speed of diagnosing Demodex blepharitis through a standard eye examination.</w:t>
      </w:r>
    </w:p>
    <w:p>
      <w:pPr>
        <w:spacing w:after="0" w:line="114" w:lineRule="exact"/>
        <w:rPr>
          <w:rFonts w:ascii="Arial" w:cs="Arial" w:eastAsia="Arial" w:hAnsi="Arial"/>
          <w:sz w:val="17"/>
          <w:szCs w:val="17"/>
          <w:color w:val="auto"/>
        </w:rPr>
      </w:pPr>
    </w:p>
    <w:p>
      <w:pPr>
        <w:ind w:left="1520" w:right="120" w:hanging="425"/>
        <w:spacing w:after="0" w:line="305" w:lineRule="auto"/>
        <w:tabs>
          <w:tab w:leader="none" w:pos="15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Expand the label of TP-03 for other indications, including MGD. </w:t>
      </w:r>
      <w:r>
        <w:rPr>
          <w:rFonts w:ascii="Arial" w:cs="Arial" w:eastAsia="Arial" w:hAnsi="Arial"/>
          <w:sz w:val="16"/>
          <w:szCs w:val="16"/>
          <w:color w:val="auto"/>
        </w:rPr>
        <w:t>Like blepharitis, MGD may also be caused by Demodex</w:t>
      </w:r>
      <w:r>
        <w:rPr>
          <w:rFonts w:ascii="Arial" w:cs="Arial" w:eastAsia="Arial" w:hAnsi="Arial"/>
          <w:sz w:val="16"/>
          <w:szCs w:val="16"/>
          <w:b w:val="1"/>
          <w:bCs w:val="1"/>
          <w:color w:val="auto"/>
        </w:rPr>
        <w:t xml:space="preserve"> </w:t>
      </w:r>
      <w:r>
        <w:rPr>
          <w:rFonts w:ascii="Arial" w:cs="Arial" w:eastAsia="Arial" w:hAnsi="Arial"/>
          <w:sz w:val="16"/>
          <w:szCs w:val="16"/>
          <w:color w:val="auto"/>
        </w:rPr>
        <w:t>infestation, and we intend to explore TP-03 in this indication. We plan to initiate Ersa a Phase 2 trial for MGD in the first half of 2022.</w:t>
      </w:r>
    </w:p>
    <w:p>
      <w:pPr>
        <w:spacing w:after="0" w:line="80" w:lineRule="exact"/>
        <w:rPr>
          <w:rFonts w:ascii="Arial" w:cs="Arial" w:eastAsia="Arial" w:hAnsi="Arial"/>
          <w:sz w:val="16"/>
          <w:szCs w:val="16"/>
          <w:color w:val="auto"/>
        </w:rPr>
      </w:pPr>
    </w:p>
    <w:p>
      <w:pPr>
        <w:ind w:left="1520" w:right="80" w:hanging="425"/>
        <w:spacing w:after="0" w:line="22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Continue to advance and expand our pipeline, bringing novel products utilizing lotilaner to unmet needs across human medicine, including rosacea, Lyme disease prophylaxis and community malaria reduction. </w:t>
      </w:r>
      <w:r>
        <w:rPr>
          <w:rFonts w:ascii="Arial" w:cs="Arial" w:eastAsia="Arial" w:hAnsi="Arial"/>
          <w:sz w:val="18"/>
          <w:szCs w:val="18"/>
          <w:color w:val="auto"/>
        </w:rPr>
        <w:t>The mechanism of lotilaner coupled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insights into disease where it can demonstrate clinical benefit, provides an opportunity to expand into new indications for treatment or prevention. We are on track to initiate Galatea, a Phase 2 study for Rosacea and deliver topline Phase 1 Callisto data in the second half of 2022.</w:t>
      </w:r>
    </w:p>
    <w:p>
      <w:pPr>
        <w:spacing w:after="0" w:line="144" w:lineRule="exact"/>
        <w:rPr>
          <w:rFonts w:ascii="Arial" w:cs="Arial" w:eastAsia="Arial" w:hAnsi="Arial"/>
          <w:sz w:val="18"/>
          <w:szCs w:val="18"/>
          <w:color w:val="auto"/>
        </w:rPr>
      </w:pPr>
    </w:p>
    <w:p>
      <w:pPr>
        <w:ind w:left="1520" w:right="20" w:hanging="425"/>
        <w:spacing w:after="0" w:line="252" w:lineRule="auto"/>
        <w:tabs>
          <w:tab w:leader="none" w:pos="15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Evaluate and selectively enter collaborations to maximize the potential of our pipeline and the scope of our eye care product offerings. </w:t>
      </w:r>
      <w:r>
        <w:rPr>
          <w:rFonts w:ascii="Arial" w:cs="Arial" w:eastAsia="Arial" w:hAnsi="Arial"/>
          <w:sz w:val="17"/>
          <w:szCs w:val="17"/>
          <w:color w:val="auto"/>
        </w:rPr>
        <w:t>Other than the recent out-license agreement (the "China Out-License Agreement) with LianBio Ophthalmology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("LianBio") of TP-03 for the treatment of Demodex blepharitis and MGD within the China Territory as noted above, we have retained our rights globally to all of our indications for use in humans, including our lead product candidate, TP-03, for the potential treatment of Demodex blepharitis and MGD, TP-04 for the potential treatment of rosacea and TP-05 for potential Lyme disease prophylaxis and community malaria reduction. We are dependent on licenses from Elanco for the development and commercialization of these products. Given the potential to treat patients worldwide we may opportunistically enter into strategic collaborations around certain product candidates, disease or geographic regions.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Blepharitis: Market Overview</w:t>
      </w:r>
    </w:p>
    <w:p>
      <w:pPr>
        <w:spacing w:after="0" w:line="225" w:lineRule="exact"/>
        <w:rPr>
          <w:sz w:val="20"/>
          <w:szCs w:val="20"/>
          <w:color w:val="auto"/>
        </w:rPr>
      </w:pPr>
    </w:p>
    <w:p>
      <w:pPr>
        <w:ind w:right="60" w:firstLine="1008"/>
        <w:spacing w:after="0" w:line="249" w:lineRule="auto"/>
        <w:rPr>
          <w:sz w:val="20"/>
          <w:szCs w:val="20"/>
          <w:color w:val="auto"/>
        </w:rPr>
      </w:pPr>
      <w:r>
        <w:rPr>
          <w:rFonts w:ascii="Arial" w:cs="Arial" w:eastAsia="Arial" w:hAnsi="Arial"/>
          <w:sz w:val="16"/>
          <w:szCs w:val="16"/>
          <w:color w:val="auto"/>
        </w:rPr>
        <w:t>Blepharitis is a common, chronic ophthalmic lid margin disease characterized by inflammation of the eyelid margin, redness and ocular irritation. It is also a progressive disease that often manifests with more severe symptoms if left untreated, such as blurring of vision, missing eyelashes, corneal damage and, in extreme cases, blindness. We believe that the number of Demodex blepharitis patients in the U.S. may be as high as approximately 25 million based on 'Sadri, E et al, The Prevalence of Collarettes and Demodex Blepharitis in Ophthalmology and Optometry Practices (Titan study), American Society of Cataract and Refractive Surgery 2021,' indicating approximately 58% of patients presenting to eye care clinics have collarettes and that at least 45 million people annually visit an eye care clinic. In addition, there is growing awareness among ECPs of a specific type of debris found at the base of the eyelashes, known as collarettes, or cylindrical dandruff, which are pathognomonic for Demodex infestation. Collarettes are composed of partially digested epithelial cells, mite waste products and eggs among other things and can be easily diagnosed by ECPs with a standard eye examination. Demodex blepharitis increases progressively with aging, which is one main risk factor for the disease, though other commonly seen patients suffer from dry eye, contact lens intolerance, and cataracts. These patients commonly present to the offices of ECPs for other ophthalmic diseases besides blepharitis, such as cataract surgery evaluation and contact lens discomfort. Accordingly, we believe that there is significant opportunity to increase the diagnosis rate of Demodex blepharitis through ECP and patient education that encourages examination of the disease in standard practice.</w:t>
      </w:r>
    </w:p>
    <w:p>
      <w:pPr>
        <w:spacing w:after="0" w:line="210" w:lineRule="exact"/>
        <w:rPr>
          <w:sz w:val="20"/>
          <w:szCs w:val="20"/>
          <w:color w:val="auto"/>
        </w:rPr>
      </w:pPr>
    </w:p>
    <w:p>
      <w:pPr>
        <w:ind w:firstLine="1008"/>
        <w:spacing w:after="0" w:line="236" w:lineRule="auto"/>
        <w:rPr>
          <w:sz w:val="20"/>
          <w:szCs w:val="20"/>
          <w:color w:val="auto"/>
        </w:rPr>
      </w:pPr>
      <w:r>
        <w:rPr>
          <w:rFonts w:ascii="Arial" w:cs="Arial" w:eastAsia="Arial" w:hAnsi="Arial"/>
          <w:sz w:val="18"/>
          <w:szCs w:val="18"/>
          <w:color w:val="auto"/>
        </w:rPr>
        <w:t>Despite the high prevalence of patients with Demodex blepharitis and growing awareness of the disease amongst ECPs, there are no FDA-approved therapeutics for the treatment of blepharitis let alone Demodex blepharitis. Although we believe blepharitis and Demodex blepharitis are significantly under-diagnosed diseases, with limited treatment alternatives, there are already an estimated 2.1 million annual blepharitis diagnoses in the U.S. with blepharitis classified per the International Classification of Diseases, Tenth Revision, Clinical Modification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typically eradicate the Demodex mites.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firstLine="1008"/>
        <w:spacing w:after="0" w:line="251" w:lineRule="auto"/>
        <w:rPr>
          <w:sz w:val="20"/>
          <w:szCs w:val="20"/>
          <w:color w:val="auto"/>
        </w:rPr>
      </w:pPr>
      <w:r>
        <w:rPr>
          <w:rFonts w:ascii="Arial" w:cs="Arial" w:eastAsia="Arial" w:hAnsi="Arial"/>
          <w:sz w:val="16"/>
          <w:szCs w:val="16"/>
          <w:color w:val="auto"/>
        </w:rPr>
        <w:t>We have conducted epidemiology and market research on the prevalence of blepharitis and potential adoption of TP-03. Our research indicates approximately 58% of patients presenting to ECP offices have collarettes and, based on, for example, Gao et al. (2005): High Prevalence of Demodex in Eyelashes with Cylindrical Dandruff. Invst Ophth and Vis Sci, September 2005, Vol. 46, No. 3089-3094 (the “Gao Study”), all patients with collarettes were also found to have Demodex. In addition, our market research suggests the potential for a high level of adoption of TP-03, if approved. In our surveys, we interviewed 50 ECPs, 96% of whom indicated they would prescribe TP-03 as a first-line treatment for Demodex blepharitis after reviewing the TP-03 target product profile. Further, patients continue to have underlying risk of 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207" w:lineRule="exact"/>
        <w:rPr>
          <w:sz w:val="20"/>
          <w:szCs w:val="20"/>
          <w:color w:val="auto"/>
        </w:rPr>
      </w:pPr>
    </w:p>
    <w:p>
      <w:pPr>
        <w:ind w:right="80" w:firstLine="1008"/>
        <w:spacing w:after="0" w:line="255" w:lineRule="auto"/>
        <w:rPr>
          <w:sz w:val="20"/>
          <w:szCs w:val="20"/>
          <w:color w:val="auto"/>
        </w:rPr>
      </w:pPr>
      <w:r>
        <w:rPr>
          <w:rFonts w:ascii="Arial" w:cs="Arial" w:eastAsia="Arial" w:hAnsi="Arial"/>
          <w:sz w:val="18"/>
          <w:szCs w:val="18"/>
          <w:color w:val="auto"/>
        </w:rPr>
        <w:t>We believe there is a significant opportunity to increase the diagnosis rate of Demodex blepharitis and build a significant new market with the approval of a safe and effective therapeutic alternative that addresses the underlying cause of the disease.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Blepharitis Overview</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Blepharitis</w:t>
      </w:r>
    </w:p>
    <w:p>
      <w:pPr>
        <w:spacing w:after="0" w:line="221" w:lineRule="exact"/>
        <w:rPr>
          <w:sz w:val="20"/>
          <w:szCs w:val="20"/>
          <w:color w:val="auto"/>
        </w:rPr>
      </w:pPr>
    </w:p>
    <w:p>
      <w:pPr>
        <w:ind w:firstLine="1008"/>
        <w:spacing w:after="0" w:line="250" w:lineRule="auto"/>
        <w:rPr>
          <w:sz w:val="20"/>
          <w:szCs w:val="20"/>
          <w:color w:val="auto"/>
        </w:rPr>
      </w:pPr>
      <w:r>
        <w:rPr>
          <w:rFonts w:ascii="Arial" w:cs="Arial" w:eastAsia="Arial" w:hAnsi="Arial"/>
          <w:sz w:val="16"/>
          <w:szCs w:val="16"/>
          <w:color w:val="auto"/>
        </w:rPr>
        <w:t>Blepharitis is a common chronic ophthalmic lid margin disease, which may lead to or exacerbate ocular surface disease. Blepharitis is characterized by inflammation of the eyelid margin, redness and ocular irritation, and is primarily diagnosed and treated by ECPs, including ophthalmologists and optometrists. Typical signs and symptoms of blepharitis include debris on the eyelashes, redness of the eye and eyelid, missing or misdirected eyelashes, blurring of vision, irritation, itchiness and ocular discomfort. Blepharitis is challenging to manage, recurs frequently, and its progression can lead to scarring of the eyelid, loss of proper eyelid and tear-film function, eyelid and lash abnormalities, inflammation of the conjunctiva and surrounding skin, suboptimal surgical outcomes, corneal damage, and in extreme cases, blindness. Further, according to studies we have conducted, approximately 56% of cataract patients have Demodex infestation, which can increase the risk for both infection after cataract and refractive surgery. Therefore, treating Demodex blepharitis may improve patient satisfaction with cataract and refractive surgery. Additionally, the primary reason people stop wearing contact lenses is discomfort; blepharitis has been shown to cause contact lens intolerance. Therefore, treating Demodex blepharitis may reduce contact lens intolerance. We believe these benefits may lead to better vision and an improved quality of life for patients.</w:t>
      </w:r>
    </w:p>
    <w:p>
      <w:pPr>
        <w:spacing w:after="0" w:line="210" w:lineRule="exact"/>
        <w:rPr>
          <w:sz w:val="20"/>
          <w:szCs w:val="20"/>
          <w:color w:val="auto"/>
        </w:rPr>
      </w:pPr>
    </w:p>
    <w:p>
      <w:pPr>
        <w:ind w:right="380" w:firstLine="1008"/>
        <w:spacing w:after="0" w:line="255" w:lineRule="auto"/>
        <w:rPr>
          <w:sz w:val="20"/>
          <w:szCs w:val="20"/>
          <w:color w:val="auto"/>
        </w:rPr>
      </w:pPr>
      <w:r>
        <w:rPr>
          <w:rFonts w:ascii="Arial" w:cs="Arial" w:eastAsia="Arial" w:hAnsi="Arial"/>
          <w:sz w:val="18"/>
          <w:szCs w:val="18"/>
          <w:color w:val="auto"/>
        </w:rPr>
        <w:t>Multiple factors can cause blepharitis, including infestation by Demodex mites, bacterial infection, clogging of the meibomian glands and seborrheic dermatitis.</w:t>
      </w:r>
    </w:p>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image shows eyelids with Demodex blepharitis:</w:t>
      </w: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Figure 2: Eyelids With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7620</wp:posOffset>
            </wp:positionV>
            <wp:extent cx="5808980" cy="832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08980" cy="832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Demodex Blepharitis</w:t>
      </w:r>
    </w:p>
    <w:p>
      <w:pPr>
        <w:spacing w:after="0" w:line="234" w:lineRule="exact"/>
        <w:rPr>
          <w:sz w:val="20"/>
          <w:szCs w:val="20"/>
          <w:color w:val="auto"/>
        </w:rPr>
      </w:pPr>
    </w:p>
    <w:p>
      <w:pPr>
        <w:ind w:right="40" w:firstLine="1008"/>
        <w:spacing w:after="0" w:line="238" w:lineRule="auto"/>
        <w:rPr>
          <w:sz w:val="20"/>
          <w:szCs w:val="20"/>
          <w:color w:val="auto"/>
        </w:rPr>
      </w:pPr>
      <w:r>
        <w:rPr>
          <w:rFonts w:ascii="Arial" w:cs="Arial" w:eastAsia="Arial" w:hAnsi="Arial"/>
          <w:sz w:val="18"/>
          <w:szCs w:val="18"/>
          <w:color w:val="auto"/>
        </w:rPr>
        <w:t xml:space="preserve">Demodex infestation is a major cause of blepharitis, and we estimate that the number of Demodex blepharitis patients in the U.S. may be as high as approximately 25 million. Demodex mites are the most common ectoparasite found on humans and are more likely to cause infestation and disease with aging. Demodex blepharitis typically presents bilaterally in patients with the disease. There are two species of Demodex, </w:t>
      </w:r>
      <w:r>
        <w:rPr>
          <w:rFonts w:ascii="Arial" w:cs="Arial" w:eastAsia="Arial" w:hAnsi="Arial"/>
          <w:sz w:val="18"/>
          <w:szCs w:val="18"/>
          <w:i w:val="1"/>
          <w:iCs w:val="1"/>
          <w:color w:val="auto"/>
        </w:rPr>
        <w:t>folliculorum</w:t>
      </w:r>
      <w:r>
        <w:rPr>
          <w:rFonts w:ascii="Arial" w:cs="Arial" w:eastAsia="Arial" w:hAnsi="Arial"/>
          <w:sz w:val="18"/>
          <w:szCs w:val="18"/>
          <w:color w:val="auto"/>
        </w:rPr>
        <w:t xml:space="preserve"> and </w:t>
      </w:r>
      <w:r>
        <w:rPr>
          <w:rFonts w:ascii="Arial" w:cs="Arial" w:eastAsia="Arial" w:hAnsi="Arial"/>
          <w:sz w:val="18"/>
          <w:szCs w:val="18"/>
          <w:i w:val="1"/>
          <w:iCs w:val="1"/>
          <w:color w:val="auto"/>
        </w:rPr>
        <w:t>brevis</w:t>
      </w:r>
      <w:r>
        <w:rPr>
          <w:rFonts w:ascii="Arial" w:cs="Arial" w:eastAsia="Arial" w:hAnsi="Arial"/>
          <w:sz w:val="18"/>
          <w:szCs w:val="18"/>
          <w:color w:val="auto"/>
        </w:rPr>
        <w:t xml:space="preserve">, that live on the skin of the face and eyelids. </w:t>
      </w:r>
      <w:r>
        <w:rPr>
          <w:rFonts w:ascii="Arial" w:cs="Arial" w:eastAsia="Arial" w:hAnsi="Arial"/>
          <w:sz w:val="18"/>
          <w:szCs w:val="18"/>
          <w:i w:val="1"/>
          <w:iCs w:val="1"/>
          <w:color w:val="auto"/>
        </w:rPr>
        <w:t>Demodex folliculorum,</w:t>
      </w:r>
      <w:r>
        <w:rPr>
          <w:rFonts w:ascii="Arial" w:cs="Arial" w:eastAsia="Arial" w:hAnsi="Arial"/>
          <w:sz w:val="18"/>
          <w:szCs w:val="18"/>
          <w:color w:val="auto"/>
        </w:rPr>
        <w:t xml:space="preserve"> which is commonly found in the follicle, is the more common sub-species of mite that causes Demodex blepharitis.</w:t>
      </w:r>
    </w:p>
    <w:p>
      <w:pPr>
        <w:spacing w:after="0" w:line="204" w:lineRule="exact"/>
        <w:rPr>
          <w:sz w:val="20"/>
          <w:szCs w:val="20"/>
          <w:color w:val="auto"/>
        </w:rPr>
      </w:pPr>
    </w:p>
    <w:p>
      <w:pPr>
        <w:ind w:firstLine="1008"/>
        <w:spacing w:after="0" w:line="232" w:lineRule="auto"/>
        <w:rPr>
          <w:sz w:val="20"/>
          <w:szCs w:val="20"/>
          <w:color w:val="auto"/>
        </w:rPr>
      </w:pPr>
      <w:r>
        <w:rPr>
          <w:rFonts w:ascii="Arial" w:cs="Arial" w:eastAsia="Arial" w:hAnsi="Arial"/>
          <w:sz w:val="18"/>
          <w:szCs w:val="18"/>
          <w:color w:val="auto"/>
        </w:rPr>
        <w:t>The pathognomonic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known as the slit lamp examination. Other bothersome signs and symptoms of Demodex blepharitis that can lead to further disease progression include missing or misdirected eyelashes, crusting, 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in extreme cases, blindness. Furthermore, Demodex blepharitis can negatively impact quality of life and create an emotional burden for individuals with the disease.</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The following figures demonstrate how </w:t>
      </w:r>
      <w:r>
        <w:rPr>
          <w:rFonts w:ascii="Arial" w:cs="Arial" w:eastAsia="Arial" w:hAnsi="Arial"/>
          <w:sz w:val="18"/>
          <w:szCs w:val="18"/>
          <w:i w:val="1"/>
          <w:iCs w:val="1"/>
          <w:color w:val="auto"/>
        </w:rPr>
        <w:t>Demodex folliculorum</w:t>
      </w:r>
      <w:r>
        <w:rPr>
          <w:rFonts w:ascii="Arial" w:cs="Arial" w:eastAsia="Arial" w:hAnsi="Arial"/>
          <w:sz w:val="18"/>
          <w:szCs w:val="18"/>
          <w:color w:val="auto"/>
        </w:rPr>
        <w:t xml:space="preserve"> mites enter and reside in the eyelash follicles:</w:t>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b w:val="1"/>
          <w:bCs w:val="1"/>
          <w:i w:val="1"/>
          <w:iCs w:val="1"/>
          <w:color w:val="auto"/>
        </w:rPr>
        <w:t>Demodex folliculorum</w:t>
      </w:r>
      <w:r>
        <w:rPr>
          <w:rFonts w:ascii="Arial" w:cs="Arial" w:eastAsia="Arial" w:hAnsi="Arial"/>
          <w:sz w:val="18"/>
          <w:szCs w:val="18"/>
          <w:b w:val="1"/>
          <w:bCs w:val="1"/>
          <w:color w:val="auto"/>
        </w:rPr>
        <w:t xml:space="preserve"> Mites Entering and Residing in Eyelash Follicles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7620</wp:posOffset>
            </wp:positionV>
            <wp:extent cx="4390390" cy="3184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9039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Demodex infestation can lead to Demodex blepharitis in three main ways:</w:t>
      </w:r>
    </w:p>
    <w:p>
      <w:pPr>
        <w:spacing w:after="0" w:line="43" w:lineRule="exact"/>
        <w:rPr>
          <w:sz w:val="20"/>
          <w:szCs w:val="20"/>
          <w:color w:val="auto"/>
        </w:rPr>
      </w:pPr>
    </w:p>
    <w:p>
      <w:pPr>
        <w:ind w:left="1380" w:right="120" w:hanging="459"/>
        <w:spacing w:after="0" w:line="246"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Mechanical: </w:t>
      </w:r>
      <w:r>
        <w:rPr>
          <w:rFonts w:ascii="Arial" w:cs="Arial" w:eastAsia="Arial" w:hAnsi="Arial"/>
          <w:sz w:val="18"/>
          <w:szCs w:val="18"/>
          <w:color w:val="auto"/>
        </w:rPr>
        <w:t>Overcrowded mites scrape the epithelial cell lining of the eyelash follicles with their claws and lay eggs, causing follicular</w:t>
      </w:r>
      <w:r>
        <w:rPr>
          <w:rFonts w:ascii="Arial" w:cs="Arial" w:eastAsia="Arial" w:hAnsi="Arial"/>
          <w:sz w:val="18"/>
          <w:szCs w:val="18"/>
          <w:b w:val="1"/>
          <w:bCs w:val="1"/>
          <w:color w:val="auto"/>
        </w:rPr>
        <w:t xml:space="preserve"> </w:t>
      </w:r>
      <w:r>
        <w:rPr>
          <w:rFonts w:ascii="Arial" w:cs="Arial" w:eastAsia="Arial" w:hAnsi="Arial"/>
          <w:sz w:val="18"/>
          <w:szCs w:val="18"/>
          <w:color w:val="auto"/>
        </w:rPr>
        <w:t>distention, misdirected lashes, eyelash loss and irritation. Dead mites and collarettes also obstruct the hair follicle opening, leading to inflammation.</w:t>
      </w:r>
    </w:p>
    <w:p>
      <w:pPr>
        <w:spacing w:after="0" w:line="125" w:lineRule="exact"/>
        <w:rPr>
          <w:rFonts w:ascii="Arial" w:cs="Arial" w:eastAsia="Arial" w:hAnsi="Arial"/>
          <w:sz w:val="18"/>
          <w:szCs w:val="18"/>
          <w:color w:val="auto"/>
        </w:rPr>
      </w:pPr>
    </w:p>
    <w:p>
      <w:pPr>
        <w:ind w:left="1380" w:right="280" w:hanging="459"/>
        <w:spacing w:after="0" w:line="260"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Chemical: </w:t>
      </w:r>
      <w:r>
        <w:rPr>
          <w:rFonts w:ascii="Arial" w:cs="Arial" w:eastAsia="Arial" w:hAnsi="Arial"/>
          <w:sz w:val="18"/>
          <w:szCs w:val="18"/>
          <w:color w:val="auto"/>
        </w:rPr>
        <w:t>Mites excrete digestive enzymes as they feed and exude digestive waste when they die, resulting in inflammation, redness,</w:t>
      </w:r>
      <w:r>
        <w:rPr>
          <w:rFonts w:ascii="Arial" w:cs="Arial" w:eastAsia="Arial" w:hAnsi="Arial"/>
          <w:sz w:val="18"/>
          <w:szCs w:val="18"/>
          <w:b w:val="1"/>
          <w:bCs w:val="1"/>
          <w:color w:val="auto"/>
        </w:rPr>
        <w:t xml:space="preserve"> </w:t>
      </w:r>
      <w:r>
        <w:rPr>
          <w:rFonts w:ascii="Arial" w:cs="Arial" w:eastAsia="Arial" w:hAnsi="Arial"/>
          <w:sz w:val="18"/>
          <w:szCs w:val="18"/>
          <w:color w:val="auto"/>
        </w:rPr>
        <w:t>irritation and epithelial hyperplasia.</w:t>
      </w:r>
    </w:p>
    <w:p>
      <w:pPr>
        <w:spacing w:after="0" w:line="126" w:lineRule="exact"/>
        <w:rPr>
          <w:rFonts w:ascii="Arial" w:cs="Arial" w:eastAsia="Arial" w:hAnsi="Arial"/>
          <w:sz w:val="18"/>
          <w:szCs w:val="18"/>
          <w:color w:val="auto"/>
        </w:rPr>
      </w:pPr>
    </w:p>
    <w:p>
      <w:pPr>
        <w:jc w:val="both"/>
        <w:ind w:left="1380" w:right="340" w:hanging="459"/>
        <w:spacing w:after="0" w:line="246"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Bacterial: </w:t>
      </w:r>
      <w:r>
        <w:rPr>
          <w:rFonts w:ascii="Arial" w:cs="Arial" w:eastAsia="Arial" w:hAnsi="Arial"/>
          <w:sz w:val="18"/>
          <w:szCs w:val="18"/>
          <w:color w:val="auto"/>
        </w:rPr>
        <w:t>Bacteria living on the mite surface or in its gut cause inflammation of the surrounding ocular tissues. As mites scratch and</w:t>
      </w:r>
      <w:r>
        <w:rPr>
          <w:rFonts w:ascii="Arial" w:cs="Arial" w:eastAsia="Arial" w:hAnsi="Arial"/>
          <w:sz w:val="18"/>
          <w:szCs w:val="18"/>
          <w:b w:val="1"/>
          <w:bCs w:val="1"/>
          <w:color w:val="auto"/>
        </w:rPr>
        <w:t xml:space="preserve"> </w:t>
      </w:r>
      <w:r>
        <w:rPr>
          <w:rFonts w:ascii="Arial" w:cs="Arial" w:eastAsia="Arial" w:hAnsi="Arial"/>
          <w:sz w:val="18"/>
          <w:szCs w:val="18"/>
          <w:color w:val="auto"/>
        </w:rPr>
        <w:t>feed on the skin, the partially digested epithelial cells, keratin, mite waste and eggs combine to form collarettes. These collarettes are typically found at the base of the lash but can migrate away as the hair shaft grows.</w:t>
      </w:r>
    </w:p>
    <w:p>
      <w:pPr>
        <w:spacing w:after="0" w:line="200" w:lineRule="exact"/>
        <w:rPr>
          <w:sz w:val="20"/>
          <w:szCs w:val="20"/>
          <w:color w:val="auto"/>
        </w:rPr>
      </w:pPr>
    </w:p>
    <w:p>
      <w:pPr>
        <w:spacing w:after="0" w:line="3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figure shows collarettes at the base of an eyelash:</w:t>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4: Collarettes Are the Pathognomonic Sign of Demodex Blepharitis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361950</wp:posOffset>
            </wp:positionV>
            <wp:extent cx="3736340" cy="1945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36340" cy="194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1008"/>
        <w:spacing w:after="0" w:line="269" w:lineRule="auto"/>
        <w:rPr>
          <w:sz w:val="20"/>
          <w:szCs w:val="20"/>
          <w:color w:val="auto"/>
        </w:rPr>
      </w:pPr>
      <w:r>
        <w:rPr>
          <w:rFonts w:ascii="Arial" w:cs="Arial" w:eastAsia="Arial" w:hAnsi="Arial"/>
          <w:sz w:val="16"/>
          <w:szCs w:val="16"/>
          <w:color w:val="auto"/>
        </w:rPr>
        <w:t>The Gao Study confirmed the pathognomonic relationship of the collarette to Demodex infestation. The study included 55 patients seen at the Ocular Surface Center in Miami, Florida to determine the prevalence of Demodex in eyelashes with collarettes. All patients underwent a routine, complete eye examination and external photography. Patients were divided into three main groups: those with collarettes; those without collarettes and who had been using daily lid scrubs for a full year; and those without collarettes who were not performing the daily lid scrubs. As illustrated in the figure below, 100% (n=32) of patients with at least one collarette had Demodex present. Those patients without collarettes were divided into two groups; patients who were using lid scrubs for a full year and those who were not. Only 7% (n=15) of patients without collarettes and who were not performing the daily lid scrubs had Demodex, while 50% (n=8) of those subjects without collarettes, but who were using daily lid scrubs with shampoo for a full year, had Demodex infestation, implying that hygiene alone did not eradicate the mites. All 55 patients were seen at one location and may not be representative of the U.S. population.</w:t>
      </w:r>
    </w:p>
    <w:p>
      <w:pPr>
        <w:spacing w:after="0" w:line="196" w:lineRule="exact"/>
        <w:rPr>
          <w:sz w:val="20"/>
          <w:szCs w:val="20"/>
          <w:color w:val="auto"/>
        </w:rPr>
      </w:pPr>
    </w:p>
    <w:p>
      <w:pPr>
        <w:ind w:right="540" w:firstLine="963"/>
        <w:spacing w:after="0" w:line="265" w:lineRule="auto"/>
        <w:rPr>
          <w:sz w:val="20"/>
          <w:szCs w:val="20"/>
          <w:color w:val="auto"/>
        </w:rPr>
      </w:pPr>
      <w:r>
        <w:rPr>
          <w:rFonts w:ascii="Arial" w:cs="Arial" w:eastAsia="Arial" w:hAnsi="Arial"/>
          <w:sz w:val="17"/>
          <w:szCs w:val="17"/>
          <w:color w:val="auto"/>
        </w:rPr>
        <w:t>Demodex blepharitis can be diagnosed by ECPs with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in Blepharitis</w:t>
      </w:r>
    </w:p>
    <w:p>
      <w:pPr>
        <w:spacing w:after="0" w:line="238" w:lineRule="exact"/>
        <w:rPr>
          <w:sz w:val="20"/>
          <w:szCs w:val="20"/>
          <w:color w:val="auto"/>
        </w:rPr>
      </w:pPr>
    </w:p>
    <w:p>
      <w:pPr>
        <w:ind w:right="40" w:firstLine="1008"/>
        <w:spacing w:after="0" w:line="270" w:lineRule="auto"/>
        <w:rPr>
          <w:sz w:val="20"/>
          <w:szCs w:val="20"/>
          <w:color w:val="auto"/>
        </w:rPr>
      </w:pPr>
      <w:r>
        <w:rPr>
          <w:rFonts w:ascii="Arial" w:cs="Arial" w:eastAsia="Arial" w:hAnsi="Arial"/>
          <w:sz w:val="16"/>
          <w:szCs w:val="16"/>
          <w:color w:val="auto"/>
        </w:rPr>
        <w:t>According to published studies, the number of Demodex blepharitis patients in the U.S. may be as high as approximately 25 million, with approximately 45%, or nine million, of cases caused by Demodex infestation. Further, we estimate that the number of Demodex blepharitis cases in the U.S. may be as high as approximately 25 million based on our internal research indicating approximately 58% of patients presenting to eye care clinics have collarettes and a published study estimating that at least 45 million people annually visit an eye care clinic. Despite the high prevalence of patients with Demodex blepharitis and growing awareness of the disease amongst ECPs, there are no FDA-approved therapeutics for the treatment of blepharitis or for Demodex blepharitis. Although we believe blepharitis and Demodex blepharitis are significantly under-diagnosed diseases, with limited treatment alternatives, there are already an estimated 2.1 million annual blepharitis diagnoses in the U.S. with blepharitis classified per the ICD-10-CM.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Options and Their Limitations</w:t>
      </w:r>
    </w:p>
    <w:p>
      <w:pPr>
        <w:spacing w:after="0" w:line="238" w:lineRule="exact"/>
        <w:rPr>
          <w:sz w:val="20"/>
          <w:szCs w:val="20"/>
          <w:color w:val="auto"/>
        </w:rPr>
      </w:pPr>
    </w:p>
    <w:p>
      <w:pPr>
        <w:ind w:firstLine="1008"/>
        <w:spacing w:after="0" w:line="255" w:lineRule="auto"/>
        <w:rPr>
          <w:sz w:val="20"/>
          <w:szCs w:val="20"/>
          <w:color w:val="auto"/>
        </w:rPr>
      </w:pPr>
      <w:r>
        <w:rPr>
          <w:rFonts w:ascii="Arial" w:cs="Arial" w:eastAsia="Arial" w:hAnsi="Arial"/>
          <w:sz w:val="18"/>
          <w:szCs w:val="18"/>
          <w:color w:val="auto"/>
        </w:rPr>
        <w:t>Demodex blepharitis is currently treated with a variety of over the counter remedies such as tea tree oil, lid wipes and artificial tears, as well as off-label prescription products for dry eye.</w:t>
      </w:r>
    </w:p>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These approaches have significant limitations, including:</w:t>
      </w:r>
    </w:p>
    <w:p>
      <w:pPr>
        <w:spacing w:after="0" w:line="288" w:lineRule="exact"/>
        <w:rPr>
          <w:sz w:val="20"/>
          <w:szCs w:val="20"/>
          <w:color w:val="auto"/>
        </w:rPr>
      </w:pPr>
    </w:p>
    <w:p>
      <w:pPr>
        <w:ind w:left="1520" w:hanging="425"/>
        <w:spacing w:after="0"/>
        <w:tabs>
          <w:tab w:leader="none" w:pos="1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limited efficacy of over-the-counter and off-label treatments as well as device-based treatments administered in clinic by ECPs;</w:t>
      </w:r>
    </w:p>
    <w:p>
      <w:pPr>
        <w:spacing w:after="0" w:line="165" w:lineRule="exact"/>
        <w:rPr>
          <w:rFonts w:ascii="Arial" w:cs="Arial" w:eastAsia="Arial" w:hAnsi="Arial"/>
          <w:sz w:val="17"/>
          <w:szCs w:val="17"/>
          <w:color w:val="auto"/>
        </w:rPr>
      </w:pPr>
    </w:p>
    <w:p>
      <w:pPr>
        <w:ind w:left="1520" w:hanging="425"/>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definitive knowledge of diagnostic criteria to guide treatment decisions;</w:t>
      </w:r>
    </w:p>
    <w:p>
      <w:pPr>
        <w:spacing w:after="0" w:line="167" w:lineRule="exact"/>
        <w:rPr>
          <w:rFonts w:ascii="Arial" w:cs="Arial" w:eastAsia="Arial" w:hAnsi="Arial"/>
          <w:sz w:val="18"/>
          <w:szCs w:val="18"/>
          <w:color w:val="auto"/>
        </w:rPr>
      </w:pPr>
    </w:p>
    <w:p>
      <w:pPr>
        <w:ind w:left="1520" w:hanging="425"/>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prohibitive side effects (significant burning and stinging) from treatments that target Demodex mites (e.g. tea tree oil);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20" w:hanging="425"/>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treatments do not typically eradicate the Demodex mites, leading to a chronic and progressive disease; and</w:t>
      </w:r>
    </w:p>
    <w:p>
      <w:pPr>
        <w:spacing w:after="0" w:line="167" w:lineRule="exact"/>
        <w:rPr>
          <w:rFonts w:ascii="Arial" w:cs="Arial" w:eastAsia="Arial" w:hAnsi="Arial"/>
          <w:sz w:val="18"/>
          <w:szCs w:val="18"/>
          <w:color w:val="auto"/>
        </w:rPr>
      </w:pPr>
    </w:p>
    <w:p>
      <w:pPr>
        <w:ind w:left="1520" w:hanging="425"/>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treatments may be harmful (e.g. to meibomian gland epithelial cells).</w:t>
      </w:r>
    </w:p>
    <w:p>
      <w:pPr>
        <w:spacing w:after="0" w:line="341" w:lineRule="exact"/>
        <w:rPr>
          <w:sz w:val="20"/>
          <w:szCs w:val="20"/>
          <w:color w:val="auto"/>
        </w:rPr>
      </w:pPr>
    </w:p>
    <w:p>
      <w:pPr>
        <w:ind w:right="240" w:firstLine="963"/>
        <w:spacing w:after="0" w:line="259" w:lineRule="auto"/>
        <w:rPr>
          <w:sz w:val="20"/>
          <w:szCs w:val="20"/>
          <w:color w:val="auto"/>
        </w:rPr>
      </w:pPr>
      <w:r>
        <w:rPr>
          <w:rFonts w:ascii="Arial" w:cs="Arial" w:eastAsia="Arial" w:hAnsi="Arial"/>
          <w:sz w:val="17"/>
          <w:szCs w:val="17"/>
          <w:color w:val="auto"/>
        </w:rPr>
        <w:t>According to our Titan real-world prevalence study, 75% of patients using tea tree oils and 57% of those using lid wipes were found to have a high prevalence of collarettes, indicating that current management tools for this disease are largely ineffective. The Titan study was an IRB-approved, retrospective chart review of 1,032 patients across six U.S.-based ophthalmology and optometry practices conducted by seven investigators. The study was designed to better understand the prevalence of Demodex blepharitis via collarettes in U.S. eye care clinics.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Treating Demodex Mites, a Root Cause of Disease</w:t>
      </w:r>
    </w:p>
    <w:p>
      <w:pPr>
        <w:spacing w:after="0" w:line="238" w:lineRule="exact"/>
        <w:rPr>
          <w:sz w:val="20"/>
          <w:szCs w:val="20"/>
          <w:color w:val="auto"/>
        </w:rPr>
      </w:pPr>
    </w:p>
    <w:p>
      <w:pPr>
        <w:ind w:right="80" w:firstLine="963"/>
        <w:spacing w:after="0" w:line="237" w:lineRule="auto"/>
        <w:rPr>
          <w:sz w:val="20"/>
          <w:szCs w:val="20"/>
          <w:color w:val="auto"/>
        </w:rPr>
      </w:pPr>
      <w:r>
        <w:rPr>
          <w:rFonts w:ascii="Arial" w:cs="Arial" w:eastAsia="Arial" w:hAnsi="Arial"/>
          <w:sz w:val="18"/>
          <w:szCs w:val="18"/>
          <w:color w:val="auto"/>
        </w:rPr>
        <w:t>To address these limitations and high unmet need for effectively treating Demodex blepharitis, 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 To date, TP-03 has successfully met the primary and secondary endpoints, as applicable, in the completed Phase 2b/3 Saturn-1 pivotal trial, as well as each of the four completed Phase 2 trials. TP-03 was generally well tolerated throughout these trials. As a result, we believe that TP-03 has the potential to be the first ever approved therapeutic for Demodex blepharitis.</w:t>
      </w:r>
    </w:p>
    <w:p>
      <w:pPr>
        <w:spacing w:after="0" w:line="21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summarizes the key advantages of TP-03:</w:t>
      </w: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5: Summary of TP-03 Key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7620</wp:posOffset>
            </wp:positionV>
            <wp:extent cx="5545455" cy="2802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4545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0" w:hanging="270"/>
        <w:spacing w:after="0" w:line="241" w:lineRule="auto"/>
        <w:tabs>
          <w:tab w:leader="none" w:pos="96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Blepharitis can increase the risk for both infection after cataract and refractive surgery and can cause intolerance to contact lenses. It ca also be the cause of repeated visits from recalcitrant, blepharitis and dry eye patients. The treatment of Demodex blepharitis may improve signs and symptoms of disease as well as increase tolerance to contact lenses and improve patient satisfaction with cataract and refractive surgery.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4" w:name="page15"/>
    <w:bookmarkEnd w:id="14"/>
    <w:p>
      <w:pPr>
        <w:ind w:left="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TP-03 Eye Drops – Mechanism of Action</w:t>
      </w:r>
    </w:p>
    <w:p>
      <w:pPr>
        <w:spacing w:after="0" w:line="319" w:lineRule="exact"/>
        <w:rPr>
          <w:sz w:val="20"/>
          <w:szCs w:val="20"/>
          <w:color w:val="auto"/>
        </w:rPr>
      </w:pPr>
    </w:p>
    <w:p>
      <w:pPr>
        <w:ind w:left="100" w:right="1160" w:firstLine="577"/>
        <w:spacing w:after="0" w:line="236" w:lineRule="auto"/>
        <w:rPr>
          <w:sz w:val="20"/>
          <w:szCs w:val="20"/>
          <w:color w:val="auto"/>
        </w:rPr>
      </w:pPr>
      <w:r>
        <w:rPr>
          <w:rFonts w:ascii="Arial" w:cs="Arial" w:eastAsia="Arial" w:hAnsi="Arial"/>
          <w:sz w:val="18"/>
          <w:szCs w:val="18"/>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a low affinity to mammalian GABA-Cl and other ion channels (e.g. hERG) and thus has no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following figures show the intended paralysis of mites in the hair follicle by TP-03 administration:</w:t>
      </w:r>
    </w:p>
    <w:p>
      <w:pPr>
        <w:spacing w:after="0" w:line="23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Figure 6: Progression of TP-03 Application, Mite Paralysis and Eradication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160655</wp:posOffset>
            </wp:positionV>
            <wp:extent cx="5562600" cy="268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2600"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w:t>
      </w:r>
    </w:p>
    <w:p>
      <w:pPr>
        <w:spacing w:after="0" w:line="225" w:lineRule="exact"/>
        <w:rPr>
          <w:sz w:val="20"/>
          <w:szCs w:val="20"/>
          <w:color w:val="auto"/>
        </w:rPr>
      </w:pPr>
    </w:p>
    <w:p>
      <w:pPr>
        <w:ind w:left="80" w:right="40" w:firstLine="963"/>
        <w:spacing w:after="0" w:line="223" w:lineRule="auto"/>
        <w:rPr>
          <w:sz w:val="20"/>
          <w:szCs w:val="20"/>
          <w:color w:val="auto"/>
        </w:rPr>
      </w:pPr>
      <w:r>
        <w:rPr>
          <w:rFonts w:ascii="Arial" w:cs="Arial" w:eastAsia="Arial" w:hAnsi="Arial"/>
          <w:sz w:val="18"/>
          <w:szCs w:val="18"/>
          <w:color w:val="auto"/>
        </w:rPr>
        <w:t>To date, we have completed four Phase 2 trials and one Phase 2b/3 trial for TP-03 in Demodex blepharitis, all of which met their primary, secondary and/or exploratory endpoints, and TP-03 was well tolerated. We commenced our second pivotal trial, Saturn-2, in May 2021. Saturn-2 has the same primary and secondary endpoints as Saturn-1, and topline data from Saturn-2 is expected in April 2022. These TP-03 pivotal trials are expected to support our submission of an NDA with the FDA for TP-03 for the treatment of Demodex blepharitis in 2022. We continued to advance our Phase 1 Callisto trial which was initiated in June 2021, evaluating TP-05, a novel, oral, non-vaccine therapeutic, for the prevention of Lyme disease with data expected in the first half of 2022. The Callisto trial, is a single ascending dose and multiple ascending dose trial to evaluate the safety, tolerability and pharmacokinetics ("PK") of TP-05 in healthy volunteers.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Saturn-1 Trial</w:t>
      </w:r>
    </w:p>
    <w:p>
      <w:pPr>
        <w:spacing w:after="0" w:line="234" w:lineRule="exact"/>
        <w:rPr>
          <w:sz w:val="20"/>
          <w:szCs w:val="20"/>
          <w:color w:val="auto"/>
        </w:rPr>
      </w:pPr>
    </w:p>
    <w:p>
      <w:pPr>
        <w:ind w:left="80" w:firstLine="1008"/>
        <w:spacing w:after="0" w:line="252" w:lineRule="auto"/>
        <w:rPr>
          <w:sz w:val="20"/>
          <w:szCs w:val="20"/>
          <w:color w:val="auto"/>
        </w:rPr>
      </w:pPr>
      <w:r>
        <w:rPr>
          <w:rFonts w:ascii="Arial" w:cs="Arial" w:eastAsia="Arial" w:hAnsi="Arial"/>
          <w:sz w:val="17"/>
          <w:szCs w:val="17"/>
          <w:color w:val="auto"/>
        </w:rPr>
        <w:t>The Saturn-1 trial was a randomized, controlled, multi center, double-masked Phase 2b/3 trial that evaluated the safety and efficacy of TP-03 in adults with Demodex blepharitis. In September 2020, we commenced the Saturn-1 trial and completed enrollment of 421 patients aged 18 and over having more than 10 collarettes on the upper lid and at least mild erythema of the upper eyelid margin. Each patient had at least 1.5 mites per lash on the upper and lower eyelids combined. One drop of TP-03 was self-administered twice per day in each eye for six weeks. Enrolled patients received no treatment for blepharitis symptoms (i.e. lid hygiene) during the trial or 14 days prior to enrollment. The primary endpoint was complete collarette cure (grade zero - zero to two collarettes per lid) and the secondary endpoints included complete mite eradication (mite density of zero mites per lash) and composite cure (the presence of zero to two collarettes on the upper eyelid and the absence of erythema (redness)).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20" w:firstLine="883"/>
        <w:spacing w:after="0" w:line="284" w:lineRule="auto"/>
        <w:rPr>
          <w:sz w:val="20"/>
          <w:szCs w:val="20"/>
          <w:color w:val="auto"/>
        </w:rPr>
      </w:pPr>
      <w:r>
        <w:rPr>
          <w:rFonts w:ascii="Arial" w:cs="Arial" w:eastAsia="Arial" w:hAnsi="Arial"/>
          <w:sz w:val="17"/>
          <w:szCs w:val="17"/>
          <w:color w:val="auto"/>
        </w:rPr>
        <w:t>In June 2021, we announced positive results of the Saturn-1 trial. The pre-specified primary and secondary endpoints were met, and complete resolution of Demodex blepharitis signs was demonstrated in patients treated with TP-03 (lotilaner ophthalmic solution, 0.25%).</w:t>
      </w:r>
    </w:p>
    <w:p>
      <w:pPr>
        <w:spacing w:after="0" w:line="166" w:lineRule="exact"/>
        <w:rPr>
          <w:sz w:val="20"/>
          <w:szCs w:val="20"/>
          <w:color w:val="auto"/>
        </w:rPr>
      </w:pPr>
    </w:p>
    <w:p>
      <w:pPr>
        <w:ind w:right="180" w:firstLine="883"/>
        <w:spacing w:after="0" w:line="228" w:lineRule="auto"/>
        <w:rPr>
          <w:sz w:val="20"/>
          <w:szCs w:val="20"/>
          <w:color w:val="auto"/>
        </w:rPr>
      </w:pPr>
      <w:r>
        <w:rPr>
          <w:rFonts w:ascii="Arial" w:cs="Arial" w:eastAsia="Arial" w:hAnsi="Arial"/>
          <w:sz w:val="18"/>
          <w:szCs w:val="18"/>
          <w:color w:val="auto"/>
        </w:rPr>
        <w:t>44% of patients on TP-03 achieved the primary endpoint of complete collarette cure at day 43 compared to 7% on vehicle (p&lt;0.0001). 81% of patients achieved a significant, clinically meaningful collarette cure defined by a collarette grade of zero or one at day 43 compared to 23% of those on vehicle (p&lt;0.0001). Additionally, a significant, clinically meaningful collarette cure was seen in 23% of patients on TP-03 compared to 11% on vehicle as early as day 8 (p=0.0003).</w:t>
      </w:r>
    </w:p>
    <w:p>
      <w:pPr>
        <w:spacing w:after="0" w:line="216" w:lineRule="exact"/>
        <w:rPr>
          <w:sz w:val="20"/>
          <w:szCs w:val="20"/>
          <w:color w:val="auto"/>
        </w:rPr>
      </w:pPr>
    </w:p>
    <w:p>
      <w:pPr>
        <w:ind w:right="40" w:firstLine="883"/>
        <w:spacing w:after="0" w:line="255" w:lineRule="auto"/>
        <w:rPr>
          <w:sz w:val="20"/>
          <w:szCs w:val="20"/>
          <w:color w:val="auto"/>
        </w:rPr>
      </w:pPr>
      <w:r>
        <w:rPr>
          <w:rFonts w:ascii="Arial" w:cs="Arial" w:eastAsia="Arial" w:hAnsi="Arial"/>
          <w:sz w:val="18"/>
          <w:szCs w:val="18"/>
          <w:color w:val="auto"/>
        </w:rPr>
        <w:t>The secondary endpoint of complete mite eradication achieved statistically significant results by day 15, and 68% of patients on TP-03 achieved mite eradication compared to 18% on vehicle (p&lt;0.0001) at day 43.</w:t>
      </w:r>
    </w:p>
    <w:p>
      <w:pPr>
        <w:spacing w:after="0" w:line="202" w:lineRule="exact"/>
        <w:rPr>
          <w:sz w:val="20"/>
          <w:szCs w:val="20"/>
          <w:color w:val="auto"/>
        </w:rPr>
      </w:pPr>
    </w:p>
    <w:p>
      <w:pPr>
        <w:ind w:right="160" w:firstLine="883"/>
        <w:spacing w:after="0" w:line="252" w:lineRule="auto"/>
        <w:rPr>
          <w:sz w:val="20"/>
          <w:szCs w:val="20"/>
          <w:color w:val="auto"/>
        </w:rPr>
      </w:pPr>
      <w:r>
        <w:rPr>
          <w:rFonts w:ascii="Arial" w:cs="Arial" w:eastAsia="Arial" w:hAnsi="Arial"/>
          <w:sz w:val="17"/>
          <w:szCs w:val="17"/>
          <w:color w:val="auto"/>
        </w:rPr>
        <w:t>For composite cure, 68% of patients experienced a significant, clinically meaningful cure of both a grade zero or one collarette and erythema score at day 43 compared to 20% on vehicle (p&lt;0.0001), with significant improvements seen as early as day 8. Additionally, 13.4% of patients on TP-03 achieved a complete composite cure based on a composite of collarette cure and erythema cure compared to 1.0% on vehicle (p&lt;0.0001) at day 43. Results for complete erythema cure (19% of patients on TP-03 compared to 7% of patients on vehicle, p&lt;0.0001) and one grade or more erythema improvement (45% of patients on TP-03 compared to 28% of patients on vehicle, p=0.0002) were also statistically significant. Additionally, 92% of TP-03 patients reported that the drop comfort was neutral to very comfortable. There were no serious treatment-related adverse events nor any treatment-related adverse events leading to treatment discontinuation.</w:t>
      </w:r>
    </w:p>
    <w:p>
      <w:pPr>
        <w:spacing w:after="0" w:line="208" w:lineRule="exact"/>
        <w:rPr>
          <w:sz w:val="20"/>
          <w:szCs w:val="20"/>
          <w:color w:val="auto"/>
        </w:rPr>
      </w:pPr>
    </w:p>
    <w:p>
      <w:pPr>
        <w:ind w:right="100" w:firstLine="883"/>
        <w:spacing w:after="0" w:line="352" w:lineRule="auto"/>
        <w:rPr>
          <w:sz w:val="20"/>
          <w:szCs w:val="20"/>
          <w:color w:val="auto"/>
        </w:rPr>
      </w:pPr>
      <w:r>
        <w:rPr>
          <w:rFonts w:ascii="Arial" w:cs="Arial" w:eastAsia="Arial" w:hAnsi="Arial"/>
          <w:sz w:val="16"/>
          <w:szCs w:val="16"/>
          <w:color w:val="auto"/>
        </w:rPr>
        <w:t>In July 24, 2021, we presented additional data from the Saturn-1 Trial at the American Society of Cataract and Refractive Surgery 2021 Annual Meeting demonstrating high treatment response rates, and reinforcing the potential of TP-03 to be the standard of care for Demodex blepharitis patients.</w:t>
      </w:r>
    </w:p>
    <w:p>
      <w:pPr>
        <w:spacing w:after="0" w:line="154" w:lineRule="exact"/>
        <w:rPr>
          <w:sz w:val="20"/>
          <w:szCs w:val="20"/>
          <w:color w:val="auto"/>
        </w:rPr>
      </w:pPr>
    </w:p>
    <w:p>
      <w:pPr>
        <w:ind w:left="1280" w:hanging="310"/>
        <w:spacing w:after="0"/>
        <w:tabs>
          <w:tab w:leader="none" w:pos="1280" w:val="left"/>
        </w:tabs>
        <w:numPr>
          <w:ilvl w:val="0"/>
          <w:numId w:val="17"/>
        </w:numPr>
        <w:rPr>
          <w:rFonts w:ascii="Arial" w:cs="Arial" w:eastAsia="Arial" w:hAnsi="Arial"/>
          <w:sz w:val="21"/>
          <w:szCs w:val="21"/>
          <w:color w:val="auto"/>
        </w:rPr>
      </w:pPr>
      <w:r>
        <w:rPr>
          <w:rFonts w:ascii="Arial" w:cs="Arial" w:eastAsia="Arial" w:hAnsi="Arial"/>
          <w:sz w:val="18"/>
          <w:szCs w:val="18"/>
          <w:color w:val="auto"/>
        </w:rPr>
        <w:t>95% of TP-03 patients showed a significant improvement in mite count, achieving ≤0.5 mites per lash</w:t>
      </w:r>
    </w:p>
    <w:p>
      <w:pPr>
        <w:spacing w:after="0" w:line="12" w:lineRule="exact"/>
        <w:rPr>
          <w:rFonts w:ascii="Arial" w:cs="Arial" w:eastAsia="Arial" w:hAnsi="Arial"/>
          <w:sz w:val="21"/>
          <w:szCs w:val="21"/>
          <w:color w:val="auto"/>
        </w:rPr>
      </w:pPr>
    </w:p>
    <w:p>
      <w:pPr>
        <w:ind w:left="1280" w:hanging="310"/>
        <w:spacing w:after="0" w:line="227" w:lineRule="auto"/>
        <w:tabs>
          <w:tab w:leader="none" w:pos="1280" w:val="left"/>
        </w:tabs>
        <w:numPr>
          <w:ilvl w:val="0"/>
          <w:numId w:val="17"/>
        </w:numPr>
        <w:rPr>
          <w:rFonts w:ascii="Arial" w:cs="Arial" w:eastAsia="Arial" w:hAnsi="Arial"/>
          <w:sz w:val="21"/>
          <w:szCs w:val="21"/>
          <w:color w:val="auto"/>
        </w:rPr>
      </w:pPr>
      <w:r>
        <w:rPr>
          <w:rFonts w:ascii="Arial" w:cs="Arial" w:eastAsia="Arial" w:hAnsi="Arial"/>
          <w:sz w:val="18"/>
          <w:szCs w:val="18"/>
          <w:color w:val="auto"/>
        </w:rPr>
        <w:t>93% of TP-03 patients improved by at least one collarette grade</w:t>
      </w:r>
    </w:p>
    <w:p>
      <w:pPr>
        <w:spacing w:after="0" w:line="228" w:lineRule="exact"/>
        <w:rPr>
          <w:sz w:val="20"/>
          <w:szCs w:val="20"/>
          <w:color w:val="auto"/>
        </w:rPr>
      </w:pPr>
    </w:p>
    <w:p>
      <w:pPr>
        <w:ind w:right="60" w:firstLine="883"/>
        <w:spacing w:after="0" w:line="272" w:lineRule="auto"/>
        <w:rPr>
          <w:sz w:val="20"/>
          <w:szCs w:val="20"/>
          <w:color w:val="auto"/>
        </w:rPr>
      </w:pPr>
      <w:r>
        <w:rPr>
          <w:rFonts w:ascii="Arial" w:cs="Arial" w:eastAsia="Arial" w:hAnsi="Arial"/>
          <w:sz w:val="17"/>
          <w:szCs w:val="17"/>
          <w:color w:val="auto"/>
        </w:rPr>
        <w:t>We also announced results from additional Saturn-1 safety analysis, which reinforced TP-03’s positive safety profile, revealing that TP-03 had no clinically significant adverse effect on multiple safety measures including Corrected Distance Visual Acuity ("CDVA"), corneal staining, and intraocular pressure ("IOP"), and no significant findings from slit lamp biomicroscopy or fundus exam. In addition, no impact to endothelial cell density ("ECD") was seen in a subset of 21 patients. ECD will be further evaluated as part of the Saturn-2 trial plan. We believe that the results from our Saturn-1 trial, along with previously announced data, reinforce that TP-03 is potentially safe to use in a broad patient population.</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Saturn-2 Trial</w:t>
      </w:r>
    </w:p>
    <w:p>
      <w:pPr>
        <w:spacing w:after="0" w:line="234" w:lineRule="exact"/>
        <w:rPr>
          <w:sz w:val="20"/>
          <w:szCs w:val="20"/>
          <w:color w:val="auto"/>
        </w:rPr>
      </w:pPr>
    </w:p>
    <w:p>
      <w:pPr>
        <w:ind w:right="80" w:firstLine="883"/>
        <w:spacing w:after="0" w:line="236" w:lineRule="auto"/>
        <w:rPr>
          <w:sz w:val="20"/>
          <w:szCs w:val="20"/>
          <w:color w:val="auto"/>
        </w:rPr>
      </w:pPr>
      <w:r>
        <w:rPr>
          <w:rFonts w:ascii="Arial" w:cs="Arial" w:eastAsia="Arial" w:hAnsi="Arial"/>
          <w:sz w:val="18"/>
          <w:szCs w:val="18"/>
          <w:color w:val="auto"/>
        </w:rPr>
        <w:t>On May 6, 2021, we initiated the Saturn-2 trial. It is a randomized, controlled, multicenter, double-masked trial studying the safety and efficacy of TP-03 for the treatment of Demodex blepharitis. The Saturn-2 trial is similar in design and size to Saturn-1, which met the primary and all secondary endpoints. The Saturn-2 trial's primary endpoint is the proportion of patients achieving collarette cure, defined as zero to two collarettes per lid. Secondary endpoints include the eradication of Demodex mites and the proportion of patients achieving a cure based on a composite of collarette cure and erythema cure (eyelid redness). 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spacing w:after="0" w:line="220" w:lineRule="exact"/>
        <w:rPr>
          <w:sz w:val="20"/>
          <w:szCs w:val="20"/>
          <w:color w:val="auto"/>
        </w:rPr>
      </w:pPr>
    </w:p>
    <w:p>
      <w:pPr>
        <w:jc w:val="both"/>
        <w:ind w:firstLine="883"/>
        <w:spacing w:after="0" w:line="265" w:lineRule="auto"/>
        <w:rPr>
          <w:sz w:val="20"/>
          <w:szCs w:val="20"/>
          <w:color w:val="auto"/>
        </w:rPr>
      </w:pPr>
      <w:r>
        <w:rPr>
          <w:rFonts w:ascii="Arial" w:cs="Arial" w:eastAsia="Arial" w:hAnsi="Arial"/>
          <w:sz w:val="17"/>
          <w:szCs w:val="17"/>
          <w:color w:val="auto"/>
        </w:rPr>
        <w:t>On February 2, 2022, we announced that the Saturn-2 trial completed enrollment of 412 patients. The Saturn-2 trial is similar in design and size to Saturn-1 and we expect to report topline data results in April 2022. If Saturn-2 results are positive, we expect to use the data from the Saturn-1 and Saturn-2 trials to support our submission of an NDA with the FDA for TP-03 for the treatment of Demodex blepharitis in 2022.</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Phase 2 Clinical Trials</w:t>
      </w:r>
    </w:p>
    <w:p>
      <w:pPr>
        <w:spacing w:after="0" w:line="234" w:lineRule="exact"/>
        <w:rPr>
          <w:sz w:val="20"/>
          <w:szCs w:val="20"/>
          <w:color w:val="auto"/>
        </w:rPr>
      </w:pPr>
    </w:p>
    <w:p>
      <w:pPr>
        <w:ind w:firstLine="1008"/>
        <w:spacing w:after="0" w:line="238" w:lineRule="auto"/>
        <w:rPr>
          <w:sz w:val="20"/>
          <w:szCs w:val="20"/>
          <w:color w:val="auto"/>
        </w:rPr>
      </w:pPr>
      <w:r>
        <w:rPr>
          <w:rFonts w:ascii="Arial" w:cs="Arial" w:eastAsia="Arial" w:hAnsi="Arial"/>
          <w:sz w:val="18"/>
          <w:szCs w:val="18"/>
          <w:color w:val="auto"/>
        </w:rPr>
        <w:t>We have completed four Phase 2 clinical trials to date, along with one additional ex vivo study, which included our Mars, Jupiter, Io, and Europa clinical trials.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and showed statistically significant cure and eradication rates in Io and Europa. TP-03 was generally well tolerated throughout these trials.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firstLine="1008"/>
        <w:spacing w:after="0"/>
        <w:rPr>
          <w:sz w:val="20"/>
          <w:szCs w:val="20"/>
          <w:color w:val="auto"/>
        </w:rPr>
      </w:pPr>
      <w:r>
        <w:rPr>
          <w:rFonts w:ascii="Arial" w:cs="Arial" w:eastAsia="Arial" w:hAnsi="Arial"/>
          <w:sz w:val="18"/>
          <w:szCs w:val="18"/>
          <w:color w:val="auto"/>
        </w:rPr>
        <w:t>The Phase 2a Mars trial was a smaller single arm trial evaluating the safety and efficacy of TP-03 with a 28-day twice per day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w:t>
      </w:r>
    </w:p>
    <w:p>
      <w:pPr>
        <w:spacing w:after="0" w:line="202" w:lineRule="exact"/>
        <w:rPr>
          <w:sz w:val="20"/>
          <w:szCs w:val="20"/>
          <w:color w:val="auto"/>
        </w:rPr>
      </w:pPr>
    </w:p>
    <w:p>
      <w:pPr>
        <w:ind w:right="100" w:firstLine="1008"/>
        <w:spacing w:after="0" w:line="235" w:lineRule="auto"/>
        <w:rPr>
          <w:sz w:val="20"/>
          <w:szCs w:val="20"/>
          <w:color w:val="auto"/>
        </w:rPr>
      </w:pPr>
      <w:r>
        <w:rPr>
          <w:rFonts w:ascii="Arial" w:cs="Arial" w:eastAsia="Arial" w:hAnsi="Arial"/>
          <w:sz w:val="17"/>
          <w:szCs w:val="17"/>
          <w:color w:val="auto"/>
        </w:rPr>
        <w:t>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laurolkonium chloride with sorbate as the preservative as well as adding a chelating agent.</w:t>
      </w:r>
    </w:p>
    <w:p>
      <w:pPr>
        <w:spacing w:after="0" w:line="217" w:lineRule="exact"/>
        <w:rPr>
          <w:sz w:val="20"/>
          <w:szCs w:val="20"/>
          <w:color w:val="auto"/>
        </w:rPr>
      </w:pPr>
    </w:p>
    <w:p>
      <w:pPr>
        <w:ind w:firstLine="1008"/>
        <w:spacing w:after="0" w:line="238" w:lineRule="auto"/>
        <w:rPr>
          <w:sz w:val="20"/>
          <w:szCs w:val="20"/>
          <w:color w:val="auto"/>
        </w:rPr>
      </w:pPr>
      <w:r>
        <w:rPr>
          <w:rFonts w:ascii="Arial" w:cs="Arial" w:eastAsia="Arial" w:hAnsi="Arial"/>
          <w:sz w:val="18"/>
          <w:szCs w:val="18"/>
          <w:color w:val="auto"/>
        </w:rPr>
        <w:t>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217" w:lineRule="exact"/>
        <w:rPr>
          <w:sz w:val="20"/>
          <w:szCs w:val="20"/>
          <w:color w:val="auto"/>
        </w:rPr>
      </w:pPr>
    </w:p>
    <w:p>
      <w:pPr>
        <w:ind w:firstLine="1008"/>
        <w:spacing w:after="0" w:line="272" w:lineRule="auto"/>
        <w:rPr>
          <w:sz w:val="20"/>
          <w:szCs w:val="20"/>
          <w:color w:val="auto"/>
        </w:rPr>
      </w:pPr>
      <w:r>
        <w:rPr>
          <w:rFonts w:ascii="Arial" w:cs="Arial" w:eastAsia="Arial" w:hAnsi="Arial"/>
          <w:sz w:val="16"/>
          <w:szCs w:val="16"/>
          <w:color w:val="auto"/>
        </w:rPr>
        <w:t>Our Phase 2 trial data indicates that TP-03 was well tolerated with no significant adverse events leading to treatment discontinuation across the four trials. A total of 82 subjects have received one or more doses of TP-03 and have had at least one follow-up visit; while 52 subjects received the vehicle control. Only nine subjects treated with TP-03 had treatment-related adverse events, versus one subject treated with the vehicle control. The most common treatment-related adverse events ("TRAEs"), reported were burning after administration, which was reported in seven subjects (8.5%) receiving TP-03 versus one subject (1.9%) receiving the vehicle control. Other TRAEs reported for subjects treated with TP-03 were blurred vision in two subjects (2.4%), dysgeusia in one subject (1.2%), and instillation site erythema in one subject (1.2%); with no corresponding TRAEs reported in subjects treated with vehicle.</w:t>
      </w:r>
    </w:p>
    <w:p>
      <w:pPr>
        <w:spacing w:after="0" w:line="193" w:lineRule="exact"/>
        <w:rPr>
          <w:sz w:val="20"/>
          <w:szCs w:val="20"/>
          <w:color w:val="auto"/>
        </w:rPr>
      </w:pPr>
    </w:p>
    <w:p>
      <w:pPr>
        <w:ind w:right="40" w:firstLine="1008"/>
        <w:spacing w:after="0" w:line="237" w:lineRule="auto"/>
        <w:rPr>
          <w:sz w:val="20"/>
          <w:szCs w:val="20"/>
          <w:color w:val="auto"/>
        </w:rPr>
      </w:pPr>
      <w:r>
        <w:rPr>
          <w:rFonts w:ascii="Arial" w:cs="Arial" w:eastAsia="Arial" w:hAnsi="Arial"/>
          <w:sz w:val="18"/>
          <w:szCs w:val="18"/>
          <w:color w:val="auto"/>
        </w:rPr>
        <w:t>Subjects from the Mars and active arm of the Jupiter trials were followed for one year after enrollment. Combined interim data for recurrence of clinical grade Demodex blepharitis was defined as a collarette score of two or more, and mite density of one or more per lash. The data show a persistent treatment effect of TP-03 for six months or greater for collarette score, with meaningful recurrence of collarettes occurring after six months with the recurrence increasing considerably one year after treatment. Mites recurred more quickly than collarettes, consistent with collarettes being composed of mite byproducts. Subsequent to initial treatment, we believe that TP-03 may be utilized by patients and ECPs for intermittent re-treatment based on the disease recurrence observed.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Strategy for Demodex Blepharitis Launch</w:t>
      </w:r>
    </w:p>
    <w:p>
      <w:pPr>
        <w:spacing w:after="0" w:line="225" w:lineRule="exact"/>
        <w:rPr>
          <w:sz w:val="20"/>
          <w:szCs w:val="20"/>
          <w:color w:val="auto"/>
        </w:rPr>
      </w:pPr>
    </w:p>
    <w:p>
      <w:pPr>
        <w:ind w:right="240" w:firstLine="963"/>
        <w:spacing w:after="0" w:line="224" w:lineRule="auto"/>
        <w:rPr>
          <w:sz w:val="20"/>
          <w:szCs w:val="20"/>
          <w:color w:val="auto"/>
        </w:rPr>
      </w:pPr>
      <w:r>
        <w:rPr>
          <w:rFonts w:ascii="Arial" w:cs="Arial" w:eastAsia="Arial" w:hAnsi="Arial"/>
          <w:sz w:val="18"/>
          <w:szCs w:val="18"/>
          <w:color w:val="auto"/>
        </w:rPr>
        <w:t>If approved, we plan to commercialize TP-03 in the U.S. with a focused, specialty sales force, social and digital media, and ECP education campaigns to targeted prescribing ophthalmologists and optometrists. In our work with key opinion leaders and various associations to increase Demodex blepharitis awareness and education, we plan to highlight prevalence, impact, and simplicity of diagnosis of Demodex blepharitis. Our goal is to educate ECPs about the prevalence of Demodex blepharitis, simplicity and efficient diagnosis and the safety and efficacy of our products. In addition to educating ECPs, we believe that patient awareness and identification is important and plan to increase awareness through education and marketing efforts directed toward patients.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TP-03 for Meibomian Gland Disease (MGD)</w:t>
      </w:r>
    </w:p>
    <w:p>
      <w:pPr>
        <w:spacing w:after="0" w:line="238" w:lineRule="exact"/>
        <w:rPr>
          <w:sz w:val="20"/>
          <w:szCs w:val="20"/>
          <w:color w:val="auto"/>
        </w:rPr>
      </w:pPr>
    </w:p>
    <w:p>
      <w:pPr>
        <w:ind w:right="160" w:firstLine="1008"/>
        <w:spacing w:after="0" w:line="275" w:lineRule="auto"/>
        <w:rPr>
          <w:sz w:val="20"/>
          <w:szCs w:val="20"/>
          <w:color w:val="auto"/>
        </w:rPr>
      </w:pPr>
      <w:r>
        <w:rPr>
          <w:rFonts w:ascii="Arial" w:cs="Arial" w:eastAsia="Arial" w:hAnsi="Arial"/>
          <w:sz w:val="16"/>
          <w:szCs w:val="16"/>
          <w:color w:val="auto"/>
        </w:rPr>
        <w:t xml:space="preserve">Beyond Demodex blepharitis, we intend to explore the clinical potential for TP-03 in MGD, a chronic abnormality of the meibomian glands. MGD is commonly characterized in part by a widespread clogging of the meibomian glands that can result in tear film deficiency, and is one of the leading causes of dry eye disease. In the U.S., MGD prevalence has been found to be approximately two-thirds of the estimated 34 million dry eye patient population. One species of Demodex mite, </w:t>
      </w:r>
      <w:r>
        <w:rPr>
          <w:rFonts w:ascii="Arial" w:cs="Arial" w:eastAsia="Arial" w:hAnsi="Arial"/>
          <w:sz w:val="16"/>
          <w:szCs w:val="16"/>
          <w:i w:val="1"/>
          <w:iCs w:val="1"/>
          <w:color w:val="auto"/>
        </w:rPr>
        <w:t>Demodex brevis</w:t>
      </w:r>
      <w:r>
        <w:rPr>
          <w:rFonts w:ascii="Arial" w:cs="Arial" w:eastAsia="Arial" w:hAnsi="Arial"/>
          <w:sz w:val="16"/>
          <w:szCs w:val="16"/>
          <w:color w:val="auto"/>
        </w:rPr>
        <w:t xml:space="preserve">, is known to infest the meibomian gland, and clinical signs of MGD have been shown to be correlated with </w:t>
      </w:r>
      <w:r>
        <w:rPr>
          <w:rFonts w:ascii="Arial" w:cs="Arial" w:eastAsia="Arial" w:hAnsi="Arial"/>
          <w:sz w:val="16"/>
          <w:szCs w:val="16"/>
          <w:i w:val="1"/>
          <w:iCs w:val="1"/>
          <w:color w:val="auto"/>
        </w:rPr>
        <w:t>Demodex brevis</w:t>
      </w:r>
      <w:r>
        <w:rPr>
          <w:rFonts w:ascii="Arial" w:cs="Arial" w:eastAsia="Arial" w:hAnsi="Arial"/>
          <w:sz w:val="16"/>
          <w:szCs w:val="16"/>
          <w:color w:val="auto"/>
        </w:rPr>
        <w:t xml:space="preserve"> infestation. While dry eye is a multi-factorial disease, TP-03 is designed to relieve some of the key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elements associated with MGD by virtue of causing the death of the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mites. We expect to initiate, Ersa, a Phase 2a trial of TP-03 for MGD, in the first half of 2022.</w:t>
      </w:r>
    </w:p>
    <w:p>
      <w:pPr>
        <w:spacing w:after="0" w:line="202" w:lineRule="exact"/>
        <w:rPr>
          <w:sz w:val="20"/>
          <w:szCs w:val="20"/>
          <w:color w:val="auto"/>
        </w:rPr>
      </w:pPr>
    </w:p>
    <w:p>
      <w:pPr>
        <w:jc w:val="both"/>
        <w:ind w:right="60" w:firstLine="1008"/>
        <w:spacing w:after="0" w:line="289" w:lineRule="auto"/>
        <w:rPr>
          <w:sz w:val="20"/>
          <w:szCs w:val="20"/>
          <w:color w:val="auto"/>
        </w:rPr>
      </w:pPr>
      <w:r>
        <w:rPr>
          <w:rFonts w:ascii="Arial" w:cs="Arial" w:eastAsia="Arial" w:hAnsi="Arial"/>
          <w:sz w:val="16"/>
          <w:szCs w:val="16"/>
          <w:color w:val="auto"/>
        </w:rPr>
        <w:t>There are no FDA-approved therapeutics for MGD, which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and unmet need for an effective prescription therapeutic in MGD.</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figures show a representation of Demodex mites infesting the meibomian gland:</w:t>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7: Demodex Mites Infesting the Meibomian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5545455" cy="2717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45455"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Additional Product Candidates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TP-04 Topical Formulation for the Treatment of Rosacea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Rosacea</w:t>
      </w:r>
    </w:p>
    <w:p>
      <w:pPr>
        <w:spacing w:after="0" w:line="234" w:lineRule="exact"/>
        <w:rPr>
          <w:sz w:val="20"/>
          <w:szCs w:val="20"/>
          <w:color w:val="auto"/>
        </w:rPr>
      </w:pPr>
    </w:p>
    <w:p>
      <w:pPr>
        <w:ind w:right="20" w:firstLine="1008"/>
        <w:spacing w:after="0" w:line="236" w:lineRule="auto"/>
        <w:rPr>
          <w:sz w:val="20"/>
          <w:szCs w:val="20"/>
          <w:color w:val="auto"/>
        </w:rPr>
      </w:pPr>
      <w:r>
        <w:rPr>
          <w:rFonts w:ascii="Arial" w:cs="Arial" w:eastAsia="Arial" w:hAnsi="Arial"/>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U.S. are affected by rosacea and a study estimates rosacea prevalence can represent up to 5.4% of the global population. There are two phenotypes for rosacea: patients who present with papulopustular rosacea ("PPR"), and patients who do not (non-PPR), with approximately 55% of patients presenting with the PPR phenotype and 45% presenting with the non-PPR phenotype. According to primary research we conducted with dermatologists, of patients who are being treated with topicals for rosacea, an estimated 18% of overall rosacea patients are seeking treatments, with PPR patients generally more likely to seek treatment given the noticeable symptoms.</w:t>
      </w:r>
    </w:p>
    <w:p>
      <w:pPr>
        <w:spacing w:after="0" w:line="220" w:lineRule="exact"/>
        <w:rPr>
          <w:sz w:val="20"/>
          <w:szCs w:val="20"/>
          <w:color w:val="auto"/>
        </w:rPr>
      </w:pPr>
    </w:p>
    <w:p>
      <w:pPr>
        <w:ind w:firstLine="1008"/>
        <w:spacing w:after="0" w:line="268" w:lineRule="auto"/>
        <w:rPr>
          <w:sz w:val="20"/>
          <w:szCs w:val="20"/>
          <w:color w:val="auto"/>
        </w:rPr>
      </w:pPr>
      <w:r>
        <w:rPr>
          <w:rFonts w:ascii="Arial" w:cs="Arial" w:eastAsia="Arial" w:hAnsi="Arial"/>
          <w:sz w:val="16"/>
          <w:szCs w:val="16"/>
          <w:color w:val="auto"/>
        </w:rPr>
        <w:t xml:space="preserve">The cause of rosacea remains unclear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w:t>
      </w:r>
      <w:r>
        <w:rPr>
          <w:rFonts w:ascii="Arial" w:cs="Arial" w:eastAsia="Arial" w:hAnsi="Arial"/>
          <w:sz w:val="16"/>
          <w:szCs w:val="16"/>
          <w:i w:val="1"/>
          <w:iCs w:val="1"/>
          <w:color w:val="auto"/>
        </w:rPr>
        <w:t xml:space="preserve">bacillus oleronius </w:t>
      </w:r>
      <w:r>
        <w:rPr>
          <w:rFonts w:ascii="Arial" w:cs="Arial" w:eastAsia="Arial" w:hAnsi="Arial"/>
          <w:sz w:val="16"/>
          <w:szCs w:val="16"/>
          <w:color w:val="auto"/>
        </w:rPr>
        <w:t>in their digestive tracts, suggesting that Demodex may contribute to rosacea by being a transporter for the bacteria that causes the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Furthering that point, there is evidence to suggest that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forms a symbiotic relationship with Demodex, and that both species must be present in order to cause the signs and symptoms of rosacea. Other bacteria such as </w:t>
      </w:r>
      <w:r>
        <w:rPr>
          <w:rFonts w:ascii="Arial" w:cs="Arial" w:eastAsia="Arial" w:hAnsi="Arial"/>
          <w:sz w:val="16"/>
          <w:szCs w:val="16"/>
          <w:i w:val="1"/>
          <w:iCs w:val="1"/>
          <w:color w:val="auto"/>
        </w:rPr>
        <w:t>staphylococcus epidermidis</w:t>
      </w:r>
      <w:r>
        <w:rPr>
          <w:rFonts w:ascii="Arial" w:cs="Arial" w:eastAsia="Arial" w:hAnsi="Arial"/>
          <w:sz w:val="16"/>
          <w:szCs w:val="16"/>
          <w:color w:val="auto"/>
        </w:rPr>
        <w:t>, also carried by Demodex mites, may play a role in the disease as well. In fact, Soolantra, the current standard of care for rosacea, has an anti-parasitic and Demodex targeting mechanism, suggesting that the clearance of Demodex plays a role in resolving the signs of symptoms of rosacea.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Current Treatment Options and Their Limitations</w:t>
      </w:r>
    </w:p>
    <w:p>
      <w:pPr>
        <w:spacing w:after="0" w:line="234" w:lineRule="exact"/>
        <w:rPr>
          <w:sz w:val="20"/>
          <w:szCs w:val="20"/>
          <w:color w:val="auto"/>
        </w:rPr>
      </w:pPr>
    </w:p>
    <w:p>
      <w:pPr>
        <w:ind w:right="120" w:firstLine="1008"/>
        <w:spacing w:after="0" w:line="280" w:lineRule="auto"/>
        <w:rPr>
          <w:sz w:val="20"/>
          <w:szCs w:val="20"/>
          <w:color w:val="auto"/>
        </w:rPr>
      </w:pPr>
      <w:r>
        <w:rPr>
          <w:rFonts w:ascii="Arial" w:cs="Arial" w:eastAsia="Arial" w:hAnsi="Arial"/>
          <w:sz w:val="16"/>
          <w:szCs w:val="16"/>
          <w:color w:val="auto"/>
        </w:rPr>
        <w:t>Rosacea is currently treated through topical anti-parasitic creams like ivermectin and other topicals including azelaic acid, and antibiotics like metronidazole, as well as other mechanisms such as alpha agonists. An estimated 50% of rosacea patients are on at least one prescription topical treatment. The current standard of care, Soolantra, is a branded anti-parasitic drug composed of 1% ivermectin cream, which targets Demodex mites but is only modestly effective, takes 8 to 12 weeks to show efficacy and is expensive at around approximately $500 wholesale acquisition cost for a 30-day supply.</w:t>
      </w:r>
    </w:p>
    <w:p>
      <w:pPr>
        <w:spacing w:after="0" w:line="185" w:lineRule="exact"/>
        <w:rPr>
          <w:sz w:val="20"/>
          <w:szCs w:val="20"/>
          <w:color w:val="auto"/>
        </w:rPr>
      </w:pPr>
    </w:p>
    <w:p>
      <w:pPr>
        <w:ind w:right="180" w:firstLine="1008"/>
        <w:spacing w:after="0" w:line="244" w:lineRule="auto"/>
        <w:rPr>
          <w:sz w:val="20"/>
          <w:szCs w:val="20"/>
          <w:color w:val="auto"/>
        </w:rPr>
      </w:pPr>
      <w:r>
        <w:rPr>
          <w:rFonts w:ascii="Arial" w:cs="Arial" w:eastAsia="Arial" w:hAnsi="Arial"/>
          <w:sz w:val="18"/>
          <w:szCs w:val="18"/>
          <w:color w:val="auto"/>
        </w:rPr>
        <w:t>Other treatments in development include Sol-Gel’s Epsolay, a topical cream containing 5% encapsulated benzoyl peroxide. Foamix’s Zilxi, a topical foam containing 1.5% minocycline is being commercialized for the treatment of Subtype II rosacea, characterized by small, dome-shaped erythematous papules that resemble acne but are associated with burning and stinging sensations.</w:t>
      </w:r>
    </w:p>
    <w:p>
      <w:pPr>
        <w:spacing w:after="0" w:line="211" w:lineRule="exact"/>
        <w:rPr>
          <w:sz w:val="20"/>
          <w:szCs w:val="20"/>
          <w:color w:val="auto"/>
        </w:rPr>
      </w:pPr>
    </w:p>
    <w:p>
      <w:pPr>
        <w:ind w:right="320" w:firstLine="1008"/>
        <w:spacing w:after="0" w:line="255" w:lineRule="auto"/>
        <w:rPr>
          <w:sz w:val="20"/>
          <w:szCs w:val="20"/>
          <w:color w:val="auto"/>
        </w:rPr>
      </w:pPr>
      <w:r>
        <w:rPr>
          <w:rFonts w:ascii="Arial" w:cs="Arial" w:eastAsia="Arial" w:hAnsi="Arial"/>
          <w:sz w:val="18"/>
          <w:szCs w:val="18"/>
          <w:color w:val="auto"/>
        </w:rPr>
        <w:t>While current treatments address the symptoms of the disease by reducing redness and decreasing papules and pustules, for the majority of patients, complete clearance of these features is not currently achievable and there still exists an unmet medical need.</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Approach: TP-04 Topical Formulation for Rosacea</w:t>
      </w:r>
    </w:p>
    <w:p>
      <w:pPr>
        <w:spacing w:after="0" w:line="234" w:lineRule="exact"/>
        <w:rPr>
          <w:sz w:val="20"/>
          <w:szCs w:val="20"/>
          <w:color w:val="auto"/>
        </w:rPr>
      </w:pPr>
    </w:p>
    <w:p>
      <w:pPr>
        <w:ind w:firstLine="1008"/>
        <w:spacing w:after="0" w:line="251" w:lineRule="auto"/>
        <w:rPr>
          <w:sz w:val="20"/>
          <w:szCs w:val="20"/>
          <w:color w:val="auto"/>
        </w:rPr>
      </w:pPr>
      <w:r>
        <w:rPr>
          <w:rFonts w:ascii="Arial" w:cs="Arial" w:eastAsia="Arial" w:hAnsi="Arial"/>
          <w:sz w:val="17"/>
          <w:szCs w:val="17"/>
          <w:color w:val="auto"/>
        </w:rPr>
        <w:t>To address this unmet need in the rosacea market, lotilaner is being developed as a topical dermatology product, TP-04, initially for the treatment of PPR. It is designed to be active after topical administration in skin with no systemic activity. Lotilaner’s mechanism of targeting and killing Demodex mites has been established through our preclinical study and clinical trials evaluating TP-03 in Demodex blepharitis, which is why we believe it may be effective in another Demodex driven disease. We believe we can improve upon existing treatments in the market, like Soolantra, with an API that is potentially more effective (longer half-life, more lipophilic, greater therapeutic window). We believe a longer half-life leads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 We further believe there is potential for TP-04 to be evaluated in combination with topical anti-inflammatory agents or vasoconstrictors.</w:t>
      </w:r>
    </w:p>
    <w:p>
      <w:pPr>
        <w:spacing w:after="0" w:line="210" w:lineRule="exact"/>
        <w:rPr>
          <w:sz w:val="20"/>
          <w:szCs w:val="20"/>
          <w:color w:val="auto"/>
        </w:rPr>
      </w:pPr>
    </w:p>
    <w:p>
      <w:pPr>
        <w:ind w:right="40" w:firstLine="1008"/>
        <w:spacing w:after="0" w:line="251" w:lineRule="auto"/>
        <w:rPr>
          <w:sz w:val="20"/>
          <w:szCs w:val="20"/>
          <w:color w:val="auto"/>
        </w:rPr>
      </w:pPr>
      <w:r>
        <w:rPr>
          <w:rFonts w:ascii="Arial" w:cs="Arial" w:eastAsia="Arial" w:hAnsi="Arial"/>
          <w:sz w:val="17"/>
          <w:szCs w:val="17"/>
          <w:color w:val="auto"/>
        </w:rPr>
        <w:t xml:space="preserve">We have initiated the preclinical studies for TP-04. We intend to leverage systemic preclinical data from our TP-03 program (such as embryofetal development studies, genotoxicity studies and safety pharmacology studies, and augment with additional dermal preclinical studies such as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skin permeation and penetration studies, dermal toxicology and dermal pharmacodynamics testing we intend to conduct) to identify a lead formulation</w:t>
      </w:r>
      <w:r>
        <w:rPr>
          <w:rFonts w:ascii="Arial" w:cs="Arial" w:eastAsia="Arial" w:hAnsi="Arial"/>
          <w:sz w:val="17"/>
          <w:szCs w:val="17"/>
          <w:i w:val="1"/>
          <w:iCs w:val="1"/>
          <w:color w:val="auto"/>
        </w:rPr>
        <w:t xml:space="preserve"> </w:t>
      </w:r>
      <w:r>
        <w:rPr>
          <w:rFonts w:ascii="Arial" w:cs="Arial" w:eastAsia="Arial" w:hAnsi="Arial"/>
          <w:sz w:val="17"/>
          <w:szCs w:val="17"/>
          <w:color w:val="auto"/>
        </w:rPr>
        <w:t>that maximizes dermal levels of TP-04 and which we believe can compare favorably to Soolantra. We may need to address this approach with the FDA if we were to conduct a clinical trial in the U.S. and if the FDA rejected our use of data from these preclinical studies, it could cause delay in any trial we conduct in the U.S. for TP-04. We plan to evaluate whether TP-04 is safe and effective at treating the symptoms of PPR in Galatea, a Phase 2a trial outside the U.S. and are on track to initiate this trial in the second half of 2022. We have not conducted any preclinical studies in rosacea with TP-04 to date. Prior to commencing clinical trials in the U.S. for TP-04, we will need to obtain an IND from the FDA.</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TP-05 Oral Formulation for the Potential Prophylactic Protection against Lyme Disease</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Lyme Disease</w:t>
      </w:r>
    </w:p>
    <w:p>
      <w:pPr>
        <w:spacing w:after="0" w:line="221" w:lineRule="exact"/>
        <w:rPr>
          <w:sz w:val="20"/>
          <w:szCs w:val="20"/>
          <w:color w:val="auto"/>
        </w:rPr>
      </w:pPr>
    </w:p>
    <w:p>
      <w:pPr>
        <w:ind w:right="140" w:firstLine="1008"/>
        <w:spacing w:after="0" w:line="239" w:lineRule="auto"/>
        <w:rPr>
          <w:sz w:val="20"/>
          <w:szCs w:val="20"/>
          <w:color w:val="auto"/>
        </w:rPr>
      </w:pPr>
      <w:r>
        <w:rPr>
          <w:rFonts w:ascii="Arial" w:cs="Arial" w:eastAsia="Arial" w:hAnsi="Arial"/>
          <w:sz w:val="17"/>
          <w:szCs w:val="17"/>
          <w:color w:val="auto"/>
        </w:rPr>
        <w:t>Lyme disease is the most common vector-borne disease in the U.S., caused by infection of Borrelia bacteria following bite by a tick vector, predominantly ticks of the Ixodes genus (namely Ixodes scapularis in the U.S.). There are approximately 80 million people in the U.S. at risk of Lyme disease exposure, more than 30 million of which are at moderate to high risk and there are approximately 300,000 – 400,000 cases in the U.S. each year. Lyme disease occurs most commonly in geographical areas where the Ixodes scapularis tick is prevalent, namely in the Northeast of the U.S.. Lyme disease also occurs in certain parts of Europe, typically resulting from a different Ixodes species vector.</w:t>
      </w:r>
    </w:p>
    <w:p>
      <w:pPr>
        <w:spacing w:after="0" w:line="217" w:lineRule="exact"/>
        <w:rPr>
          <w:sz w:val="20"/>
          <w:szCs w:val="20"/>
          <w:color w:val="auto"/>
        </w:rPr>
      </w:pPr>
    </w:p>
    <w:p>
      <w:pPr>
        <w:ind w:right="140" w:firstLine="1008"/>
        <w:spacing w:after="0" w:line="238" w:lineRule="auto"/>
        <w:rPr>
          <w:sz w:val="20"/>
          <w:szCs w:val="20"/>
          <w:color w:val="auto"/>
        </w:rPr>
      </w:pPr>
      <w:r>
        <w:rPr>
          <w:rFonts w:ascii="Arial" w:cs="Arial" w:eastAsia="Arial" w:hAnsi="Arial"/>
          <w:sz w:val="18"/>
          <w:szCs w:val="18"/>
          <w:color w:val="auto"/>
        </w:rPr>
        <w:t>The mechanism of Lyme disease infection is well understood. Borrelia bacteria colonizes the salivary glands of the ticks, and the infected saliva is transmitted to the human host when a tick attaches to a person for feeding. The probability of Borrelia transmission, and therefore the risk of Lyme disease, increases with the duration of the tick’s attachment. Borrelia is rarely transferred during the first or even second day of feeding but transfers quite efficiently during and after the third day of feeding. This window from the time of bite to the time of transmission offers an opportunity for intervention to prevent Lyme disease.</w:t>
      </w:r>
    </w:p>
    <w:p>
      <w:pPr>
        <w:spacing w:after="0" w:line="217" w:lineRule="exact"/>
        <w:rPr>
          <w:sz w:val="20"/>
          <w:szCs w:val="20"/>
          <w:color w:val="auto"/>
        </w:rPr>
      </w:pPr>
    </w:p>
    <w:p>
      <w:pPr>
        <w:ind w:right="340" w:firstLine="1008"/>
        <w:spacing w:after="0" w:line="255" w:lineRule="auto"/>
        <w:rPr>
          <w:sz w:val="20"/>
          <w:szCs w:val="20"/>
          <w:color w:val="auto"/>
        </w:rPr>
      </w:pPr>
      <w:r>
        <w:rPr>
          <w:rFonts w:ascii="Arial" w:cs="Arial" w:eastAsia="Arial" w:hAnsi="Arial"/>
          <w:sz w:val="18"/>
          <w:szCs w:val="18"/>
          <w:color w:val="auto"/>
        </w:rPr>
        <w:t>Lyme disease can be a serious condition that may affect multiple bodily systems and produce a broad range of symptoms. Early symptoms include a localized rash, fever and fatigue. More severe, sometimes chronic, symptoms may evolve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Current Lyme Prophylaxis Options and Their Limitations</w:t>
      </w:r>
    </w:p>
    <w:p>
      <w:pPr>
        <w:spacing w:after="0" w:line="234" w:lineRule="exact"/>
        <w:rPr>
          <w:sz w:val="20"/>
          <w:szCs w:val="20"/>
          <w:color w:val="auto"/>
        </w:rPr>
      </w:pPr>
    </w:p>
    <w:p>
      <w:pPr>
        <w:ind w:right="240" w:firstLine="1008"/>
        <w:spacing w:after="0" w:line="244" w:lineRule="auto"/>
        <w:rPr>
          <w:sz w:val="20"/>
          <w:szCs w:val="20"/>
          <w:color w:val="auto"/>
        </w:rPr>
      </w:pPr>
      <w:r>
        <w:rPr>
          <w:rFonts w:ascii="Arial" w:cs="Arial" w:eastAsia="Arial" w:hAnsi="Arial"/>
          <w:sz w:val="18"/>
          <w:szCs w:val="18"/>
          <w:color w:val="auto"/>
        </w:rPr>
        <w:t>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Borrelia post-bite.</w:t>
      </w:r>
    </w:p>
    <w:p>
      <w:pPr>
        <w:spacing w:after="0" w:line="198" w:lineRule="exact"/>
        <w:rPr>
          <w:sz w:val="20"/>
          <w:szCs w:val="20"/>
          <w:color w:val="auto"/>
        </w:rPr>
      </w:pPr>
    </w:p>
    <w:p>
      <w:pPr>
        <w:ind w:right="80" w:firstLine="1008"/>
        <w:spacing w:after="0" w:line="239" w:lineRule="auto"/>
        <w:rPr>
          <w:sz w:val="20"/>
          <w:szCs w:val="20"/>
          <w:color w:val="auto"/>
        </w:rPr>
      </w:pPr>
      <w:r>
        <w:rPr>
          <w:rFonts w:ascii="Arial" w:cs="Arial" w:eastAsia="Arial" w:hAnsi="Arial"/>
          <w:sz w:val="17"/>
          <w:szCs w:val="17"/>
          <w:color w:val="auto"/>
        </w:rPr>
        <w:t>Moreover, there are currently no FDA-approved therapeutics for the prevention of Lyme disease. A vaccine for Lyme disease, LYMERix, was developed and launched by SmithKline Beecham in 1999. Approximately 1.5 million doses of the vaccine were sold in 1999, but the product was quickly pulled from the market following negative press and class action litigation claiming a dangerous side effect profile. We are aware of a second vaccine currently under development by Valneva for Lyme disease, VLA-15, an mRNA-based vaccine being developed by Yale University, and a pre-exposure prophylaxis injectable therapy being developed by MassBiologics involving a human anti-Lyme monoclonal antibody.</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 TP-05 Oral Formulation for the Prophylactic Protection against Lyme Disease</w:t>
      </w:r>
    </w:p>
    <w:p>
      <w:pPr>
        <w:spacing w:after="0" w:line="234" w:lineRule="exact"/>
        <w:rPr>
          <w:sz w:val="20"/>
          <w:szCs w:val="20"/>
          <w:color w:val="auto"/>
        </w:rPr>
      </w:pPr>
    </w:p>
    <w:p>
      <w:pPr>
        <w:ind w:right="20" w:firstLine="1008"/>
        <w:spacing w:after="0" w:line="269" w:lineRule="auto"/>
        <w:rPr>
          <w:sz w:val="20"/>
          <w:szCs w:val="20"/>
          <w:color w:val="auto"/>
        </w:rPr>
      </w:pPr>
      <w:r>
        <w:rPr>
          <w:rFonts w:ascii="Arial" w:cs="Arial" w:eastAsia="Arial" w:hAnsi="Arial"/>
          <w:sz w:val="16"/>
          <w:szCs w:val="16"/>
          <w:color w:val="auto"/>
        </w:rPr>
        <w:t>Since Borrelia is usually transferred during the second or third day following a tick bite, our approach is to eradicate the tick before it can transmit the bacteria. To do this, we are developing TP-05 as an oral formulation of lotilaner. We are targeting 30 days of prophylactic protection against Lyme disease with a single oral dose of TP-05. Given that lotilaner was developed specifically, in part, to eradicate ticks with systemic administration to companion animals, the pharmacology of lotilaner in Lyme prophylaxis is well understood. Similar to its mechanism against Demodex, lotilaner is a potent non-competitive antagonist of tick GABA-Cl channels. Antagonism of these channels in ticks induces paralysis and eventual death. The high preference for insect and arachnid GABA-Cl channels over mammalian channels promotes the safety profile of the molecule. Extensive preclinical systemic toxicology and safety pharmacology studies have been performed by third parties to date and support advancing TP-05 into clinical development. Lotilaner has a long, approximate 30-day systemic half-life in dogs, which we believe could provide for a convenient monthly administration.</w:t>
      </w:r>
    </w:p>
    <w:p>
      <w:pPr>
        <w:spacing w:after="0" w:line="196" w:lineRule="exact"/>
        <w:rPr>
          <w:sz w:val="20"/>
          <w:szCs w:val="20"/>
          <w:color w:val="auto"/>
        </w:rPr>
      </w:pPr>
    </w:p>
    <w:p>
      <w:pPr>
        <w:jc w:val="both"/>
        <w:ind w:firstLine="1008"/>
        <w:spacing w:after="0" w:line="289" w:lineRule="auto"/>
        <w:rPr>
          <w:sz w:val="20"/>
          <w:szCs w:val="20"/>
          <w:color w:val="auto"/>
        </w:rPr>
      </w:pPr>
      <w:r>
        <w:rPr>
          <w:rFonts w:ascii="Arial" w:cs="Arial" w:eastAsia="Arial" w:hAnsi="Arial"/>
          <w:sz w:val="16"/>
          <w:szCs w:val="16"/>
          <w:color w:val="auto"/>
        </w:rPr>
        <w:t>In June 2021, we initiated the Phase 1 Callisto Trial for TP-05, a novel, oral, non-vaccine therapeutic for the prevention of Lyme disease, with data expected in the second half of 2022. The Callisto Trial is a single ascending dose and multiple ascending dose trial to evaluate the safety, tolerability and PK of TP-05 in healthy volunteers. There are currently no FDA-approved pharmacological prophylactic options for Lyme disease.</w:t>
      </w:r>
    </w:p>
    <w:p>
      <w:pPr>
        <w:spacing w:after="0" w:line="178" w:lineRule="exact"/>
        <w:rPr>
          <w:sz w:val="20"/>
          <w:szCs w:val="20"/>
          <w:color w:val="auto"/>
        </w:rPr>
      </w:pPr>
    </w:p>
    <w:p>
      <w:pPr>
        <w:ind w:right="100" w:firstLine="883"/>
        <w:spacing w:after="0" w:line="244" w:lineRule="auto"/>
        <w:rPr>
          <w:sz w:val="20"/>
          <w:szCs w:val="20"/>
          <w:color w:val="auto"/>
        </w:rPr>
      </w:pPr>
      <w:r>
        <w:rPr>
          <w:rFonts w:ascii="Arial" w:cs="Arial" w:eastAsia="Arial" w:hAnsi="Arial"/>
          <w:sz w:val="18"/>
          <w:szCs w:val="18"/>
          <w:color w:val="auto"/>
        </w:rPr>
        <w:t>We believe TP-05 is currently the only non-vaccine, drug-based,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Malaria</w:t>
      </w:r>
    </w:p>
    <w:p>
      <w:pPr>
        <w:spacing w:after="0" w:line="234" w:lineRule="exact"/>
        <w:rPr>
          <w:sz w:val="20"/>
          <w:szCs w:val="20"/>
          <w:color w:val="auto"/>
        </w:rPr>
      </w:pPr>
    </w:p>
    <w:p>
      <w:pPr>
        <w:ind w:right="220" w:firstLine="1008"/>
        <w:spacing w:after="0" w:line="280" w:lineRule="auto"/>
        <w:rPr>
          <w:sz w:val="20"/>
          <w:szCs w:val="20"/>
          <w:color w:val="auto"/>
        </w:rPr>
      </w:pPr>
      <w:r>
        <w:rPr>
          <w:rFonts w:ascii="Arial" w:cs="Arial" w:eastAsia="Arial" w:hAnsi="Arial"/>
          <w:sz w:val="16"/>
          <w:szCs w:val="16"/>
          <w:color w:val="auto"/>
        </w:rPr>
        <w:t>Malaria is one of the world’s highest unmet public health needs, with approximately 228 million cases and more than 400,000 deaths caused by malaria worldwide in 2018 alone. The disease is caused by several species of plasmodium, a parasite transmitted to humans by a mosquito vector. Symptoms and outcomes include fever, vomiting, fatigue, seizure, coma and death. The disease is widespread in tropical and subtropical regions near the equator, with sub-Saharan Africa, parts of Asia and parts of Latin America impacted the most. The majority of deaths occur in Africa.</w:t>
      </w:r>
    </w:p>
    <w:p>
      <w:pPr>
        <w:spacing w:after="0" w:line="185" w:lineRule="exact"/>
        <w:rPr>
          <w:sz w:val="20"/>
          <w:szCs w:val="20"/>
          <w:color w:val="auto"/>
        </w:rPr>
      </w:pPr>
    </w:p>
    <w:p>
      <w:pPr>
        <w:ind w:right="120" w:firstLine="1008"/>
        <w:spacing w:after="0"/>
        <w:rPr>
          <w:sz w:val="20"/>
          <w:szCs w:val="20"/>
          <w:color w:val="auto"/>
        </w:rPr>
      </w:pPr>
      <w:r>
        <w:rPr>
          <w:rFonts w:ascii="Arial" w:cs="Arial" w:eastAsia="Arial" w:hAnsi="Arial"/>
          <w:sz w:val="18"/>
          <w:szCs w:val="18"/>
          <w:color w:val="auto"/>
        </w:rPr>
        <w:t>There has been a massive years-long effort to combat malaria using a variety of techniques, including administration of multiple types of prophylactic and therapeutic drugs, insecticide spraying and mosquito nets. While worldwide rates of malaria have dropped over the last two decades, meaningful reduction in malaria rates has stalled since approximately 2015. It is widely hoped that new vector control and prophylactic modalities will play an important role in further reducing the burden of the disease.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Approach: TP-05 Oral Formulation, Long-acting Endectocide for Community Malaria Reduction</w:t>
      </w:r>
    </w:p>
    <w:p>
      <w:pPr>
        <w:spacing w:after="0" w:line="234" w:lineRule="exact"/>
        <w:rPr>
          <w:sz w:val="20"/>
          <w:szCs w:val="20"/>
          <w:color w:val="auto"/>
        </w:rPr>
      </w:pPr>
    </w:p>
    <w:p>
      <w:pPr>
        <w:ind w:right="80" w:firstLine="1008"/>
        <w:spacing w:after="0" w:line="238" w:lineRule="auto"/>
        <w:rPr>
          <w:sz w:val="20"/>
          <w:szCs w:val="20"/>
          <w:color w:val="auto"/>
        </w:rPr>
      </w:pPr>
      <w:r>
        <w:rPr>
          <w:rFonts w:ascii="Arial" w:cs="Arial" w:eastAsia="Arial" w:hAnsi="Arial"/>
          <w:sz w:val="18"/>
          <w:szCs w:val="18"/>
          <w:color w:val="auto"/>
        </w:rPr>
        <w:t>The malaria community, including, the World Health Organization, Medicines for Malaria Venture, Bill and Melinda Gates Foundation and others, has called for the development of a long-acting endectocide, or antiparasitic drug active against endoparasites such as plasmodium, for the control and reduction of malaria in endemic regions. An endectocide for malaria is a drug taken by a person that causes the death or incapacity of a mosquito before it can infect another person. Field studies and modeling have shown that reducing the lifespan of the mosquitos may significantly reduce malaria transmission.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With mass drug administration, which is a common approach for other anti-malarial medications, a community could attain herd protection against spread of malaria using an endectocide. For instance, a modeling study on mosquito populations published in PNAS in 2018 (the "PNAS Study"), showed that mass administration of an isoxazoline endectocide could reduce community malaria rates by as much as 65% with administration to just 30% of a community’s population.</w:t>
      </w:r>
    </w:p>
    <w:p>
      <w:pPr>
        <w:spacing w:after="0" w:line="215" w:lineRule="exact"/>
        <w:rPr>
          <w:sz w:val="20"/>
          <w:szCs w:val="20"/>
          <w:color w:val="auto"/>
        </w:rPr>
      </w:pPr>
    </w:p>
    <w:p>
      <w:pPr>
        <w:ind w:firstLine="1008"/>
        <w:spacing w:after="0" w:line="251" w:lineRule="auto"/>
        <w:rPr>
          <w:sz w:val="20"/>
          <w:szCs w:val="20"/>
          <w:color w:val="auto"/>
        </w:rPr>
      </w:pPr>
      <w:r>
        <w:rPr>
          <w:rFonts w:ascii="Arial" w:cs="Arial" w:eastAsia="Arial" w:hAnsi="Arial"/>
          <w:sz w:val="17"/>
          <w:szCs w:val="17"/>
          <w:color w:val="auto"/>
        </w:rPr>
        <w:t>The pharmacology of isoxazoline endectocides in malaria control is well understood. Similar to its mechanism against Demodex and ticks, the isoxazoline endectocides are potent non-competitive antagonists of GABA-Cl channels in mosquitos. Furthermore, according to the PNAS Study, the isoxazoline endectocides showed significant ability to cause the death of various disease carrying mosquito vectors that were fed drug-supplemented human blood in a membrane feeding assay. Additional transmission modeling in the PNAS Study of these isoxazolines on malaria incidence, which assumed a 90-day efficacy period, translated to survival of less than 1% of mosquitos. We believe our treatment concept of the oral administration of TP-05 to a human population may likewise lead to the death of blood-fed insect vectors and a decline in disease transmission. This is based on the relatively long half-life of lotilaner, an isoxazoline endectocide, which has been demonstrated in preclinical studies. However, modeling studies may not be accurate representations of malaria transmission in human populations and the efficacy of lotilaner or TP-05 to cause the death of mosquitos and reduced transmission rates has not been tested in human populations.</w:t>
      </w:r>
    </w:p>
    <w:p>
      <w:pPr>
        <w:spacing w:after="0" w:line="206" w:lineRule="exact"/>
        <w:rPr>
          <w:sz w:val="20"/>
          <w:szCs w:val="20"/>
          <w:color w:val="auto"/>
        </w:rPr>
      </w:pPr>
    </w:p>
    <w:p>
      <w:pPr>
        <w:ind w:right="40" w:firstLine="1008"/>
        <w:spacing w:after="0" w:line="252" w:lineRule="auto"/>
        <w:rPr>
          <w:sz w:val="20"/>
          <w:szCs w:val="20"/>
          <w:color w:val="auto"/>
        </w:rPr>
      </w:pPr>
      <w:r>
        <w:rPr>
          <w:rFonts w:ascii="Arial" w:cs="Arial" w:eastAsia="Arial" w:hAnsi="Arial"/>
          <w:sz w:val="17"/>
          <w:szCs w:val="17"/>
          <w:color w:val="auto"/>
        </w:rPr>
        <w:t>For TP-05 and its use in malaria community reduction, we intend to leverage oral systemic preclinical data from our TP-03 program (embryofetal 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We obtained rights to these studies through the All Human Uses Elanco Agreement and we will not conduct any additional preclinical studies to support our Phase 1/2 clinical trial. We intend to evaluate whether TP-05 is safe and effective at eradicating mosquitos in a planned Phase 1/2 trial, which may be conducted outside the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Chemistry, Manufacturing and Controls (CMC)</w:t>
      </w:r>
    </w:p>
    <w:p>
      <w:pPr>
        <w:spacing w:after="0" w:line="238" w:lineRule="exact"/>
        <w:rPr>
          <w:sz w:val="20"/>
          <w:szCs w:val="20"/>
          <w:color w:val="auto"/>
        </w:rPr>
      </w:pPr>
    </w:p>
    <w:p>
      <w:pPr>
        <w:ind w:right="120" w:firstLine="1008"/>
        <w:spacing w:after="0"/>
        <w:rPr>
          <w:sz w:val="20"/>
          <w:szCs w:val="20"/>
          <w:color w:val="auto"/>
        </w:rPr>
      </w:pPr>
      <w:r>
        <w:rPr>
          <w:rFonts w:ascii="Arial" w:cs="Arial" w:eastAsia="Arial" w:hAnsi="Arial"/>
          <w:sz w:val="18"/>
          <w:szCs w:val="18"/>
          <w:color w:val="auto"/>
        </w:rPr>
        <w:t>We do not currently own or operate and currently have no plans to establish facilities for manufacturing, storing, distributing or testing our product candidates. We rely and expect to continue to rely for the foreseeable future on contract manufacturing organizations ("CMOs") to manufacture and supply our preclinical and clinical materials to be used during the development of our product candidates. We have assembled a team of employees and consultants to oversee our technical quality and CMOs.</w:t>
      </w:r>
    </w:p>
    <w:p>
      <w:pPr>
        <w:spacing w:after="0" w:line="215" w:lineRule="exact"/>
        <w:rPr>
          <w:sz w:val="20"/>
          <w:szCs w:val="20"/>
          <w:color w:val="auto"/>
        </w:rPr>
      </w:pPr>
    </w:p>
    <w:p>
      <w:pPr>
        <w:ind w:right="40" w:firstLine="1008"/>
        <w:spacing w:after="0" w:line="244" w:lineRule="auto"/>
        <w:rPr>
          <w:sz w:val="20"/>
          <w:szCs w:val="20"/>
          <w:color w:val="auto"/>
        </w:rPr>
      </w:pPr>
      <w:r>
        <w:rPr>
          <w:rFonts w:ascii="Arial" w:cs="Arial" w:eastAsia="Arial" w:hAnsi="Arial"/>
          <w:sz w:val="18"/>
          <w:szCs w:val="18"/>
          <w:color w:val="auto"/>
        </w:rPr>
        <w:t>The product candidate TP-03 is lotilaner, the API, formulated into a topical eye drop formulation. Only one dose strength of TP-03 is currently being developed, 0.25% lotilaner solution. Since TP-03 is an anti-infective, only one strength, at the maximum level formulated (0.25%), is required to be evaluated clinically.</w:t>
      </w:r>
    </w:p>
    <w:p>
      <w:pPr>
        <w:spacing w:after="0" w:line="211" w:lineRule="exact"/>
        <w:rPr>
          <w:sz w:val="20"/>
          <w:szCs w:val="20"/>
          <w:color w:val="auto"/>
        </w:rPr>
      </w:pPr>
    </w:p>
    <w:p>
      <w:pPr>
        <w:ind w:right="300" w:firstLine="1008"/>
        <w:spacing w:after="0" w:line="265" w:lineRule="auto"/>
        <w:rPr>
          <w:sz w:val="20"/>
          <w:szCs w:val="20"/>
          <w:color w:val="auto"/>
        </w:rPr>
      </w:pPr>
      <w:r>
        <w:rPr>
          <w:rFonts w:ascii="Arial" w:cs="Arial" w:eastAsia="Arial" w:hAnsi="Arial"/>
          <w:sz w:val="17"/>
          <w:szCs w:val="17"/>
          <w:color w:val="auto"/>
        </w:rPr>
        <w:t>We believe that our supply of TP-03 is sufficient to complete our Saturn-2 clinical trial. We believe that the existing capacity of our current API supplier will be sufficient to support commercial scale-up, validation and commercial launch activities if TP-03 is approved. Our current supplier currently manufactures current good manufacturing practice ("cGMP") lotilaner at multiple geographically distinct facilities.</w:t>
      </w:r>
    </w:p>
    <w:p>
      <w:pPr>
        <w:spacing w:after="0" w:line="195" w:lineRule="exact"/>
        <w:rPr>
          <w:sz w:val="20"/>
          <w:szCs w:val="20"/>
          <w:color w:val="auto"/>
        </w:rPr>
      </w:pPr>
    </w:p>
    <w:p>
      <w:pPr>
        <w:ind w:right="40" w:firstLine="1008"/>
        <w:spacing w:after="0" w:line="255" w:lineRule="auto"/>
        <w:rPr>
          <w:sz w:val="20"/>
          <w:szCs w:val="20"/>
          <w:color w:val="auto"/>
        </w:rPr>
      </w:pPr>
      <w:r>
        <w:rPr>
          <w:rFonts w:ascii="Arial" w:cs="Arial" w:eastAsia="Arial" w:hAnsi="Arial"/>
          <w:sz w:val="17"/>
          <w:szCs w:val="17"/>
          <w:color w:val="auto"/>
        </w:rPr>
        <w:t>Although we have relied on a single supplier for both non-clinical and clinical supply for lotilaner under cGMP protocols and a single CMO to manufacture TP-03 and to perform analytical testing services, it is our intent to identify and qualify additional manufacturers to provide lotilaner and drug product manufacturing and analytical testing services, if possible, prior to submission of our NDA for TP-03. The drug product manufacturing is a compounding and aseptic filling operation that we believe could be transferred to additional CMOs as necessary. We have identified suppliers for TP-04 topical formulation for rosacea and TP-05 oral formulation for Phase 1/2 trials for Lyme disease and malaria.</w:t>
      </w:r>
    </w:p>
    <w:p>
      <w:pPr>
        <w:spacing w:after="0" w:line="205" w:lineRule="exact"/>
        <w:rPr>
          <w:sz w:val="20"/>
          <w:szCs w:val="20"/>
          <w:color w:val="auto"/>
        </w:rPr>
      </w:pPr>
    </w:p>
    <w:p>
      <w:pPr>
        <w:ind w:right="60" w:firstLine="1008"/>
        <w:spacing w:after="0" w:line="268" w:lineRule="auto"/>
        <w:rPr>
          <w:sz w:val="20"/>
          <w:szCs w:val="20"/>
          <w:color w:val="auto"/>
        </w:rPr>
      </w:pPr>
      <w:r>
        <w:rPr>
          <w:rFonts w:ascii="Arial" w:cs="Arial" w:eastAsia="Arial" w:hAnsi="Arial"/>
          <w:sz w:val="16"/>
          <w:szCs w:val="16"/>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 subject us to possible legal or regulatory action,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8" w:lineRule="exact"/>
        <w:rPr>
          <w:sz w:val="20"/>
          <w:szCs w:val="20"/>
          <w:color w:val="auto"/>
        </w:rPr>
      </w:pPr>
    </w:p>
    <w:p>
      <w:pPr>
        <w:ind w:right="100" w:firstLine="1008"/>
        <w:spacing w:after="0" w:line="254" w:lineRule="auto"/>
        <w:rPr>
          <w:sz w:val="20"/>
          <w:szCs w:val="20"/>
          <w:color w:val="auto"/>
        </w:rPr>
      </w:pPr>
      <w:r>
        <w:rPr>
          <w:rFonts w:ascii="Arial" w:cs="Arial" w:eastAsia="Arial" w:hAnsi="Arial"/>
          <w:sz w:val="17"/>
          <w:szCs w:val="17"/>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203" w:lineRule="exact"/>
        <w:rPr>
          <w:sz w:val="20"/>
          <w:szCs w:val="20"/>
          <w:color w:val="auto"/>
        </w:rPr>
      </w:pPr>
    </w:p>
    <w:p>
      <w:pPr>
        <w:ind w:firstLine="1008"/>
        <w:spacing w:after="0" w:line="252" w:lineRule="auto"/>
        <w:rPr>
          <w:sz w:val="20"/>
          <w:szCs w:val="20"/>
          <w:color w:val="auto"/>
        </w:rPr>
      </w:pPr>
      <w:r>
        <w:rPr>
          <w:rFonts w:ascii="Arial" w:cs="Arial" w:eastAsia="Arial" w:hAnsi="Arial"/>
          <w:sz w:val="17"/>
          <w:szCs w:val="17"/>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U.S. Current treatments for blepharitis in the U.S. include over the counter and off-label remedies such as tea tree oil, lid wipes and artificial tears. We are aware of other companies developing prescription therapies for blepharitis, including Azura Ophthalmics, Aperta Biosciences, LLC, Eyevance Pharmaceuticals, Formosa Pharmaceuticals, Inc., Glaukos Corp., Hovione Scientia, Nicox SA, Novaliq GmbH, Premark Pharma and Quorum Innovations. To our knowledge, Aperta Biosciences, LLC and Glaukos Corp. are the only companies currently focused on Demodex blepharitis and Nicox SA and Premark Pharma are the only companies with blepharitis programs that have completed Phase 2 trials.</w:t>
      </w:r>
    </w:p>
    <w:p>
      <w:pPr>
        <w:spacing w:after="0" w:line="208" w:lineRule="exact"/>
        <w:rPr>
          <w:sz w:val="20"/>
          <w:szCs w:val="20"/>
          <w:color w:val="auto"/>
        </w:rPr>
      </w:pPr>
    </w:p>
    <w:p>
      <w:pPr>
        <w:ind w:right="140" w:firstLine="1008"/>
        <w:spacing w:after="0" w:line="275"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8" w:lineRule="exact"/>
        <w:rPr>
          <w:sz w:val="20"/>
          <w:szCs w:val="20"/>
          <w:color w:val="auto"/>
        </w:rPr>
      </w:pPr>
    </w:p>
    <w:p>
      <w:pPr>
        <w:ind w:right="40" w:firstLine="1008"/>
        <w:spacing w:after="0" w:line="254" w:lineRule="auto"/>
        <w:rPr>
          <w:sz w:val="20"/>
          <w:szCs w:val="20"/>
          <w:color w:val="auto"/>
        </w:rPr>
      </w:pPr>
      <w:r>
        <w:rPr>
          <w:rFonts w:ascii="Arial" w:cs="Arial" w:eastAsia="Arial" w:hAnsi="Arial"/>
          <w:sz w:val="17"/>
          <w:szCs w:val="17"/>
          <w:color w:val="auto"/>
        </w:rPr>
        <w:t>In light of our stage of development, we have not yet established a commercial organization or distribution capabilities. If TP-03 receives marketing approval, we plan to commercialize TP-03 in the U.S. by developing our own sales organization targeting a subset of the approximately 15,000 prescribing ECPs in the U.S. Throughout our commercialization efforts, we intend to, and have commenced educating ECPs on Demodex blepharitis and how to diagnose it by having patients look down during a standard slit lamp examination. Given the importance of increasing awareness and educating patients with blepharitis, we also anticipate deploying focused social and digital marketing campaigns for TP-03. We expect to conduct most of the build out of this organization following NDA submission and approval of TP-03, if obtained.</w:t>
      </w:r>
    </w:p>
    <w:p>
      <w:pPr>
        <w:spacing w:after="0" w:line="203" w:lineRule="exact"/>
        <w:rPr>
          <w:sz w:val="20"/>
          <w:szCs w:val="20"/>
          <w:color w:val="auto"/>
        </w:rPr>
      </w:pPr>
    </w:p>
    <w:p>
      <w:pPr>
        <w:ind w:right="320" w:firstLine="1008"/>
        <w:spacing w:after="0"/>
        <w:rPr>
          <w:sz w:val="20"/>
          <w:szCs w:val="20"/>
          <w:color w:val="auto"/>
        </w:rPr>
      </w:pPr>
      <w:r>
        <w:rPr>
          <w:rFonts w:ascii="Arial" w:cs="Arial" w:eastAsia="Arial" w:hAnsi="Arial"/>
          <w:sz w:val="18"/>
          <w:szCs w:val="18"/>
          <w:color w:val="auto"/>
        </w:rPr>
        <w:t xml:space="preserve">Outside the U.S., we intend to further develop commercialization strategies for TP-03, which may include collaborations with other companies. In March 2021, we executed an out-license agreement with LianBio, granting exclusive commercial rights of TP-03 for the treatment of Demodex blepharitis and MGD within the China Territory. The terms of this agreement are further described below within </w:t>
      </w:r>
      <w:r>
        <w:rPr>
          <w:rFonts w:ascii="Arial" w:cs="Arial" w:eastAsia="Arial" w:hAnsi="Arial"/>
          <w:sz w:val="18"/>
          <w:szCs w:val="18"/>
          <w:i w:val="1"/>
          <w:iCs w:val="1"/>
          <w:color w:val="auto"/>
        </w:rPr>
        <w:t>License Agreements: LianBio</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8" w:lineRule="exact"/>
        <w:rPr>
          <w:sz w:val="20"/>
          <w:szCs w:val="20"/>
          <w:color w:val="auto"/>
        </w:rPr>
      </w:pPr>
    </w:p>
    <w:p>
      <w:pPr>
        <w:ind w:firstLine="1008"/>
        <w:spacing w:after="0" w:line="236" w:lineRule="auto"/>
        <w:rPr>
          <w:sz w:val="20"/>
          <w:szCs w:val="20"/>
          <w:color w:val="auto"/>
        </w:rPr>
      </w:pPr>
      <w:r>
        <w:rPr>
          <w:rFonts w:ascii="Arial" w:cs="Arial" w:eastAsia="Arial" w:hAnsi="Arial"/>
          <w:sz w:val="18"/>
          <w:szCs w:val="18"/>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220" w:lineRule="exact"/>
        <w:rPr>
          <w:sz w:val="20"/>
          <w:szCs w:val="20"/>
          <w:color w:val="auto"/>
        </w:rPr>
      </w:pPr>
    </w:p>
    <w:p>
      <w:pPr>
        <w:ind w:right="120" w:firstLine="1008"/>
        <w:spacing w:after="0" w:line="244" w:lineRule="auto"/>
        <w:rPr>
          <w:sz w:val="20"/>
          <w:szCs w:val="20"/>
          <w:color w:val="auto"/>
        </w:rPr>
      </w:pPr>
      <w:r>
        <w:rPr>
          <w:rFonts w:ascii="Arial" w:cs="Arial" w:eastAsia="Arial" w:hAnsi="Arial"/>
          <w:sz w:val="18"/>
          <w:szCs w:val="18"/>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TP-05 or future pipeline product candidates and alternative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0"/>
        <w:spacing w:after="0" w:line="317" w:lineRule="auto"/>
        <w:rPr>
          <w:sz w:val="20"/>
          <w:szCs w:val="20"/>
          <w:color w:val="auto"/>
        </w:rPr>
      </w:pPr>
      <w:r>
        <w:rPr>
          <w:rFonts w:ascii="Arial" w:cs="Arial" w:eastAsia="Arial" w:hAnsi="Arial"/>
          <w:sz w:val="16"/>
          <w:szCs w:val="16"/>
          <w:color w:val="auto"/>
        </w:rPr>
        <w:t>technologies. Some of our issued patents and patent applications are exclusively licensed to us in therapeutic fields of use from Elanco. The patents and patent applications owned by or licensed to us worldwide include approximately 40 issued patents and approximately 38 pending patent applications.</w:t>
      </w:r>
    </w:p>
    <w:p>
      <w:pPr>
        <w:spacing w:after="0" w:line="156" w:lineRule="exact"/>
        <w:rPr>
          <w:sz w:val="20"/>
          <w:szCs w:val="20"/>
          <w:color w:val="auto"/>
        </w:rPr>
      </w:pPr>
    </w:p>
    <w:p>
      <w:pPr>
        <w:ind w:right="100" w:firstLine="1008"/>
        <w:spacing w:after="0" w:line="255" w:lineRule="auto"/>
        <w:rPr>
          <w:sz w:val="20"/>
          <w:szCs w:val="20"/>
          <w:color w:val="auto"/>
        </w:rPr>
      </w:pPr>
      <w:r>
        <w:rPr>
          <w:rFonts w:ascii="Arial" w:cs="Arial" w:eastAsia="Arial" w:hAnsi="Arial"/>
          <w:sz w:val="17"/>
          <w:szCs w:val="17"/>
          <w:color w:val="auto"/>
        </w:rPr>
        <w:t>We in-license certain of such patents and patent applications from Elanco. These patents and patent applications relate to lotilaner and are issued or pending in, for example, the U.S., Australia, Brazil, Canada, Chile, China, several European territories, India, Japan, Mexico, New Zealand, the Russian Federation, and Taiwan. The licensed-in portfolio includes approximately 38 issued patents and approximately 14 pending patent applications; the issued patents and at least some of the pending patent applications include composition of matter claims. The estimated natural expiration date of the issued in-licensed patents is approximately 2029 with a potential extension until 2032.</w:t>
      </w:r>
    </w:p>
    <w:p>
      <w:pPr>
        <w:spacing w:after="0" w:line="192" w:lineRule="exact"/>
        <w:rPr>
          <w:sz w:val="20"/>
          <w:szCs w:val="20"/>
          <w:color w:val="auto"/>
        </w:rPr>
      </w:pPr>
    </w:p>
    <w:p>
      <w:pPr>
        <w:ind w:right="20" w:firstLine="1008"/>
        <w:spacing w:after="0" w:line="223" w:lineRule="auto"/>
        <w:rPr>
          <w:sz w:val="20"/>
          <w:szCs w:val="20"/>
          <w:color w:val="auto"/>
        </w:rPr>
      </w:pPr>
      <w:r>
        <w:rPr>
          <w:rFonts w:ascii="Arial" w:cs="Arial" w:eastAsia="Arial" w:hAnsi="Arial"/>
          <w:sz w:val="18"/>
          <w:szCs w:val="18"/>
          <w:color w:val="auto"/>
        </w:rPr>
        <w:t>Approximately 32 of our owned patents and pending patent applications include treatment and composition of matter claims which relate to our TP-03 product candidate with respect to our lead indication (e.g., isoxazoline parasiticides for the treatment of Demodex blepharitis), as well as other conditions. These pending patent applications include applications in the U.S., Australia, Brazil, Canada, China, Europe, Hong Kong, Israel, India, Japan, South Korea, Mexico, New Zealand, the Russian Federation, and South Africa. We received issuances on two of our owned pending patent applications with treatment claims, U.S. Pat. No. 10,835,517, on November 17, 2020, and U.S. Pat. No. 11,197,847 on December 14, 2021. The estimated natural expiration date of these issued patents are 2038, and if additional patents issue on these pending applications of ours, the estimated natural expiration dates are between approximately 2038 and 2040.</w:t>
      </w:r>
    </w:p>
    <w:p>
      <w:pPr>
        <w:spacing w:after="0" w:line="218" w:lineRule="exact"/>
        <w:rPr>
          <w:sz w:val="20"/>
          <w:szCs w:val="20"/>
          <w:color w:val="auto"/>
        </w:rPr>
      </w:pPr>
    </w:p>
    <w:p>
      <w:pPr>
        <w:ind w:right="240" w:firstLine="1008"/>
        <w:spacing w:after="0" w:line="238" w:lineRule="auto"/>
        <w:rPr>
          <w:sz w:val="20"/>
          <w:szCs w:val="20"/>
          <w:color w:val="auto"/>
        </w:rPr>
      </w:pPr>
      <w:r>
        <w:rPr>
          <w:rFonts w:ascii="Arial" w:cs="Arial" w:eastAsia="Arial" w:hAnsi="Arial"/>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217" w:lineRule="exact"/>
        <w:rPr>
          <w:sz w:val="20"/>
          <w:szCs w:val="20"/>
          <w:color w:val="auto"/>
        </w:rPr>
      </w:pPr>
    </w:p>
    <w:p>
      <w:pPr>
        <w:ind w:right="520" w:firstLine="1008"/>
        <w:spacing w:after="0" w:line="255" w:lineRule="auto"/>
        <w:rPr>
          <w:sz w:val="20"/>
          <w:szCs w:val="20"/>
          <w:color w:val="auto"/>
        </w:rPr>
      </w:pPr>
      <w:r>
        <w:rPr>
          <w:rFonts w:ascii="Arial" w:cs="Arial" w:eastAsia="Arial" w:hAnsi="Arial"/>
          <w:sz w:val="18"/>
          <w:szCs w:val="18"/>
          <w:color w:val="auto"/>
        </w:rPr>
        <w:t>We also protect our brand through trademark rights. We are the registered owner of six U.S. pending trademark applications. In order to supplement the protection of our brand, we also own at least one registered internet domain name.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Elanco In-License (January 2019): Lotilaner for Human Use in Eye and Skin Diseases or Conditions</w:t>
      </w:r>
    </w:p>
    <w:p>
      <w:pPr>
        <w:spacing w:after="0" w:line="234" w:lineRule="exact"/>
        <w:rPr>
          <w:sz w:val="20"/>
          <w:szCs w:val="20"/>
          <w:color w:val="auto"/>
        </w:rPr>
      </w:pPr>
    </w:p>
    <w:p>
      <w:pPr>
        <w:ind w:right="140" w:firstLine="1008"/>
        <w:spacing w:after="0" w:line="252" w:lineRule="auto"/>
        <w:rPr>
          <w:sz w:val="20"/>
          <w:szCs w:val="20"/>
          <w:color w:val="auto"/>
        </w:rPr>
      </w:pPr>
      <w:r>
        <w:rPr>
          <w:rFonts w:ascii="Arial" w:cs="Arial" w:eastAsia="Arial" w:hAnsi="Arial"/>
          <w:sz w:val="17"/>
          <w:szCs w:val="17"/>
          <w:color w:val="auto"/>
        </w:rPr>
        <w:t>In January 2019, we entered into an agreement with Elanco granting us an exclusive, worldwide, sublicensable license to certain intellectual property for the development, marketing, and commercialization of lotilaner for the treatment, palliation, prevention or cure of any eye or skin disease or condition in humans (as amended, the "Eye and Derm Elanco Agreement").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 consent, additional third parties.</w:t>
      </w:r>
    </w:p>
    <w:p>
      <w:pPr>
        <w:spacing w:after="0" w:line="208" w:lineRule="exact"/>
        <w:rPr>
          <w:sz w:val="20"/>
          <w:szCs w:val="20"/>
          <w:color w:val="auto"/>
        </w:rPr>
      </w:pPr>
    </w:p>
    <w:p>
      <w:pPr>
        <w:ind w:firstLine="1008"/>
        <w:spacing w:after="0" w:line="266" w:lineRule="auto"/>
        <w:rPr>
          <w:sz w:val="20"/>
          <w:szCs w:val="20"/>
          <w:color w:val="auto"/>
        </w:rPr>
      </w:pPr>
      <w:r>
        <w:rPr>
          <w:rFonts w:ascii="Arial" w:cs="Arial" w:eastAsia="Arial" w:hAnsi="Arial"/>
          <w:sz w:val="16"/>
          <w:szCs w:val="16"/>
          <w:color w:val="auto"/>
        </w:rPr>
        <w:t>We made an upfront payment of $1.0 million to Elanco at contract execution, which we recorded within “research and development” expense within our statements of operations for the year ended December 31, 2019. In accordance with the terms of the Eye and Derm Elanco Agreement, we are obligated to make further payments to Elanco upon our achievement of various clinical milestones up to an aggregate maximum of $6.0 million and various sales milestones up to an aggregate 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(i) expiration of the last-to-expire of the licensed patents which has at least one valid claim, (ii) the expiration of regulatory exclusivity and (iii) ten years after the first commercial sale of such licensed product in such country. 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firstLine="1008"/>
        <w:spacing w:after="0" w:line="265" w:lineRule="auto"/>
        <w:rPr>
          <w:sz w:val="20"/>
          <w:szCs w:val="20"/>
          <w:color w:val="auto"/>
        </w:rPr>
      </w:pPr>
      <w:r>
        <w:rPr>
          <w:rFonts w:ascii="Arial" w:cs="Arial" w:eastAsia="Arial" w:hAnsi="Arial"/>
          <w:sz w:val="16"/>
          <w:szCs w:val="16"/>
          <w:color w:val="auto"/>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spacing w:after="0" w:line="205" w:lineRule="exact"/>
        <w:rPr>
          <w:sz w:val="20"/>
          <w:szCs w:val="20"/>
          <w:color w:val="auto"/>
        </w:rPr>
      </w:pPr>
    </w:p>
    <w:p>
      <w:pPr>
        <w:ind w:right="80" w:firstLine="1008"/>
        <w:spacing w:after="0" w:line="237" w:lineRule="auto"/>
        <w:rPr>
          <w:sz w:val="20"/>
          <w:szCs w:val="20"/>
          <w:color w:val="auto"/>
        </w:rPr>
      </w:pPr>
      <w:r>
        <w:rPr>
          <w:rFonts w:ascii="Arial" w:cs="Arial" w:eastAsia="Arial" w:hAnsi="Arial"/>
          <w:sz w:val="18"/>
          <w:szCs w:val="18"/>
          <w:color w:val="auto"/>
        </w:rPr>
        <w:t>Under the terms of the Eye and Derm Elanco Agreement, we granted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granted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spacing w:after="0" w:line="218" w:lineRule="exact"/>
        <w:rPr>
          <w:sz w:val="20"/>
          <w:szCs w:val="20"/>
          <w:color w:val="auto"/>
        </w:rPr>
      </w:pPr>
    </w:p>
    <w:p>
      <w:pPr>
        <w:ind w:right="560" w:firstLine="1008"/>
        <w:spacing w:after="0" w:line="284" w:lineRule="auto"/>
        <w:rPr>
          <w:sz w:val="20"/>
          <w:szCs w:val="20"/>
          <w:color w:val="auto"/>
        </w:rPr>
      </w:pPr>
      <w:r>
        <w:rPr>
          <w:rFonts w:ascii="Arial" w:cs="Arial" w:eastAsia="Arial" w:hAnsi="Arial"/>
          <w:sz w:val="17"/>
          <w:szCs w:val="17"/>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Elanco In-License (September 2020): Lotilaner for All Human Uses</w:t>
      </w:r>
    </w:p>
    <w:p>
      <w:pPr>
        <w:spacing w:after="0" w:line="234" w:lineRule="exact"/>
        <w:rPr>
          <w:sz w:val="20"/>
          <w:szCs w:val="20"/>
          <w:color w:val="auto"/>
        </w:rPr>
      </w:pPr>
    </w:p>
    <w:p>
      <w:pPr>
        <w:ind w:right="20" w:firstLine="1008"/>
        <w:spacing w:after="0" w:line="236" w:lineRule="auto"/>
        <w:rPr>
          <w:sz w:val="20"/>
          <w:szCs w:val="20"/>
          <w:color w:val="auto"/>
        </w:rPr>
      </w:pPr>
      <w:r>
        <w:rPr>
          <w:rFonts w:ascii="Arial" w:cs="Arial" w:eastAsia="Arial" w:hAnsi="Arial"/>
          <w:sz w:val="18"/>
          <w:szCs w:val="18"/>
          <w:color w:val="auto"/>
        </w:rPr>
        <w:t>In September 2020, we entered into an agreement with Elanco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(the "All Human Uses Elanco Agreement").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Elanco's consent, additional third parties.</w:t>
      </w:r>
    </w:p>
    <w:p>
      <w:pPr>
        <w:spacing w:after="0" w:line="220" w:lineRule="exact"/>
        <w:rPr>
          <w:sz w:val="20"/>
          <w:szCs w:val="20"/>
          <w:color w:val="auto"/>
        </w:rPr>
      </w:pPr>
    </w:p>
    <w:p>
      <w:pPr>
        <w:ind w:firstLine="1008"/>
        <w:spacing w:after="0" w:line="248" w:lineRule="auto"/>
        <w:rPr>
          <w:sz w:val="20"/>
          <w:szCs w:val="20"/>
          <w:color w:val="auto"/>
        </w:rPr>
      </w:pPr>
      <w:r>
        <w:rPr>
          <w:rFonts w:ascii="Arial" w:cs="Arial" w:eastAsia="Arial" w:hAnsi="Arial"/>
          <w:sz w:val="17"/>
          <w:szCs w:val="17"/>
          <w:color w:val="auto"/>
        </w:rPr>
        <w:t>Pursuant to the terms of the All Human Uses Elanco Agreement, we issued 222,460 shares of common stock to Elanco at the execution of the September 2020 Agreement. The value of these shares was $3.1 million ($14.0003 per share, approximating the issuance price of our Series C preferred stock in September 2020) and was reported within “research and development” expense within the accompanying Statements of Operations and Comprehensive Loss for the year ended December 31, 2020. In addition, in March 2021, the Company issued 187,500 shares of its common stock to Elanco during the second quarter of 2021 to maintain the September 2020 Agreement. In accordance with the terms of this agreement, we are obligated to make further payments to Elanco upon our achievement of various clinical milestones up to an aggregate maximum of $4.5 million and various sales milestones up to an aggregate maximum of $77.0 million. We may owe further sales milestone payments to Elanco for sales in certain countries.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 (c) 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1008"/>
        <w:spacing w:after="0" w:line="266" w:lineRule="auto"/>
        <w:rPr>
          <w:sz w:val="20"/>
          <w:szCs w:val="20"/>
          <w:color w:val="auto"/>
        </w:rPr>
      </w:pPr>
      <w:r>
        <w:rPr>
          <w:rFonts w:ascii="Arial" w:cs="Arial" w:eastAsia="Arial" w:hAnsi="Arial"/>
          <w:sz w:val="16"/>
          <w:szCs w:val="16"/>
          <w:color w:val="auto"/>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spacing w:after="0" w:line="201" w:lineRule="exact"/>
        <w:rPr>
          <w:sz w:val="20"/>
          <w:szCs w:val="20"/>
          <w:color w:val="auto"/>
        </w:rPr>
      </w:pPr>
    </w:p>
    <w:p>
      <w:pPr>
        <w:ind w:firstLine="1008"/>
        <w:spacing w:after="0" w:line="237" w:lineRule="auto"/>
        <w:rPr>
          <w:sz w:val="20"/>
          <w:szCs w:val="20"/>
          <w:color w:val="auto"/>
        </w:rPr>
      </w:pPr>
      <w:r>
        <w:rPr>
          <w:rFonts w:ascii="Arial" w:cs="Arial" w:eastAsia="Arial" w:hAnsi="Arial"/>
          <w:sz w:val="18"/>
          <w:szCs w:val="18"/>
          <w:color w:val="auto"/>
        </w:rPr>
        <w:t>Under the terms of the All Human Uses Elanco Agreement, we grant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agricultural applications, seed treatment applications and urban pest applications related to structural, turf, lawns and gardens.</w:t>
      </w:r>
    </w:p>
    <w:p>
      <w:pPr>
        <w:spacing w:after="0" w:line="218" w:lineRule="exact"/>
        <w:rPr>
          <w:sz w:val="20"/>
          <w:szCs w:val="20"/>
          <w:color w:val="auto"/>
        </w:rPr>
      </w:pPr>
    </w:p>
    <w:p>
      <w:pPr>
        <w:ind w:right="520" w:firstLine="1008"/>
        <w:spacing w:after="0" w:line="284" w:lineRule="auto"/>
        <w:rPr>
          <w:sz w:val="20"/>
          <w:szCs w:val="20"/>
          <w:color w:val="auto"/>
        </w:rPr>
      </w:pPr>
      <w:r>
        <w:rPr>
          <w:rFonts w:ascii="Arial" w:cs="Arial" w:eastAsia="Arial" w:hAnsi="Arial"/>
          <w:sz w:val="17"/>
          <w:szCs w:val="17"/>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LianBio Agreement</w:t>
      </w:r>
    </w:p>
    <w:p>
      <w:pPr>
        <w:spacing w:after="0" w:line="234" w:lineRule="exact"/>
        <w:rPr>
          <w:sz w:val="20"/>
          <w:szCs w:val="20"/>
          <w:color w:val="auto"/>
        </w:rPr>
      </w:pPr>
    </w:p>
    <w:p>
      <w:pPr>
        <w:ind w:right="20" w:firstLine="1008"/>
        <w:spacing w:after="0" w:line="244" w:lineRule="auto"/>
        <w:rPr>
          <w:sz w:val="20"/>
          <w:szCs w:val="20"/>
          <w:color w:val="auto"/>
        </w:rPr>
      </w:pPr>
      <w:r>
        <w:rPr>
          <w:rFonts w:ascii="Arial" w:cs="Arial" w:eastAsia="Arial" w:hAnsi="Arial"/>
          <w:sz w:val="18"/>
          <w:szCs w:val="18"/>
          <w:color w:val="auto"/>
        </w:rPr>
        <w:t>On March 26, 2021, we entered into a development and license agreement (the “China Out-License”) with LianBio, pursuant to which, among other things, we licensed the product rights for the development and commercialization of TP-03 (lotilaner ophthalmic solution, 0.25%) in the China Territory for the treatment of Demodex blepharitis and MGD.</w:t>
      </w:r>
    </w:p>
    <w:p>
      <w:pPr>
        <w:spacing w:after="0" w:line="211" w:lineRule="exact"/>
        <w:rPr>
          <w:sz w:val="20"/>
          <w:szCs w:val="20"/>
          <w:color w:val="auto"/>
        </w:rPr>
      </w:pPr>
    </w:p>
    <w:p>
      <w:pPr>
        <w:ind w:right="40" w:firstLine="1008"/>
        <w:spacing w:after="0" w:line="252" w:lineRule="auto"/>
        <w:rPr>
          <w:sz w:val="20"/>
          <w:szCs w:val="20"/>
          <w:color w:val="auto"/>
        </w:rPr>
      </w:pPr>
      <w:r>
        <w:rPr>
          <w:rFonts w:ascii="Arial" w:cs="Arial" w:eastAsia="Arial" w:hAnsi="Arial"/>
          <w:sz w:val="17"/>
          <w:szCs w:val="17"/>
          <w:color w:val="auto"/>
        </w:rPr>
        <w:t>Under the terms of the China Out-License, we received payments from LianBio totaling $25 million in April and May 2021 as initial consideration, and a total of $30 million in June and August 2021 for the achievement of two clinical development milestones. We will be eligible to receive additional clinical and drug supply milestone payments of up to $50 million, and China-based TP-03 sales threshold milestone payments of up to $100 million, as well as tiered mid-to-high-teen royalties on the sale of TP-03 in the China Territory. As part of this arrangement, we received penny warrants to purchase ordinary shares of LianBio, which will vest or have vested upon the achievement of certain clinical development and regulatory milestones. The term of the China Out-License will expire upon the expiration of the royalty term in the China Territory, unless earlier terminated. LianBio may also terminate the China Out-License for any reason upon ninety days’ prior notice to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8" w:lineRule="exact"/>
        <w:rPr>
          <w:sz w:val="20"/>
          <w:szCs w:val="20"/>
          <w:color w:val="auto"/>
        </w:rPr>
      </w:pPr>
    </w:p>
    <w:p>
      <w:pPr>
        <w:ind w:right="220" w:firstLine="1008"/>
        <w:spacing w:after="0" w:line="269" w:lineRule="auto"/>
        <w:rPr>
          <w:sz w:val="20"/>
          <w:szCs w:val="20"/>
          <w:color w:val="auto"/>
        </w:rPr>
      </w:pPr>
      <w:r>
        <w:rPr>
          <w:rFonts w:ascii="Arial" w:cs="Arial" w:eastAsia="Arial" w:hAnsi="Arial"/>
          <w:sz w:val="16"/>
          <w:szCs w:val="16"/>
          <w:color w:val="auto"/>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U.S. and other countries, as appropriate, along with subsequent compliance with appropriate federal, state, local and foreign statutes and regulations, require the expenditure of substantial time and resources.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60" w:firstLine="1008"/>
        <w:spacing w:after="0" w:line="250" w:lineRule="auto"/>
        <w:rPr>
          <w:sz w:val="20"/>
          <w:szCs w:val="20"/>
          <w:color w:val="auto"/>
        </w:rPr>
      </w:pPr>
      <w:r>
        <w:rPr>
          <w:rFonts w:ascii="Arial" w:cs="Arial" w:eastAsia="Arial" w:hAnsi="Arial"/>
          <w:sz w:val="17"/>
          <w:szCs w:val="17"/>
          <w:color w:val="auto"/>
        </w:rPr>
        <w:t>In the U.S., we are subject to extensive regulation by the FDA, which regulates drugs under the Federal Food, Drug, and Cosmetic Act (the "FDCA"), and its implementing regulations. FDA approval is required before any new unapproved drug or dosage form, including a new use of a previously approved drug, can be marketed in the U.S.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FDA’s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211" w:lineRule="exact"/>
        <w:rPr>
          <w:sz w:val="20"/>
          <w:szCs w:val="20"/>
          <w:color w:val="auto"/>
        </w:rPr>
      </w:pPr>
    </w:p>
    <w:p>
      <w:pPr>
        <w:ind w:right="120" w:firstLine="1008"/>
        <w:spacing w:after="0" w:line="255" w:lineRule="auto"/>
        <w:rPr>
          <w:sz w:val="20"/>
          <w:szCs w:val="20"/>
          <w:color w:val="auto"/>
        </w:rPr>
      </w:pPr>
      <w:r>
        <w:rPr>
          <w:rFonts w:ascii="Arial" w:cs="Arial" w:eastAsia="Arial" w:hAnsi="Arial"/>
          <w:sz w:val="18"/>
          <w:szCs w:val="18"/>
          <w:color w:val="auto"/>
        </w:rPr>
        <w:t>Our product candidates are considered small molecule drugs and must be approved by the FDA through the NDA process before they may be legally marketed in the U.S. The process generally involves the following:</w:t>
      </w:r>
    </w:p>
    <w:p>
      <w:pPr>
        <w:spacing w:after="0" w:line="256" w:lineRule="exact"/>
        <w:rPr>
          <w:sz w:val="20"/>
          <w:szCs w:val="20"/>
          <w:color w:val="auto"/>
        </w:rPr>
      </w:pPr>
    </w:p>
    <w:p>
      <w:pPr>
        <w:ind w:left="1520" w:right="200" w:hanging="425"/>
        <w:spacing w:after="0" w:line="255"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("GLP") requirements;</w:t>
      </w:r>
    </w:p>
    <w:p>
      <w:pPr>
        <w:spacing w:after="0" w:line="135" w:lineRule="exact"/>
        <w:rPr>
          <w:rFonts w:ascii="Arial" w:cs="Arial" w:eastAsia="Arial" w:hAnsi="Arial"/>
          <w:sz w:val="18"/>
          <w:szCs w:val="18"/>
          <w:color w:val="auto"/>
        </w:rPr>
      </w:pPr>
    </w:p>
    <w:p>
      <w:pPr>
        <w:ind w:left="1520" w:right="620" w:hanging="425"/>
        <w:spacing w:after="0" w:line="255"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in the U.S. and must be updated annually or when significant changes are made;</w:t>
      </w:r>
    </w:p>
    <w:p>
      <w:pPr>
        <w:spacing w:after="0" w:line="121" w:lineRule="exact"/>
        <w:rPr>
          <w:rFonts w:ascii="Arial" w:cs="Arial" w:eastAsia="Arial" w:hAnsi="Arial"/>
          <w:sz w:val="18"/>
          <w:szCs w:val="18"/>
          <w:color w:val="auto"/>
        </w:rPr>
      </w:pPr>
    </w:p>
    <w:p>
      <w:pPr>
        <w:ind w:left="1520" w:hanging="425"/>
        <w:spacing w:after="0"/>
        <w:tabs>
          <w:tab w:leader="none" w:pos="1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approval by an independent IRB or independent ethics committee at each clinical trial site before each trial may be initiated;</w:t>
      </w:r>
    </w:p>
    <w:p>
      <w:pPr>
        <w:spacing w:after="0" w:line="178" w:lineRule="exact"/>
        <w:rPr>
          <w:rFonts w:ascii="Arial" w:cs="Arial" w:eastAsia="Arial" w:hAnsi="Arial"/>
          <w:sz w:val="17"/>
          <w:szCs w:val="17"/>
          <w:color w:val="auto"/>
        </w:rPr>
      </w:pPr>
    </w:p>
    <w:p>
      <w:pPr>
        <w:jc w:val="both"/>
        <w:ind w:left="1520" w:right="200" w:hanging="425"/>
        <w:spacing w:after="0" w:line="244"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144" w:lineRule="exact"/>
        <w:rPr>
          <w:rFonts w:ascii="Arial" w:cs="Arial" w:eastAsia="Arial" w:hAnsi="Arial"/>
          <w:sz w:val="18"/>
          <w:szCs w:val="18"/>
          <w:color w:val="auto"/>
        </w:rPr>
      </w:pPr>
    </w:p>
    <w:p>
      <w:pPr>
        <w:ind w:left="1520" w:hanging="42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54" w:lineRule="exact"/>
        <w:rPr>
          <w:rFonts w:ascii="Arial" w:cs="Arial" w:eastAsia="Arial" w:hAnsi="Arial"/>
          <w:sz w:val="18"/>
          <w:szCs w:val="18"/>
          <w:color w:val="auto"/>
        </w:rPr>
      </w:pPr>
    </w:p>
    <w:p>
      <w:pPr>
        <w:ind w:left="1520" w:hanging="42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submission for review;</w:t>
      </w:r>
    </w:p>
    <w:p>
      <w:pPr>
        <w:spacing w:after="0" w:line="167" w:lineRule="exact"/>
        <w:rPr>
          <w:rFonts w:ascii="Arial" w:cs="Arial" w:eastAsia="Arial" w:hAnsi="Arial"/>
          <w:sz w:val="18"/>
          <w:szCs w:val="18"/>
          <w:color w:val="auto"/>
        </w:rPr>
      </w:pPr>
    </w:p>
    <w:p>
      <w:pPr>
        <w:ind w:left="1520" w:right="40" w:hanging="425"/>
        <w:spacing w:after="0" w:line="317" w:lineRule="auto"/>
        <w:tabs>
          <w:tab w:leader="none" w:pos="1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where the drug will be produced to assess compliance with cGMP requirements, and of selected clinical investigational sites to assess compliance with GCP;</w:t>
      </w:r>
    </w:p>
    <w:p>
      <w:pPr>
        <w:spacing w:after="0" w:line="89" w:lineRule="exact"/>
        <w:rPr>
          <w:rFonts w:ascii="Arial" w:cs="Arial" w:eastAsia="Arial" w:hAnsi="Arial"/>
          <w:sz w:val="16"/>
          <w:szCs w:val="16"/>
          <w:color w:val="auto"/>
        </w:rPr>
      </w:pPr>
    </w:p>
    <w:p>
      <w:pPr>
        <w:ind w:left="1520" w:hanging="42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NDA filing;</w:t>
      </w:r>
    </w:p>
    <w:p>
      <w:pPr>
        <w:spacing w:after="0" w:line="154" w:lineRule="exact"/>
        <w:rPr>
          <w:rFonts w:ascii="Arial" w:cs="Arial" w:eastAsia="Arial" w:hAnsi="Arial"/>
          <w:sz w:val="18"/>
          <w:szCs w:val="18"/>
          <w:color w:val="auto"/>
        </w:rPr>
      </w:pPr>
    </w:p>
    <w:p>
      <w:pPr>
        <w:ind w:left="1520" w:hanging="42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user fees for FDA review of the NDA;</w:t>
      </w:r>
    </w:p>
    <w:p>
      <w:pPr>
        <w:spacing w:after="0" w:line="167" w:lineRule="exact"/>
        <w:rPr>
          <w:rFonts w:ascii="Arial" w:cs="Arial" w:eastAsia="Arial" w:hAnsi="Arial"/>
          <w:sz w:val="18"/>
          <w:szCs w:val="18"/>
          <w:color w:val="auto"/>
        </w:rPr>
      </w:pPr>
    </w:p>
    <w:p>
      <w:pPr>
        <w:ind w:left="1520" w:right="140" w:hanging="425"/>
        <w:spacing w:after="0" w:line="255"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U.S.; and</w:t>
      </w:r>
    </w:p>
    <w:p>
      <w:pPr>
        <w:spacing w:after="0" w:line="135" w:lineRule="exact"/>
        <w:rPr>
          <w:rFonts w:ascii="Arial" w:cs="Arial" w:eastAsia="Arial" w:hAnsi="Arial"/>
          <w:sz w:val="18"/>
          <w:szCs w:val="18"/>
          <w:color w:val="auto"/>
        </w:rPr>
      </w:pPr>
    </w:p>
    <w:p>
      <w:pPr>
        <w:ind w:left="1520" w:right="280" w:hanging="425"/>
        <w:spacing w:after="0" w:line="255"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Migration Strategy ("REMS") and the potential requirement to conduct post-approval studies.</w:t>
      </w:r>
    </w:p>
    <w:p>
      <w:pPr>
        <w:spacing w:after="0" w:line="309" w:lineRule="exact"/>
        <w:rPr>
          <w:sz w:val="20"/>
          <w:szCs w:val="20"/>
          <w:color w:val="auto"/>
        </w:rPr>
      </w:pPr>
    </w:p>
    <w:p>
      <w:pPr>
        <w:ind w:right="180" w:firstLine="1008"/>
        <w:spacing w:after="0" w:line="244" w:lineRule="auto"/>
        <w:rPr>
          <w:sz w:val="20"/>
          <w:szCs w:val="20"/>
          <w:color w:val="auto"/>
        </w:rPr>
      </w:pPr>
      <w:r>
        <w:rPr>
          <w:rFonts w:ascii="Arial" w:cs="Arial" w:eastAsia="Arial" w:hAnsi="Arial"/>
          <w:sz w:val="18"/>
          <w:szCs w:val="18"/>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Preclinical Studies and IND Submission</w:t>
      </w:r>
    </w:p>
    <w:p>
      <w:pPr>
        <w:spacing w:after="0" w:line="234" w:lineRule="exact"/>
        <w:rPr>
          <w:sz w:val="20"/>
          <w:szCs w:val="20"/>
          <w:color w:val="auto"/>
        </w:rPr>
      </w:pPr>
    </w:p>
    <w:p>
      <w:pPr>
        <w:ind w:firstLine="1008"/>
        <w:spacing w:after="0" w:line="255" w:lineRule="auto"/>
        <w:rPr>
          <w:sz w:val="20"/>
          <w:szCs w:val="20"/>
          <w:color w:val="auto"/>
        </w:rPr>
      </w:pPr>
      <w:r>
        <w:rPr>
          <w:rFonts w:ascii="Arial" w:cs="Arial" w:eastAsia="Arial" w:hAnsi="Arial"/>
          <w:sz w:val="17"/>
          <w:szCs w:val="17"/>
          <w:color w:val="auto"/>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U.S.</w:t>
      </w:r>
    </w:p>
    <w:p>
      <w:pPr>
        <w:spacing w:after="0" w:line="205" w:lineRule="exact"/>
        <w:rPr>
          <w:sz w:val="20"/>
          <w:szCs w:val="20"/>
          <w:color w:val="auto"/>
        </w:rPr>
      </w:pPr>
    </w:p>
    <w:p>
      <w:pPr>
        <w:jc w:val="both"/>
        <w:ind w:firstLine="1008"/>
        <w:spacing w:after="0" w:line="244" w:lineRule="auto"/>
        <w:rPr>
          <w:sz w:val="20"/>
          <w:szCs w:val="20"/>
          <w:color w:val="auto"/>
        </w:rPr>
      </w:pPr>
      <w:r>
        <w:rPr>
          <w:rFonts w:ascii="Arial" w:cs="Arial" w:eastAsia="Arial" w:hAnsi="Arial"/>
          <w:sz w:val="18"/>
          <w:szCs w:val="18"/>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34" w:lineRule="exact"/>
        <w:rPr>
          <w:sz w:val="20"/>
          <w:szCs w:val="20"/>
          <w:color w:val="auto"/>
        </w:rPr>
      </w:pPr>
    </w:p>
    <w:p>
      <w:pPr>
        <w:ind w:firstLine="1008"/>
        <w:spacing w:after="0" w:line="267"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200" w:lineRule="exact"/>
        <w:rPr>
          <w:sz w:val="20"/>
          <w:szCs w:val="20"/>
          <w:color w:val="auto"/>
        </w:rPr>
      </w:pPr>
    </w:p>
    <w:p>
      <w:pPr>
        <w:ind w:right="100" w:firstLine="1008"/>
        <w:spacing w:after="0" w:line="238" w:lineRule="auto"/>
        <w:rPr>
          <w:sz w:val="20"/>
          <w:szCs w:val="20"/>
          <w:color w:val="auto"/>
        </w:rPr>
      </w:pPr>
      <w:r>
        <w:rPr>
          <w:rFonts w:ascii="Arial" w:cs="Arial" w:eastAsia="Arial" w:hAnsi="Arial"/>
          <w:sz w:val="18"/>
          <w:szCs w:val="18"/>
          <w:color w:val="auto"/>
        </w:rPr>
        <w:t>A sponsor who wishes to conduct a clinical trial outside of the U.S.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U.S.</w:t>
      </w:r>
    </w:p>
    <w:p>
      <w:pPr>
        <w:spacing w:after="0" w:line="217" w:lineRule="exact"/>
        <w:rPr>
          <w:sz w:val="20"/>
          <w:szCs w:val="20"/>
          <w:color w:val="auto"/>
        </w:rPr>
      </w:pPr>
    </w:p>
    <w:p>
      <w:pPr>
        <w:ind w:right="100" w:firstLine="1008"/>
        <w:spacing w:after="0" w:line="255" w:lineRule="auto"/>
        <w:rPr>
          <w:sz w:val="20"/>
          <w:szCs w:val="20"/>
          <w:color w:val="auto"/>
        </w:rPr>
      </w:pPr>
      <w:r>
        <w:rPr>
          <w:rFonts w:ascii="Arial" w:cs="Arial" w:eastAsia="Arial" w:hAnsi="Arial"/>
          <w:sz w:val="18"/>
          <w:szCs w:val="18"/>
          <w:color w:val="auto"/>
        </w:rPr>
        <w:t>Clinical trials in the U.S. generally are conducted in three sequential phases, known as Phase 1, Phase 2 and Phase 3. Although the phases are usually conducted sequentially, they may overlap or be combined.</w:t>
      </w:r>
    </w:p>
    <w:p>
      <w:pPr>
        <w:spacing w:after="0" w:line="256" w:lineRule="exact"/>
        <w:rPr>
          <w:sz w:val="20"/>
          <w:szCs w:val="20"/>
          <w:color w:val="auto"/>
        </w:rPr>
      </w:pPr>
    </w:p>
    <w:p>
      <w:pPr>
        <w:ind w:left="1520" w:right="20" w:hanging="425"/>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p>
      <w:pPr>
        <w:spacing w:after="0" w:line="148" w:lineRule="exact"/>
        <w:rPr>
          <w:rFonts w:ascii="Arial" w:cs="Arial" w:eastAsia="Arial" w:hAnsi="Arial"/>
          <w:sz w:val="18"/>
          <w:szCs w:val="18"/>
          <w:color w:val="auto"/>
        </w:rPr>
      </w:pPr>
    </w:p>
    <w:p>
      <w:pPr>
        <w:ind w:left="1520" w:right="340" w:hanging="425"/>
        <w:spacing w:after="0" w:line="289" w:lineRule="auto"/>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97" w:lineRule="exact"/>
        <w:rPr>
          <w:rFonts w:ascii="Arial" w:cs="Arial" w:eastAsia="Arial" w:hAnsi="Arial"/>
          <w:sz w:val="16"/>
          <w:szCs w:val="16"/>
          <w:color w:val="auto"/>
        </w:rPr>
      </w:pPr>
    </w:p>
    <w:p>
      <w:pPr>
        <w:ind w:left="1520" w:right="60" w:hanging="425"/>
        <w:spacing w:after="0" w:line="280" w:lineRule="auto"/>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117" w:lineRule="exact"/>
        <w:rPr>
          <w:rFonts w:ascii="Arial" w:cs="Arial" w:eastAsia="Arial" w:hAnsi="Arial"/>
          <w:sz w:val="16"/>
          <w:szCs w:val="16"/>
          <w:color w:val="auto"/>
        </w:rPr>
      </w:pPr>
    </w:p>
    <w:p>
      <w:pPr>
        <w:jc w:val="both"/>
        <w:ind w:left="1520" w:right="220" w:hanging="425"/>
        <w:spacing w:after="0" w:line="244"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p>
      <w:pPr>
        <w:spacing w:after="0" w:line="144" w:lineRule="exact"/>
        <w:rPr>
          <w:rFonts w:ascii="Arial" w:cs="Arial" w:eastAsia="Arial" w:hAnsi="Arial"/>
          <w:sz w:val="18"/>
          <w:szCs w:val="18"/>
          <w:color w:val="auto"/>
        </w:rPr>
      </w:pPr>
    </w:p>
    <w:p>
      <w:pPr>
        <w:ind w:left="1520" w:hanging="425"/>
        <w:spacing w:after="0" w:line="255"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Phase 2b/3 clinical trial has elements of a late Phase 2 trial and a Phase 3 trial. We have designated Saturn-1 as a Phase 2b/3 trial as it is both our first multi-center trial based in the U.S., and also a pivotal trial for the U.S.</w:t>
      </w:r>
    </w:p>
    <w:p>
      <w:pPr>
        <w:spacing w:after="0" w:line="309" w:lineRule="exact"/>
        <w:rPr>
          <w:sz w:val="20"/>
          <w:szCs w:val="20"/>
          <w:color w:val="auto"/>
        </w:rPr>
      </w:pPr>
    </w:p>
    <w:p>
      <w:pPr>
        <w:jc w:val="both"/>
        <w:ind w:firstLine="1008"/>
        <w:spacing w:after="0" w:line="24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0" w:firstLine="1008"/>
        <w:spacing w:after="0" w:line="259" w:lineRule="auto"/>
        <w:rPr>
          <w:sz w:val="20"/>
          <w:szCs w:val="20"/>
          <w:color w:val="auto"/>
        </w:rPr>
      </w:pPr>
      <w:r>
        <w:rPr>
          <w:rFonts w:ascii="Arial" w:cs="Arial" w:eastAsia="Arial" w:hAnsi="Arial"/>
          <w:sz w:val="17"/>
          <w:szCs w:val="17"/>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99" w:lineRule="exact"/>
        <w:rPr>
          <w:sz w:val="20"/>
          <w:szCs w:val="20"/>
          <w:color w:val="auto"/>
        </w:rPr>
      </w:pPr>
    </w:p>
    <w:p>
      <w:pPr>
        <w:ind w:right="160" w:firstLine="1008"/>
        <w:spacing w:after="0" w:line="259"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Equivalent, and similarly detailed, obligations will apply to the conduct of clinical trials in third countries including the European Union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(“EU”).</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NDA Review and Marketing Approval</w:t>
      </w:r>
    </w:p>
    <w:p>
      <w:pPr>
        <w:spacing w:after="0" w:line="234" w:lineRule="exact"/>
        <w:rPr>
          <w:sz w:val="20"/>
          <w:szCs w:val="20"/>
          <w:color w:val="auto"/>
        </w:rPr>
      </w:pPr>
    </w:p>
    <w:p>
      <w:pPr>
        <w:ind w:right="120" w:firstLine="1008"/>
        <w:spacing w:after="0" w:line="270" w:lineRule="auto"/>
        <w:rPr>
          <w:sz w:val="20"/>
          <w:szCs w:val="20"/>
          <w:color w:val="auto"/>
        </w:rPr>
      </w:pPr>
      <w:r>
        <w:rPr>
          <w:rFonts w:ascii="Arial" w:cs="Arial" w:eastAsia="Arial" w:hAnsi="Arial"/>
          <w:sz w:val="16"/>
          <w:szCs w:val="16"/>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U.S.</w:t>
      </w:r>
    </w:p>
    <w:p>
      <w:pPr>
        <w:spacing w:after="0" w:line="196" w:lineRule="exact"/>
        <w:rPr>
          <w:sz w:val="20"/>
          <w:szCs w:val="20"/>
          <w:color w:val="auto"/>
        </w:rPr>
      </w:pPr>
    </w:p>
    <w:p>
      <w:pPr>
        <w:ind w:firstLine="1008"/>
        <w:spacing w:after="0" w:line="280" w:lineRule="auto"/>
        <w:rPr>
          <w:sz w:val="20"/>
          <w:szCs w:val="20"/>
          <w:color w:val="auto"/>
        </w:rPr>
      </w:pPr>
      <w:r>
        <w:rPr>
          <w:rFonts w:ascii="Arial" w:cs="Arial" w:eastAsia="Arial" w:hAnsi="Arial"/>
          <w:sz w:val="16"/>
          <w:szCs w:val="16"/>
          <w:color w:val="auto"/>
        </w:rPr>
        <w:t>Under the Prescription Drug User Fee Act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185" w:lineRule="exact"/>
        <w:rPr>
          <w:sz w:val="20"/>
          <w:szCs w:val="20"/>
          <w:color w:val="auto"/>
        </w:rPr>
      </w:pPr>
    </w:p>
    <w:p>
      <w:pPr>
        <w:ind w:right="80" w:firstLine="1008"/>
        <w:spacing w:after="0" w:line="270" w:lineRule="auto"/>
        <w:rPr>
          <w:sz w:val="20"/>
          <w:szCs w:val="20"/>
          <w:color w:val="auto"/>
        </w:rPr>
      </w:pPr>
      <w:r>
        <w:rPr>
          <w:rFonts w:ascii="Arial" w:cs="Arial" w:eastAsia="Arial" w:hAnsi="Arial"/>
          <w:sz w:val="16"/>
          <w:szCs w:val="16"/>
          <w:color w:val="auto"/>
        </w:rPr>
        <w:t>The FDA reviews all submitted NDAs before it accepts them for filing to determine if they are sufficiently complete to permit a substantive review, and the FDA may request additional information rather than accepting the NDA for filing. The FDA must make a decision on accepting an NDA for filing within 60 days of receipt. Once the submission is accepted for filing, the FDA begins an in-depth review of the NDA. Under PDUFA, the FDA has agreed to certain performance goals in the review of NDAs through a two-tiered classification system, standard review and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96" w:lineRule="exact"/>
        <w:rPr>
          <w:sz w:val="20"/>
          <w:szCs w:val="20"/>
          <w:color w:val="auto"/>
        </w:rPr>
      </w:pPr>
    </w:p>
    <w:p>
      <w:pPr>
        <w:ind w:right="60" w:firstLine="1008"/>
        <w:spacing w:after="0" w:line="237"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18" w:lineRule="exact"/>
        <w:rPr>
          <w:sz w:val="20"/>
          <w:szCs w:val="20"/>
          <w:color w:val="auto"/>
        </w:rPr>
      </w:pPr>
    </w:p>
    <w:p>
      <w:pPr>
        <w:ind w:right="160" w:firstLine="1008"/>
        <w:spacing w:after="0" w:line="238"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17" w:lineRule="exact"/>
        <w:rPr>
          <w:sz w:val="20"/>
          <w:szCs w:val="20"/>
          <w:color w:val="auto"/>
        </w:rPr>
      </w:pPr>
    </w:p>
    <w:p>
      <w:pPr>
        <w:jc w:val="both"/>
        <w:ind w:right="240" w:firstLine="1008"/>
        <w:spacing w:after="0" w:line="244" w:lineRule="auto"/>
        <w:rPr>
          <w:sz w:val="20"/>
          <w:szCs w:val="20"/>
          <w:color w:val="auto"/>
        </w:rPr>
      </w:pPr>
      <w:r>
        <w:rPr>
          <w:rFonts w:ascii="Arial" w:cs="Arial" w:eastAsia="Arial" w:hAnsi="Arial"/>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consistent production of the product within required specifications. The FDA also may audit data from clinical trials to ensure compliance with GCP requirements.</w:t>
      </w:r>
    </w:p>
    <w:p>
      <w:pPr>
        <w:spacing w:after="0" w:line="202" w:lineRule="exact"/>
        <w:rPr>
          <w:sz w:val="20"/>
          <w:szCs w:val="20"/>
          <w:color w:val="auto"/>
        </w:rPr>
      </w:pPr>
    </w:p>
    <w:p>
      <w:pPr>
        <w:ind w:right="100" w:firstLine="1008"/>
        <w:spacing w:after="0" w:line="270" w:lineRule="auto"/>
        <w:rPr>
          <w:sz w:val="20"/>
          <w:szCs w:val="20"/>
          <w:color w:val="auto"/>
        </w:rPr>
      </w:pPr>
      <w:r>
        <w:rPr>
          <w:rFonts w:ascii="Arial" w:cs="Arial" w:eastAsia="Arial" w:hAnsi="Arial"/>
          <w:sz w:val="16"/>
          <w:szCs w:val="16"/>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96" w:lineRule="exact"/>
        <w:rPr>
          <w:sz w:val="20"/>
          <w:szCs w:val="20"/>
          <w:color w:val="auto"/>
        </w:rPr>
      </w:pPr>
    </w:p>
    <w:p>
      <w:pPr>
        <w:ind w:firstLine="1008"/>
        <w:spacing w:after="0" w:line="255" w:lineRule="auto"/>
        <w:rPr>
          <w:sz w:val="20"/>
          <w:szCs w:val="20"/>
          <w:color w:val="auto"/>
        </w:rPr>
      </w:pPr>
      <w:r>
        <w:rPr>
          <w:rFonts w:ascii="Arial" w:cs="Arial" w:eastAsia="Arial" w:hAnsi="Arial"/>
          <w:sz w:val="17"/>
          <w:szCs w:val="17"/>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205" w:lineRule="exact"/>
        <w:rPr>
          <w:sz w:val="20"/>
          <w:szCs w:val="20"/>
          <w:color w:val="auto"/>
        </w:rPr>
      </w:pPr>
    </w:p>
    <w:p>
      <w:pPr>
        <w:ind w:right="20" w:firstLine="1008"/>
        <w:spacing w:after="0" w:line="251" w:lineRule="auto"/>
        <w:rPr>
          <w:sz w:val="20"/>
          <w:szCs w:val="20"/>
          <w:color w:val="auto"/>
        </w:rPr>
      </w:pPr>
      <w:r>
        <w:rPr>
          <w:rFonts w:ascii="Arial" w:cs="Arial" w:eastAsia="Arial" w:hAnsi="Arial"/>
          <w:sz w:val="17"/>
          <w:szCs w:val="17"/>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4" w:lineRule="exact"/>
        <w:rPr>
          <w:sz w:val="20"/>
          <w:szCs w:val="20"/>
          <w:color w:val="auto"/>
        </w:rPr>
      </w:pPr>
    </w:p>
    <w:p>
      <w:pPr>
        <w:ind w:right="20" w:firstLine="1008"/>
        <w:spacing w:after="0" w:line="252" w:lineRule="auto"/>
        <w:rPr>
          <w:sz w:val="20"/>
          <w:szCs w:val="20"/>
          <w:color w:val="auto"/>
        </w:rPr>
      </w:pPr>
      <w:r>
        <w:rPr>
          <w:rFonts w:ascii="Arial" w:cs="Arial" w:eastAsia="Arial" w:hAnsi="Arial"/>
          <w:sz w:val="17"/>
          <w:szCs w:val="17"/>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208" w:lineRule="exact"/>
        <w:rPr>
          <w:sz w:val="20"/>
          <w:szCs w:val="20"/>
          <w:color w:val="auto"/>
        </w:rPr>
      </w:pPr>
    </w:p>
    <w:p>
      <w:pPr>
        <w:ind w:firstLine="1008"/>
        <w:spacing w:after="0" w:line="255" w:lineRule="auto"/>
        <w:rPr>
          <w:sz w:val="20"/>
          <w:szCs w:val="20"/>
          <w:color w:val="auto"/>
        </w:rPr>
      </w:pPr>
      <w:r>
        <w:rPr>
          <w:rFonts w:ascii="Arial" w:cs="Arial" w:eastAsia="Arial" w:hAnsi="Arial"/>
          <w:sz w:val="18"/>
          <w:szCs w:val="18"/>
          <w:color w:val="auto"/>
        </w:rPr>
        <w:t>Although physicians may prescribe legally available drugs for off-label uses, manufacturers may not market or promote such uses. Prescription drug promotional materials must be submitted to the FDA in conjunction with their first use or first publication.</w:t>
      </w:r>
    </w:p>
    <w:p>
      <w:pPr>
        <w:spacing w:after="0" w:line="202" w:lineRule="exact"/>
        <w:rPr>
          <w:sz w:val="20"/>
          <w:szCs w:val="20"/>
          <w:color w:val="auto"/>
        </w:rPr>
      </w:pPr>
    </w:p>
    <w:p>
      <w:pPr>
        <w:ind w:right="80" w:firstLine="1008"/>
        <w:spacing w:after="0" w:line="280" w:lineRule="auto"/>
        <w:rPr>
          <w:sz w:val="20"/>
          <w:szCs w:val="20"/>
          <w:color w:val="auto"/>
        </w:rPr>
      </w:pPr>
      <w:r>
        <w:rPr>
          <w:rFonts w:ascii="Arial" w:cs="Arial" w:eastAsia="Arial" w:hAnsi="Arial"/>
          <w:sz w:val="16"/>
          <w:szCs w:val="16"/>
          <w:color w:val="auto"/>
        </w:rPr>
        <w:t>The FDA may also place other conditions on approvals including the requirement for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5" w:lineRule="exact"/>
        <w:rPr>
          <w:sz w:val="20"/>
          <w:szCs w:val="20"/>
          <w:color w:val="auto"/>
        </w:rPr>
      </w:pPr>
    </w:p>
    <w:p>
      <w:pPr>
        <w:ind w:firstLine="1008"/>
        <w:spacing w:after="0" w:line="254" w:lineRule="auto"/>
        <w:rPr>
          <w:sz w:val="20"/>
          <w:szCs w:val="20"/>
          <w:color w:val="auto"/>
        </w:rPr>
      </w:pPr>
      <w:r>
        <w:rPr>
          <w:rFonts w:ascii="Arial" w:cs="Arial" w:eastAsia="Arial" w:hAnsi="Arial"/>
          <w:sz w:val="17"/>
          <w:szCs w:val="17"/>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95" w:lineRule="exact"/>
        <w:rPr>
          <w:sz w:val="20"/>
          <w:szCs w:val="20"/>
          <w:color w:val="auto"/>
        </w:rPr>
      </w:pPr>
    </w:p>
    <w:p>
      <w:pPr>
        <w:ind w:firstLine="1008"/>
        <w:spacing w:after="0" w:line="237" w:lineRule="auto"/>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71" w:lineRule="exact"/>
        <w:rPr>
          <w:sz w:val="20"/>
          <w:szCs w:val="20"/>
          <w:color w:val="auto"/>
        </w:rPr>
      </w:pPr>
    </w:p>
    <w:p>
      <w:pPr>
        <w:ind w:left="1520" w:right="60" w:hanging="425"/>
        <w:spacing w:after="0" w:line="255"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135" w:lineRule="exact"/>
        <w:rPr>
          <w:rFonts w:ascii="Arial" w:cs="Arial" w:eastAsia="Arial" w:hAnsi="Arial"/>
          <w:sz w:val="18"/>
          <w:szCs w:val="18"/>
          <w:color w:val="auto"/>
        </w:rPr>
      </w:pPr>
    </w:p>
    <w:p>
      <w:pPr>
        <w:ind w:left="1420" w:hanging="392"/>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54" w:lineRule="exact"/>
        <w:rPr>
          <w:rFonts w:ascii="Arial" w:cs="Arial" w:eastAsia="Arial" w:hAnsi="Arial"/>
          <w:sz w:val="18"/>
          <w:szCs w:val="18"/>
          <w:color w:val="auto"/>
        </w:rPr>
      </w:pPr>
    </w:p>
    <w:p>
      <w:pPr>
        <w:ind w:left="1420" w:hanging="392"/>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67" w:lineRule="exact"/>
        <w:rPr>
          <w:rFonts w:ascii="Arial" w:cs="Arial" w:eastAsia="Arial" w:hAnsi="Arial"/>
          <w:sz w:val="18"/>
          <w:szCs w:val="18"/>
          <w:color w:val="auto"/>
        </w:rPr>
      </w:pPr>
    </w:p>
    <w:p>
      <w:pPr>
        <w:ind w:left="1420" w:hanging="392"/>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67" w:lineRule="exact"/>
        <w:rPr>
          <w:rFonts w:ascii="Arial" w:cs="Arial" w:eastAsia="Arial" w:hAnsi="Arial"/>
          <w:sz w:val="18"/>
          <w:szCs w:val="18"/>
          <w:color w:val="auto"/>
        </w:rPr>
      </w:pPr>
    </w:p>
    <w:p>
      <w:pPr>
        <w:ind w:left="1420" w:hanging="392"/>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54" w:lineRule="exact"/>
        <w:rPr>
          <w:rFonts w:ascii="Arial" w:cs="Arial" w:eastAsia="Arial" w:hAnsi="Arial"/>
          <w:sz w:val="18"/>
          <w:szCs w:val="18"/>
          <w:color w:val="auto"/>
        </w:rPr>
      </w:pPr>
    </w:p>
    <w:p>
      <w:pPr>
        <w:ind w:left="1420" w:hanging="392"/>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34" w:lineRule="exact"/>
        <w:rPr>
          <w:sz w:val="20"/>
          <w:szCs w:val="20"/>
          <w:color w:val="auto"/>
        </w:rPr>
      </w:pPr>
    </w:p>
    <w:p>
      <w:pPr>
        <w:jc w:val="both"/>
        <w:ind w:right="100" w:firstLine="1008"/>
        <w:spacing w:after="0"/>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For example, in the U.S.,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269" w:lineRule="exact"/>
        <w:rPr>
          <w:sz w:val="20"/>
          <w:szCs w:val="20"/>
          <w:color w:val="auto"/>
        </w:rPr>
      </w:pPr>
    </w:p>
    <w:p>
      <w:pPr>
        <w:ind w:left="1520" w:right="40" w:hanging="425"/>
        <w:spacing w:after="0" w:line="254" w:lineRule="auto"/>
        <w:tabs>
          <w:tab w:leader="none" w:pos="1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136" w:lineRule="exact"/>
        <w:rPr>
          <w:rFonts w:ascii="Arial" w:cs="Arial" w:eastAsia="Arial" w:hAnsi="Arial"/>
          <w:sz w:val="17"/>
          <w:szCs w:val="17"/>
          <w:color w:val="auto"/>
        </w:rPr>
      </w:pPr>
    </w:p>
    <w:p>
      <w:pPr>
        <w:ind w:left="1520" w:right="100" w:hanging="425"/>
        <w:spacing w:after="0" w:line="280" w:lineRule="auto"/>
        <w:tabs>
          <w:tab w:leader="none" w:pos="1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04" w:lineRule="exact"/>
        <w:rPr>
          <w:rFonts w:ascii="Arial" w:cs="Arial" w:eastAsia="Arial" w:hAnsi="Arial"/>
          <w:sz w:val="16"/>
          <w:szCs w:val="16"/>
          <w:color w:val="auto"/>
        </w:rPr>
      </w:pPr>
    </w:p>
    <w:p>
      <w:pPr>
        <w:ind w:left="1520" w:right="80" w:hanging="425"/>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148" w:lineRule="exact"/>
        <w:rPr>
          <w:rFonts w:ascii="Arial" w:cs="Arial" w:eastAsia="Arial" w:hAnsi="Arial"/>
          <w:sz w:val="18"/>
          <w:szCs w:val="18"/>
          <w:color w:val="auto"/>
        </w:rPr>
      </w:pPr>
    </w:p>
    <w:p>
      <w:pPr>
        <w:ind w:left="1520" w:right="980" w:hanging="425"/>
        <w:spacing w:after="0" w:line="284" w:lineRule="auto"/>
        <w:tabs>
          <w:tab w:leader="none" w:pos="1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HIPAA and its implementing regulations, also imposes obligations, including mandatory contractual terms, with respect to safeguarding the privacy, security and transmission of individually identifiable health information;</w:t>
      </w:r>
    </w:p>
    <w:p>
      <w:pPr>
        <w:spacing w:after="0" w:line="112" w:lineRule="exact"/>
        <w:rPr>
          <w:rFonts w:ascii="Arial" w:cs="Arial" w:eastAsia="Arial" w:hAnsi="Arial"/>
          <w:sz w:val="17"/>
          <w:szCs w:val="17"/>
          <w:color w:val="auto"/>
        </w:rPr>
      </w:pPr>
    </w:p>
    <w:p>
      <w:pPr>
        <w:ind w:left="1520" w:right="240" w:hanging="425"/>
        <w:spacing w:after="0" w:line="255"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21" w:lineRule="exact"/>
        <w:rPr>
          <w:rFonts w:ascii="Arial" w:cs="Arial" w:eastAsia="Arial" w:hAnsi="Arial"/>
          <w:sz w:val="18"/>
          <w:szCs w:val="18"/>
          <w:color w:val="auto"/>
        </w:rPr>
      </w:pPr>
    </w:p>
    <w:p>
      <w:pPr>
        <w:ind w:left="1520" w:right="40" w:hanging="425"/>
        <w:spacing w:after="0" w:line="255"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 including off-label or pre-approval promotion;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20" w:right="40" w:hanging="425"/>
        <w:spacing w:after="0" w:line="275" w:lineRule="auto"/>
        <w:tabs>
          <w:tab w:leader="none" w:pos="1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beginning in 2022), as well as information regarding ownership and investment interests held by physicians and their immediate family members; and</w:t>
      </w:r>
    </w:p>
    <w:p>
      <w:pPr>
        <w:spacing w:after="0" w:line="109" w:lineRule="exact"/>
        <w:rPr>
          <w:rFonts w:ascii="Arial" w:cs="Arial" w:eastAsia="Arial" w:hAnsi="Arial"/>
          <w:sz w:val="16"/>
          <w:szCs w:val="16"/>
          <w:color w:val="auto"/>
        </w:rPr>
      </w:pPr>
    </w:p>
    <w:p>
      <w:pPr>
        <w:ind w:left="1520" w:right="20" w:hanging="425"/>
        <w:spacing w:after="0" w:line="235" w:lineRule="auto"/>
        <w:tabs>
          <w:tab w:leader="none" w:pos="1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 governmental third-party payors,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state and local laws that require the licensure and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310" w:lineRule="exact"/>
        <w:rPr>
          <w:sz w:val="20"/>
          <w:szCs w:val="20"/>
          <w:color w:val="auto"/>
        </w:rPr>
      </w:pPr>
    </w:p>
    <w:p>
      <w:pPr>
        <w:ind w:right="340" w:firstLine="1008"/>
        <w:spacing w:after="0" w:line="251" w:lineRule="auto"/>
        <w:rPr>
          <w:sz w:val="20"/>
          <w:szCs w:val="20"/>
          <w:color w:val="auto"/>
        </w:rPr>
      </w:pPr>
      <w:r>
        <w:rPr>
          <w:rFonts w:ascii="Arial" w:cs="Arial" w:eastAsia="Arial" w:hAnsi="Arial"/>
          <w:sz w:val="16"/>
          <w:szCs w:val="16"/>
          <w:color w:val="auto"/>
        </w:rPr>
        <w:t>Furthermore, states are constantly adopting new laws or amending existing laws, requiring attention to frequently changing regulatory requirements. For example, California has enacted the California Consumer Privacy Act ("CCPA"). The CCPA created new transparency requirements, granted California consumers (as that word is broadly defined in the law) several new rights with regard their personal information, and places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 for a new cause of action for data breaches. In addition, in November 2020, California voters approved the California Privacy Rights Act (“CPRA”) ballot initiative which introduced significant amendments to the CCPA and established and funded a dedicated California privacy regulator, the California Privacy Protection</w:t>
      </w:r>
    </w:p>
    <w:p>
      <w:pPr>
        <w:spacing w:after="0" w:line="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Agency (“CPPA”). The amendments introduced by the CPRA go into effect on January 1, 2023, and new implementing regulations are expected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The CCPA could impact our business activities depending on how it is interpreted and exemplifies the vulnerability of our business to not only cyber threats but also the evolving regulatory environment related to personal data and protected health information. We have implemented processes to manage compliance with the CCPA and we continue to assess the impact of the CPRA, and other state legislation, on our business as additional information and guidance becomes available.</w:t>
      </w:r>
    </w:p>
    <w:p>
      <w:pPr>
        <w:spacing w:after="0" w:line="219" w:lineRule="exact"/>
        <w:rPr>
          <w:sz w:val="20"/>
          <w:szCs w:val="20"/>
          <w:color w:val="auto"/>
        </w:rPr>
      </w:pPr>
    </w:p>
    <w:p>
      <w:pPr>
        <w:ind w:right="100" w:firstLine="1008"/>
        <w:spacing w:after="0" w:line="317" w:lineRule="auto"/>
        <w:rPr>
          <w:sz w:val="20"/>
          <w:szCs w:val="20"/>
          <w:color w:val="auto"/>
        </w:rPr>
      </w:pPr>
      <w:r>
        <w:rPr>
          <w:rFonts w:ascii="Arial" w:cs="Arial" w:eastAsia="Arial" w:hAnsi="Arial"/>
          <w:sz w:val="16"/>
          <w:szCs w:val="16"/>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56" w:lineRule="exact"/>
        <w:rPr>
          <w:sz w:val="20"/>
          <w:szCs w:val="20"/>
          <w:color w:val="auto"/>
        </w:rPr>
      </w:pPr>
    </w:p>
    <w:p>
      <w:pPr>
        <w:ind w:right="680" w:firstLine="1008"/>
        <w:spacing w:after="0" w:line="255"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202" w:lineRule="exact"/>
        <w:rPr>
          <w:sz w:val="20"/>
          <w:szCs w:val="20"/>
          <w:color w:val="auto"/>
        </w:rPr>
      </w:pPr>
    </w:p>
    <w:p>
      <w:pPr>
        <w:ind w:right="40" w:firstLine="1008"/>
        <w:spacing w:after="0" w:line="237" w:lineRule="auto"/>
        <w:rPr>
          <w:sz w:val="20"/>
          <w:szCs w:val="20"/>
          <w:color w:val="auto"/>
        </w:rPr>
      </w:pPr>
      <w:r>
        <w:rPr>
          <w:rFonts w:ascii="Arial" w:cs="Arial" w:eastAsia="Arial" w:hAnsi="Arial"/>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234" w:lineRule="exact"/>
        <w:rPr>
          <w:sz w:val="20"/>
          <w:szCs w:val="20"/>
          <w:color w:val="auto"/>
        </w:rPr>
      </w:pPr>
    </w:p>
    <w:p>
      <w:pPr>
        <w:ind w:firstLine="1008"/>
        <w:spacing w:after="0" w:line="275" w:lineRule="auto"/>
        <w:rPr>
          <w:sz w:val="20"/>
          <w:szCs w:val="20"/>
          <w:color w:val="auto"/>
        </w:rPr>
      </w:pPr>
      <w:r>
        <w:rPr>
          <w:rFonts w:ascii="Arial" w:cs="Arial" w:eastAsia="Arial" w:hAnsi="Arial"/>
          <w:sz w:val="16"/>
          <w:szCs w:val="16"/>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203" w:lineRule="exact"/>
        <w:rPr>
          <w:sz w:val="20"/>
          <w:szCs w:val="20"/>
          <w:color w:val="auto"/>
        </w:rPr>
      </w:pPr>
    </w:p>
    <w:p>
      <w:pPr>
        <w:ind w:right="40" w:firstLine="1008"/>
        <w:spacing w:after="0" w:line="249"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234" w:lineRule="exact"/>
        <w:rPr>
          <w:sz w:val="20"/>
          <w:szCs w:val="20"/>
          <w:color w:val="auto"/>
        </w:rPr>
      </w:pPr>
    </w:p>
    <w:p>
      <w:pPr>
        <w:ind w:right="60" w:firstLine="1008"/>
        <w:spacing w:after="0" w:line="270" w:lineRule="auto"/>
        <w:rPr>
          <w:sz w:val="20"/>
          <w:szCs w:val="20"/>
          <w:color w:val="auto"/>
        </w:rPr>
      </w:pPr>
      <w:r>
        <w:rPr>
          <w:rFonts w:ascii="Arial" w:cs="Arial" w:eastAsia="Arial" w:hAnsi="Arial"/>
          <w:sz w:val="16"/>
          <w:szCs w:val="16"/>
          <w:color w:val="auto"/>
        </w:rPr>
        <w:t>Similar to the U.S.,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regime of the Clinical Trials Directive, before a clinical trial can be initiated it must be approved in each of the EU countries where the trial is to be conducted by two distinct bodies: the National Competent Authority ("NCA"), and one or more ethics committees. Under the regime of the Clinical Trials Directive all suspected unexpected serious adverse reactions to the investigated drug that occur during the clinical trial have to be reported to the NCA and ECs of the Member State where they occurred.</w:t>
      </w:r>
    </w:p>
    <w:p>
      <w:pPr>
        <w:spacing w:after="0" w:line="183" w:lineRule="exact"/>
        <w:rPr>
          <w:sz w:val="20"/>
          <w:szCs w:val="20"/>
          <w:color w:val="auto"/>
        </w:rPr>
      </w:pPr>
    </w:p>
    <w:p>
      <w:pPr>
        <w:ind w:right="20" w:firstLine="1008"/>
        <w:spacing w:after="0" w:line="251" w:lineRule="auto"/>
        <w:rPr>
          <w:sz w:val="20"/>
          <w:szCs w:val="20"/>
          <w:color w:val="auto"/>
        </w:rPr>
      </w:pPr>
      <w:r>
        <w:rPr>
          <w:rFonts w:ascii="Arial" w:cs="Arial" w:eastAsia="Arial" w:hAnsi="Arial"/>
          <w:sz w:val="16"/>
          <w:szCs w:val="16"/>
          <w:color w:val="auto"/>
        </w:rPr>
        <w:t>In order to streamline the regulation of clinical trials across the EU, the EU legislator has adopted Regulation (EU) No 536/2014, or the EU Clinical Trials Regulation. The new EU Clinical Trials Regulation, which repeals and replaces the EU Clinical Trials Directive, introduces a complete overhaul of the existing regulation of clinical trials for medicinal products in the EU.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The EU Clinical Trials Regulation is applicable as of January 31, 2022 and is applicable directly in all countries of the EEA (which is comprised of 27 Member States of the EU plus Norway, Iceland and Liechtenstein). The new Clinical Trials Regulation allows to start and conduct a clinical</w:t>
      </w:r>
    </w:p>
    <w:p>
      <w:pPr>
        <w:spacing w:after="0" w:line="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trial in accordance with the Clinical Trials Directive during a transitional period of one year after the application date, i.e. January 31, 2022. The transition period for the trials ongoing at the moment of applicability will be a maximum of 3 years after the date of application of the Clinical Trials Regulation. Clinical trials authorized under the current Clinical Trials Directive before January 31, 2023 can continue to be conducted under the Clinical Trials Directive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until January 31, 2025. An application to transition ongoing trials from the current Clinical Trials Directive to the new Clinical Trials Regulation will need to</w:t>
      </w:r>
    </w:p>
    <w:p>
      <w:pPr>
        <w:spacing w:after="0" w:line="4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be submitted and authorized in time before the end of the transitional period. The new Clinical Trials Regulation is intended to simplify and streamline the approval of clinical trials in the EEA.</w:t>
      </w:r>
    </w:p>
    <w:p>
      <w:pPr>
        <w:spacing w:after="0" w:line="215" w:lineRule="exact"/>
        <w:rPr>
          <w:sz w:val="20"/>
          <w:szCs w:val="20"/>
          <w:color w:val="auto"/>
        </w:rPr>
      </w:pPr>
    </w:p>
    <w:p>
      <w:pPr>
        <w:ind w:right="100" w:firstLine="1008"/>
        <w:spacing w:after="0"/>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40" w:firstLine="1008"/>
        <w:spacing w:after="0" w:line="280" w:lineRule="auto"/>
        <w:rPr>
          <w:sz w:val="20"/>
          <w:szCs w:val="20"/>
          <w:color w:val="auto"/>
        </w:rPr>
      </w:pPr>
      <w:r>
        <w:rPr>
          <w:rFonts w:ascii="Arial" w:cs="Arial" w:eastAsia="Arial" w:hAnsi="Arial"/>
          <w:sz w:val="16"/>
          <w:szCs w:val="16"/>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Marketing Authorization</w:t>
      </w:r>
    </w:p>
    <w:p>
      <w:pPr>
        <w:spacing w:after="0" w:line="234" w:lineRule="exact"/>
        <w:rPr>
          <w:sz w:val="20"/>
          <w:szCs w:val="20"/>
          <w:color w:val="auto"/>
        </w:rPr>
      </w:pPr>
    </w:p>
    <w:p>
      <w:pPr>
        <w:ind w:right="40" w:firstLine="1008"/>
        <w:spacing w:after="0" w:line="255" w:lineRule="auto"/>
        <w:rPr>
          <w:sz w:val="20"/>
          <w:szCs w:val="20"/>
          <w:color w:val="auto"/>
        </w:rPr>
      </w:pPr>
      <w:r>
        <w:rPr>
          <w:rFonts w:ascii="Arial" w:cs="Arial" w:eastAsia="Arial" w:hAnsi="Arial"/>
          <w:sz w:val="18"/>
          <w:szCs w:val="18"/>
          <w:color w:val="auto"/>
        </w:rPr>
        <w:t>In the EEA, medicinal products can only be commercialized after obtaining a Marketing Authorization, or MA. There are a number of types of marketing authorizations.</w:t>
      </w:r>
    </w:p>
    <w:p>
      <w:pPr>
        <w:spacing w:after="0" w:line="256" w:lineRule="exact"/>
        <w:rPr>
          <w:sz w:val="20"/>
          <w:szCs w:val="20"/>
          <w:color w:val="auto"/>
        </w:rPr>
      </w:pPr>
    </w:p>
    <w:p>
      <w:pPr>
        <w:ind w:left="1520" w:right="60" w:hanging="425"/>
        <w:spacing w:after="0" w:line="251" w:lineRule="auto"/>
        <w:tabs>
          <w:tab w:leader="none" w:pos="1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Community MA is adopted by the European Commission in the form of a decision through the Centralized Procedure. The decision, which is based on the opinion of the Committee for Medicinal Products for Human Use ("CHMP") of the EMA,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327" w:lineRule="exact"/>
        <w:rPr>
          <w:sz w:val="20"/>
          <w:szCs w:val="20"/>
          <w:color w:val="auto"/>
        </w:rPr>
      </w:pPr>
    </w:p>
    <w:p>
      <w:pPr>
        <w:ind w:right="100" w:firstLine="963"/>
        <w:spacing w:after="0" w:line="265" w:lineRule="auto"/>
        <w:rPr>
          <w:sz w:val="20"/>
          <w:szCs w:val="20"/>
          <w:color w:val="auto"/>
        </w:rPr>
      </w:pPr>
      <w:r>
        <w:rPr>
          <w:rFonts w:ascii="Arial" w:cs="Arial" w:eastAsia="Arial" w:hAnsi="Arial"/>
          <w:sz w:val="17"/>
          <w:szCs w:val="17"/>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w:t>
      </w:r>
    </w:p>
    <w:p>
      <w:pPr>
        <w:spacing w:after="0" w:line="195" w:lineRule="exact"/>
        <w:rPr>
          <w:sz w:val="20"/>
          <w:szCs w:val="20"/>
          <w:color w:val="auto"/>
        </w:rPr>
      </w:pPr>
    </w:p>
    <w:p>
      <w:pPr>
        <w:ind w:right="20" w:firstLine="963"/>
        <w:spacing w:after="0"/>
        <w:rPr>
          <w:sz w:val="20"/>
          <w:szCs w:val="20"/>
          <w:color w:val="auto"/>
        </w:rPr>
      </w:pPr>
      <w:r>
        <w:rPr>
          <w:rFonts w:ascii="Arial" w:cs="Arial" w:eastAsia="Arial" w:hAnsi="Arial"/>
          <w:sz w:val="18"/>
          <w:szCs w:val="18"/>
          <w:color w:val="auto"/>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69" w:lineRule="exact"/>
        <w:rPr>
          <w:sz w:val="20"/>
          <w:szCs w:val="20"/>
          <w:color w:val="auto"/>
        </w:rPr>
      </w:pPr>
    </w:p>
    <w:p>
      <w:pPr>
        <w:ind w:left="1520" w:right="60" w:hanging="425"/>
        <w:spacing w:after="0" w:line="250" w:lineRule="auto"/>
        <w:tabs>
          <w:tab w:leader="none" w:pos="1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MAs based on the Mutual Recognition Procedure or the Decentralised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 the Reference Member State, the product is subsequently granted a national MA in all the Member States (i.e., in the Reference Member State and the Concerned Member States).</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Coverage and Reimbursement</w:t>
      </w:r>
    </w:p>
    <w:p>
      <w:pPr>
        <w:spacing w:after="0" w:line="238" w:lineRule="exact"/>
        <w:rPr>
          <w:sz w:val="20"/>
          <w:szCs w:val="20"/>
          <w:color w:val="auto"/>
        </w:rPr>
      </w:pPr>
    </w:p>
    <w:p>
      <w:pPr>
        <w:ind w:firstLine="1008"/>
        <w:spacing w:after="0" w:line="237"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payers, such as government health programs, commercial insurance, and managed healthcare organizations. In the U.S., for example, principal decisions about reimbursement for new products are typically made by CMS or by Medicare’s contractors and third party payers or insurance plans. These entities decide whether and to what extent a new product will be covered and reimbursed based on clinical needs and economic impact. To date no uniform policy of coverage and reimbursement for drug products exists. Accordingly, decisions regarding the extent of coverage and amount of reimbursement to be provided for any of our products will be made on a payer-by-payer basis.</w:t>
      </w:r>
    </w:p>
    <w:p>
      <w:pPr>
        <w:spacing w:after="0" w:line="205" w:lineRule="exact"/>
        <w:rPr>
          <w:sz w:val="20"/>
          <w:szCs w:val="20"/>
          <w:color w:val="auto"/>
        </w:rPr>
      </w:pPr>
    </w:p>
    <w:p>
      <w:pPr>
        <w:ind w:firstLine="1008"/>
        <w:spacing w:after="0" w:line="232" w:lineRule="auto"/>
        <w:rPr>
          <w:sz w:val="20"/>
          <w:szCs w:val="20"/>
          <w:color w:val="auto"/>
        </w:rPr>
      </w:pPr>
      <w:r>
        <w:rPr>
          <w:rFonts w:ascii="Arial" w:cs="Arial" w:eastAsia="Arial" w:hAnsi="Arial"/>
          <w:sz w:val="18"/>
          <w:szCs w:val="18"/>
          <w:color w:val="auto"/>
        </w:rPr>
        <w:t>Increasingly, third-party payers are requiring that drug companies provide them with discounts usually in the form of rebates from list prices and are challenging the prices charged for medical products. Further, such payers are examining the medical necessity and reviewing the cost effectiveness of newly launched drugs. There may be especially significant delays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in obtaining coverage and reimbursement for newly approved drugs as several large payers have implemented new to market blocks that can last anywhere between six to twelve months. Third-party payers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payer separately, with no assurance that coverage and adequate reimbursement will be obtained.</w:t>
      </w:r>
    </w:p>
    <w:p>
      <w:pPr>
        <w:spacing w:after="0" w:line="218" w:lineRule="exact"/>
        <w:rPr>
          <w:sz w:val="20"/>
          <w:szCs w:val="20"/>
          <w:color w:val="auto"/>
        </w:rPr>
      </w:pPr>
    </w:p>
    <w:p>
      <w:pPr>
        <w:ind w:firstLine="1008"/>
        <w:spacing w:after="0" w:line="238" w:lineRule="auto"/>
        <w:rPr>
          <w:sz w:val="20"/>
          <w:szCs w:val="20"/>
          <w:color w:val="auto"/>
        </w:rPr>
      </w:pPr>
      <w:r>
        <w:rPr>
          <w:rFonts w:ascii="Arial" w:cs="Arial" w:eastAsia="Arial" w:hAnsi="Arial"/>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217" w:lineRule="exact"/>
        <w:rPr>
          <w:sz w:val="20"/>
          <w:szCs w:val="20"/>
          <w:color w:val="auto"/>
        </w:rPr>
      </w:pPr>
    </w:p>
    <w:p>
      <w:pPr>
        <w:ind w:right="220" w:firstLine="1008"/>
        <w:spacing w:after="0" w:line="275"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76" w:lineRule="exact"/>
        <w:rPr>
          <w:sz w:val="20"/>
          <w:szCs w:val="20"/>
          <w:color w:val="auto"/>
        </w:rPr>
      </w:pPr>
    </w:p>
    <w:p>
      <w:pPr>
        <w:ind w:right="180" w:firstLine="1008"/>
        <w:spacing w:after="0" w:line="235" w:lineRule="auto"/>
        <w:rPr>
          <w:sz w:val="20"/>
          <w:szCs w:val="20"/>
          <w:color w:val="auto"/>
        </w:rPr>
      </w:pPr>
      <w:r>
        <w:rPr>
          <w:rFonts w:ascii="Arial" w:cs="Arial" w:eastAsia="Arial" w:hAnsi="Arial"/>
          <w:sz w:val="17"/>
          <w:szCs w:val="17"/>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("VA") Federal Supply Schedule ("FSS") pricing program. Under this program, the manufacturer is obligated to make its innovator and single source products available for procurement on an FSS contract and charge a price to four federal agencies, the VA, U.S. Department of Defense ("DoD"), Public Health Service and U.S. Coast Guard - that is no higher than the statutory Federal Ceiling Price ("FCP"). Manufacturers also are obligated to calculate and submit to the VA on a quarterly and annual basis, their Non-Federal Average Manufacturer Price (“Non-FAMP”), which the VA uses to calculate the FCP.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217" w:lineRule="exact"/>
        <w:rPr>
          <w:sz w:val="20"/>
          <w:szCs w:val="20"/>
          <w:color w:val="auto"/>
        </w:rPr>
      </w:pPr>
    </w:p>
    <w:p>
      <w:pPr>
        <w:ind w:right="60" w:firstLine="1008"/>
        <w:spacing w:after="0" w:line="280" w:lineRule="auto"/>
        <w:rPr>
          <w:sz w:val="20"/>
          <w:szCs w:val="20"/>
          <w:color w:val="auto"/>
        </w:rPr>
      </w:pPr>
      <w:r>
        <w:rPr>
          <w:rFonts w:ascii="Arial" w:cs="Arial" w:eastAsia="Arial" w:hAnsi="Arial"/>
          <w:sz w:val="16"/>
          <w:szCs w:val="16"/>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85" w:lineRule="exact"/>
        <w:rPr>
          <w:sz w:val="20"/>
          <w:szCs w:val="20"/>
          <w:color w:val="auto"/>
        </w:rPr>
      </w:pPr>
    </w:p>
    <w:p>
      <w:pPr>
        <w:ind w:firstLine="1008"/>
        <w:spacing w:after="0" w:line="270" w:lineRule="auto"/>
        <w:rPr>
          <w:sz w:val="20"/>
          <w:szCs w:val="20"/>
          <w:color w:val="auto"/>
        </w:rPr>
      </w:pPr>
      <w:r>
        <w:rPr>
          <w:rFonts w:ascii="Arial" w:cs="Arial" w:eastAsia="Arial" w:hAnsi="Arial"/>
          <w:sz w:val="16"/>
          <w:szCs w:val="16"/>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Healthcare Reform</w:t>
      </w:r>
    </w:p>
    <w:p>
      <w:pPr>
        <w:spacing w:after="0" w:line="238" w:lineRule="exact"/>
        <w:rPr>
          <w:sz w:val="20"/>
          <w:szCs w:val="20"/>
          <w:color w:val="auto"/>
        </w:rPr>
      </w:pPr>
    </w:p>
    <w:p>
      <w:pPr>
        <w:ind w:right="20" w:firstLine="1008"/>
        <w:spacing w:after="0" w:line="269"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universe of Medicaid utilization subject to drug rebates by requiring pharmaceutical manufacturers to pay rebates on Medicaid managed care utilization and by enlarging the population potentially eligible for Medicaid drug benefits.</w:t>
      </w:r>
    </w:p>
    <w:p>
      <w:pPr>
        <w:spacing w:after="0" w:line="189" w:lineRule="exact"/>
        <w:rPr>
          <w:sz w:val="20"/>
          <w:szCs w:val="20"/>
          <w:color w:val="auto"/>
        </w:rPr>
      </w:pPr>
    </w:p>
    <w:p>
      <w:pPr>
        <w:ind w:right="80" w:firstLine="1008"/>
        <w:spacing w:after="0" w:line="224" w:lineRule="auto"/>
        <w:rPr>
          <w:sz w:val="20"/>
          <w:szCs w:val="20"/>
          <w:color w:val="auto"/>
        </w:rPr>
      </w:pPr>
      <w:r>
        <w:rPr>
          <w:rFonts w:ascii="Arial" w:cs="Arial" w:eastAsia="Arial" w:hAnsi="Arial"/>
          <w:sz w:val="18"/>
          <w:szCs w:val="18"/>
          <w:color w:val="auto"/>
        </w:rPr>
        <w:t>There have been judicial challenges to certain aspects of the Affordable Care Act, as well as efforts by Congress to modify, and by agencies to alter the implementation of, certain aspects of the Affordable Care Act. For example, Congress eliminated, starting January 1, 2019, the tax penalty for not complying with the Affordable Care Act’s individual mandate to carry health insurance. Further, the Bipartisan Budget Act of 2018, among other things, amended the Affordable Care Act, effective January 1, 2019, to increase from 50 percent to 70 percent the point-of-sale discount that is owed by pharmaceutical manufacturers who participate in Medicare Part D to close the coverage gap in most Medicare drug plans, commonly referred to as the “donut hole.”</w:t>
      </w:r>
    </w:p>
    <w:p>
      <w:pPr>
        <w:spacing w:after="0" w:line="205" w:lineRule="exact"/>
        <w:rPr>
          <w:sz w:val="20"/>
          <w:szCs w:val="20"/>
          <w:color w:val="auto"/>
        </w:rPr>
      </w:pPr>
    </w:p>
    <w:p>
      <w:pPr>
        <w:ind w:right="20" w:firstLine="1008"/>
        <w:spacing w:after="0" w:line="251" w:lineRule="auto"/>
        <w:rPr>
          <w:sz w:val="20"/>
          <w:szCs w:val="20"/>
          <w:color w:val="auto"/>
        </w:rPr>
      </w:pPr>
      <w:r>
        <w:rPr>
          <w:rFonts w:ascii="Arial" w:cs="Arial" w:eastAsia="Arial" w:hAnsi="Arial"/>
          <w:sz w:val="16"/>
          <w:szCs w:val="16"/>
          <w:color w:val="auto"/>
        </w:rPr>
        <w:t>Other legislative changes have been proposed and adopted in the U.S. since the Affordable Care Act was enacted. These changes included aggregate reductions to Medicare payments to providers of 2% per fiscal year, effective April 1, 2013, which, due to subsequent legislative amendments, will stay in effect through 2030 unless additional Congressional action is taken, with the exception of a temporary suspension of the 2% cut in Medicare payments from May 1, 2020 through March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In January 2013, the American Taxpayer Relief Act of 2012 was signed into law, which, among other things, reduced Medicare payments to several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207" w:lineRule="exact"/>
        <w:rPr>
          <w:sz w:val="20"/>
          <w:szCs w:val="20"/>
          <w:color w:val="auto"/>
        </w:rPr>
      </w:pPr>
    </w:p>
    <w:p>
      <w:pPr>
        <w:ind w:right="20" w:firstLine="1008"/>
        <w:spacing w:after="0" w:line="272" w:lineRule="auto"/>
        <w:rPr>
          <w:sz w:val="20"/>
          <w:szCs w:val="20"/>
          <w:color w:val="auto"/>
        </w:rPr>
      </w:pPr>
      <w:r>
        <w:rPr>
          <w:rFonts w:ascii="Arial" w:cs="Arial" w:eastAsia="Arial" w:hAnsi="Arial"/>
          <w:sz w:val="16"/>
          <w:szCs w:val="16"/>
          <w:color w:val="auto"/>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3" w:lineRule="exact"/>
        <w:rPr>
          <w:sz w:val="20"/>
          <w:szCs w:val="20"/>
          <w:color w:val="auto"/>
        </w:rPr>
      </w:pPr>
    </w:p>
    <w:p>
      <w:pPr>
        <w:ind w:firstLine="1008"/>
        <w:spacing w:after="0" w:line="267" w:lineRule="auto"/>
        <w:rPr>
          <w:sz w:val="20"/>
          <w:szCs w:val="20"/>
          <w:color w:val="auto"/>
        </w:rPr>
      </w:pPr>
      <w:r>
        <w:rPr>
          <w:rFonts w:ascii="Arial" w:cs="Arial" w:eastAsia="Arial" w:hAnsi="Arial"/>
          <w:sz w:val="16"/>
          <w:szCs w:val="16"/>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payers often follow Medicare coverage policy and payment limitations in setting their own payment rates and in establishing their formulary placement.</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Human Capital Resources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Human Capital</w:t>
      </w:r>
    </w:p>
    <w:p>
      <w:pPr>
        <w:spacing w:after="0" w:line="234" w:lineRule="exact"/>
        <w:rPr>
          <w:sz w:val="20"/>
          <w:szCs w:val="20"/>
          <w:color w:val="auto"/>
        </w:rPr>
      </w:pPr>
    </w:p>
    <w:p>
      <w:pPr>
        <w:ind w:right="80" w:firstLine="1008"/>
        <w:spacing w:after="0" w:line="284" w:lineRule="auto"/>
        <w:rPr>
          <w:sz w:val="20"/>
          <w:szCs w:val="20"/>
          <w:color w:val="auto"/>
        </w:rPr>
      </w:pPr>
      <w:r>
        <w:rPr>
          <w:rFonts w:ascii="Arial" w:cs="Arial" w:eastAsia="Arial" w:hAnsi="Arial"/>
          <w:sz w:val="17"/>
          <w:szCs w:val="17"/>
          <w:color w:val="auto"/>
        </w:rPr>
        <w:t>As of December 31, 2021, we had 46 full-time employees. Of these employees, four hold an M.D. degree, seven hold a Ph.D. degree, and five hold other doctorate degrees. None of our employees are represented by a labor union or covered under a collective bargaining agreement.</w:t>
      </w:r>
    </w:p>
    <w:p>
      <w:pPr>
        <w:spacing w:after="0" w:line="179" w:lineRule="exact"/>
        <w:rPr>
          <w:sz w:val="20"/>
          <w:szCs w:val="20"/>
          <w:color w:val="auto"/>
        </w:rPr>
      </w:pPr>
    </w:p>
    <w:p>
      <w:pPr>
        <w:ind w:right="100" w:firstLine="1008"/>
        <w:spacing w:after="0"/>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Employee Development and Training</w:t>
      </w:r>
    </w:p>
    <w:p>
      <w:pPr>
        <w:spacing w:after="0" w:line="221" w:lineRule="exact"/>
        <w:rPr>
          <w:sz w:val="20"/>
          <w:szCs w:val="20"/>
          <w:color w:val="auto"/>
        </w:rPr>
      </w:pPr>
    </w:p>
    <w:p>
      <w:pPr>
        <w:ind w:right="300" w:firstLine="1008"/>
        <w:spacing w:after="0" w:line="232" w:lineRule="auto"/>
        <w:rPr>
          <w:sz w:val="20"/>
          <w:szCs w:val="20"/>
          <w:color w:val="auto"/>
        </w:rPr>
      </w:pPr>
      <w:r>
        <w:rPr>
          <w:rFonts w:ascii="Arial" w:cs="Arial" w:eastAsia="Arial" w:hAnsi="Arial"/>
          <w:sz w:val="18"/>
          <w:szCs w:val="18"/>
          <w:color w:val="auto"/>
        </w:rPr>
        <w:t>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Diversity, Equity, and Inclusion</w:t>
      </w:r>
    </w:p>
    <w:p>
      <w:pPr>
        <w:spacing w:after="0" w:line="234" w:lineRule="exact"/>
        <w:rPr>
          <w:sz w:val="20"/>
          <w:szCs w:val="20"/>
          <w:color w:val="auto"/>
        </w:rPr>
      </w:pPr>
    </w:p>
    <w:p>
      <w:pPr>
        <w:ind w:right="20" w:firstLine="1008"/>
        <w:spacing w:after="0" w:line="323" w:lineRule="auto"/>
        <w:rPr>
          <w:sz w:val="20"/>
          <w:szCs w:val="20"/>
          <w:color w:val="auto"/>
        </w:rPr>
      </w:pPr>
      <w:r>
        <w:rPr>
          <w:rFonts w:ascii="Arial" w:cs="Arial" w:eastAsia="Arial" w:hAnsi="Arial"/>
          <w:sz w:val="14"/>
          <w:szCs w:val="14"/>
          <w:color w:val="auto"/>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Our management team and employees are also expected to exhibit and promote honest, ethical, and respectful conduct in the workplace. All of our employees must adhere to a code of business conduct and ethics that sets standards for appropriate behavior and are required to attend annual training on the code of business conduct and ethics.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Corporate Information</w:t>
      </w:r>
    </w:p>
    <w:p>
      <w:pPr>
        <w:spacing w:after="0" w:line="238" w:lineRule="exact"/>
        <w:rPr>
          <w:sz w:val="20"/>
          <w:szCs w:val="20"/>
          <w:color w:val="auto"/>
        </w:rPr>
      </w:pPr>
    </w:p>
    <w:p>
      <w:pPr>
        <w:ind w:right="80" w:firstLine="963"/>
        <w:spacing w:after="0"/>
        <w:rPr>
          <w:sz w:val="20"/>
          <w:szCs w:val="20"/>
          <w:color w:val="auto"/>
        </w:rPr>
      </w:pPr>
      <w:r>
        <w:rPr>
          <w:rFonts w:ascii="Arial" w:cs="Arial" w:eastAsia="Arial" w:hAnsi="Arial"/>
          <w:sz w:val="18"/>
          <w:szCs w:val="18"/>
          <w:color w:val="auto"/>
        </w:rPr>
        <w:t>We were incorporated under the laws of the State of Delaware in November 2016. Our principal executive offices are located at 15440 Laguna Canyon Road, Suite 160, Irvine, California 92618. Our telephone number is (949) 409-9820. Our website address is www.tarsusrx.com. Information contained on the website is not incorporated by reference into this Annual Report on Form 10-K. We have included our website address in this Annual Report on Form 10-K solely as an inactive textual reference.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jc w:val="both"/>
        <w:ind w:right="120" w:firstLine="883"/>
        <w:spacing w:after="0" w:line="244" w:lineRule="auto"/>
        <w:rPr>
          <w:sz w:val="20"/>
          <w:szCs w:val="20"/>
          <w:color w:val="auto"/>
        </w:rPr>
      </w:pPr>
      <w:r>
        <w:rPr>
          <w:rFonts w:ascii="Arial" w:cs="Arial" w:eastAsia="Arial" w:hAnsi="Arial"/>
          <w:sz w:val="18"/>
          <w:szCs w:val="18"/>
          <w:color w:val="auto"/>
        </w:rPr>
        <w:t>We currently lease approximately 28,000 square feet of office and laboratory space in Irvine, California under certain leases that last expire in January 2024. We believe that this space will be sufficient to meet our needs for the foreseeable future and that any additional space we may require will be available on commercially reasonable terms.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ind w:right="60" w:firstLine="1008"/>
        <w:spacing w:after="0" w:line="244"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firstLine="883"/>
        <w:spacing w:after="0" w:line="269" w:lineRule="auto"/>
        <w:rPr>
          <w:sz w:val="20"/>
          <w:szCs w:val="20"/>
          <w:color w:val="auto"/>
        </w:rPr>
      </w:pPr>
      <w:r>
        <w:rPr>
          <w:rFonts w:ascii="Arial" w:cs="Arial" w:eastAsia="Arial" w:hAnsi="Arial"/>
          <w:sz w:val="16"/>
          <w:szCs w:val="16"/>
          <w:i w:val="1"/>
          <w:iCs w:val="1"/>
          <w:color w:val="auto"/>
        </w:rPr>
        <w:t>Investing in our common stock is speculative and involves a high degree of risk. Before investing in our common stock, you should consider carefully the risks described below, together with the other information contained in this Annual Report on Form 10-K, including our financial statements and the related notes appearing at the end of this Annual Report on Form 10-K.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202" w:lineRule="exact"/>
        <w:rPr>
          <w:sz w:val="20"/>
          <w:szCs w:val="20"/>
          <w:color w:val="auto"/>
        </w:rPr>
      </w:pPr>
    </w:p>
    <w:p>
      <w:pPr>
        <w:ind w:right="100" w:firstLine="873"/>
        <w:spacing w:after="0" w:line="238" w:lineRule="auto"/>
        <w:rPr>
          <w:sz w:val="20"/>
          <w:szCs w:val="20"/>
          <w:color w:val="auto"/>
        </w:rPr>
      </w:pPr>
      <w:r>
        <w:rPr>
          <w:rFonts w:ascii="Arial" w:cs="Arial" w:eastAsia="Arial" w:hAnsi="Arial"/>
          <w:sz w:val="18"/>
          <w:szCs w:val="18"/>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convertible promissory notes and the sale of our common stock in our initial public offering ("IPO"). For the years ended December 31, 2021 and 2020, our net losses were $13.8 million and $26.8 million, respectively. As of December 31, 2021 and December 31, 2020, we had an accumulated deficit of $46.7 million and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$32.8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over a year or more,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203" w:lineRule="exact"/>
        <w:rPr>
          <w:sz w:val="20"/>
          <w:szCs w:val="20"/>
          <w:color w:val="auto"/>
        </w:rPr>
      </w:pPr>
    </w:p>
    <w:p>
      <w:pPr>
        <w:ind w:right="40" w:firstLine="873"/>
        <w:spacing w:after="0" w:line="255" w:lineRule="auto"/>
        <w:rPr>
          <w:sz w:val="20"/>
          <w:szCs w:val="20"/>
          <w:color w:val="auto"/>
        </w:rPr>
      </w:pPr>
      <w:r>
        <w:rPr>
          <w:rFonts w:ascii="Arial" w:cs="Arial" w:eastAsia="Arial" w:hAnsi="Arial"/>
          <w:sz w:val="18"/>
          <w:szCs w:val="18"/>
          <w:color w:val="auto"/>
        </w:rPr>
        <w:t>We expect to continue incurring significant expenses and increasing operating losses for the foreseeable future. We expect that our expenses will increase substantially if and as we:</w:t>
      </w:r>
    </w:p>
    <w:p>
      <w:pPr>
        <w:spacing w:after="0" w:line="175" w:lineRule="exact"/>
        <w:rPr>
          <w:sz w:val="20"/>
          <w:szCs w:val="20"/>
          <w:color w:val="auto"/>
        </w:rPr>
      </w:pPr>
    </w:p>
    <w:p>
      <w:pPr>
        <w:ind w:left="1000" w:hanging="3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prepare for and initiate additional preclinical, clinical and other studies for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 or add additional manufacturers or suppliers, some of which may require additional permits or other governmental approvals;</w:t>
      </w:r>
    </w:p>
    <w:p>
      <w:pPr>
        <w:spacing w:after="0" w:line="232" w:lineRule="exact"/>
        <w:rPr>
          <w:rFonts w:ascii="Arial" w:cs="Arial" w:eastAsia="Arial" w:hAnsi="Arial"/>
          <w:sz w:val="17"/>
          <w:szCs w:val="17"/>
          <w:color w:val="auto"/>
        </w:rPr>
      </w:pPr>
    </w:p>
    <w:p>
      <w:pPr>
        <w:ind w:left="1020" w:right="620" w:hanging="331"/>
        <w:spacing w:after="0" w:line="271" w:lineRule="auto"/>
        <w:tabs>
          <w:tab w:leader="none" w:pos="10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including adding operational, financial and management information systems and personnel;</w:t>
      </w:r>
    </w:p>
    <w:p>
      <w:pPr>
        <w:spacing w:after="0" w:line="174" w:lineRule="exact"/>
        <w:rPr>
          <w:rFonts w:ascii="Arial" w:cs="Arial" w:eastAsia="Arial" w:hAnsi="Arial"/>
          <w:sz w:val="18"/>
          <w:szCs w:val="18"/>
          <w:color w:val="auto"/>
        </w:rPr>
      </w:pPr>
    </w:p>
    <w:p>
      <w:pPr>
        <w:ind w:left="1020" w:hanging="331"/>
        <w:spacing w:after="0" w:line="271" w:lineRule="auto"/>
        <w:tabs>
          <w:tab w:leader="none" w:pos="10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 our product development and planned future commercialization efforts, including through hiring additional clinical, regulatory, quality control and scientific personnel;</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232" w:lineRule="exact"/>
        <w:rPr>
          <w:rFonts w:ascii="Arial" w:cs="Arial" w:eastAsia="Arial" w:hAnsi="Arial"/>
          <w:sz w:val="17"/>
          <w:szCs w:val="17"/>
          <w:color w:val="auto"/>
        </w:rPr>
      </w:pPr>
    </w:p>
    <w:p>
      <w:pPr>
        <w:ind w:left="1000" w:hanging="3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identify, assess, acquire or develop additional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milestone or other payments in connection with the development or approval of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protect, enforce and expand our intellectual property portfolio;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1" w:lineRule="exact"/>
        <w:rPr>
          <w:sz w:val="20"/>
          <w:szCs w:val="20"/>
          <w:color w:val="auto"/>
        </w:rPr>
      </w:pPr>
    </w:p>
    <w:p>
      <w:pPr>
        <w:ind w:right="20" w:firstLine="883"/>
        <w:spacing w:after="0" w:line="259"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186" w:lineRule="exact"/>
        <w:rPr>
          <w:sz w:val="20"/>
          <w:szCs w:val="20"/>
          <w:color w:val="auto"/>
        </w:rPr>
      </w:pPr>
    </w:p>
    <w:p>
      <w:pPr>
        <w:ind w:left="1000" w:hanging="311"/>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are required by regulatory authorities to perform trials or studies in addition to, or different than, those that we currently expect;</w:t>
      </w:r>
    </w:p>
    <w:p>
      <w:pPr>
        <w:spacing w:after="0" w:line="219" w:lineRule="exact"/>
        <w:rPr>
          <w:rFonts w:ascii="Arial" w:cs="Arial" w:eastAsia="Arial" w:hAnsi="Arial"/>
          <w:sz w:val="17"/>
          <w:szCs w:val="17"/>
          <w:color w:val="auto"/>
        </w:rPr>
      </w:pPr>
    </w:p>
    <w:p>
      <w:pPr>
        <w:ind w:left="1020" w:right="720" w:hanging="331"/>
        <w:spacing w:after="0" w:line="271" w:lineRule="auto"/>
        <w:tabs>
          <w:tab w:leader="none" w:pos="10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are any delays in establishing appropriate manufacturing arrangements for or completing the development of any of our product candidates; or</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59" w:lineRule="exact"/>
        <w:rPr>
          <w:sz w:val="20"/>
          <w:szCs w:val="20"/>
          <w:color w:val="auto"/>
        </w:rPr>
      </w:pPr>
    </w:p>
    <w:p>
      <w:pPr>
        <w:ind w:right="460" w:firstLine="873"/>
        <w:spacing w:after="0"/>
        <w:rPr>
          <w:sz w:val="20"/>
          <w:szCs w:val="20"/>
          <w:color w:val="auto"/>
        </w:rPr>
      </w:pPr>
      <w:r>
        <w:rPr>
          <w:rFonts w:ascii="Arial" w:cs="Arial" w:eastAsia="Arial" w:hAnsi="Arial"/>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firstLine="873"/>
        <w:spacing w:after="0" w:line="267" w:lineRule="auto"/>
        <w:rPr>
          <w:sz w:val="20"/>
          <w:szCs w:val="20"/>
          <w:color w:val="auto"/>
        </w:rPr>
      </w:pPr>
      <w:r>
        <w:rPr>
          <w:rFonts w:ascii="Arial" w:cs="Arial" w:eastAsia="Arial" w:hAnsi="Arial"/>
          <w:sz w:val="16"/>
          <w:szCs w:val="16"/>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211" w:lineRule="exact"/>
        <w:rPr>
          <w:sz w:val="20"/>
          <w:szCs w:val="20"/>
          <w:color w:val="auto"/>
        </w:rPr>
      </w:pPr>
    </w:p>
    <w:p>
      <w:pPr>
        <w:ind w:right="80" w:firstLine="873"/>
        <w:spacing w:after="0" w:line="249" w:lineRule="auto"/>
        <w:rPr>
          <w:sz w:val="20"/>
          <w:szCs w:val="20"/>
          <w:color w:val="auto"/>
        </w:rPr>
      </w:pPr>
      <w:r>
        <w:rPr>
          <w:rFonts w:ascii="Arial" w:cs="Arial" w:eastAsia="Arial" w:hAnsi="Arial"/>
          <w:sz w:val="17"/>
          <w:szCs w:val="17"/>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mulitple pivotal clinical trials. Further, the commercial success of TP-03 will also depend on patent protection, successfully educating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210" w:lineRule="exact"/>
        <w:rPr>
          <w:sz w:val="20"/>
          <w:szCs w:val="20"/>
          <w:color w:val="auto"/>
        </w:rPr>
      </w:pPr>
    </w:p>
    <w:p>
      <w:pPr>
        <w:ind w:right="400"/>
        <w:spacing w:after="0" w:line="244" w:lineRule="auto"/>
        <w:rPr>
          <w:sz w:val="20"/>
          <w:szCs w:val="20"/>
          <w:color w:val="auto"/>
        </w:rPr>
      </w:pPr>
      <w:r>
        <w:rPr>
          <w:rFonts w:ascii="Arial" w:cs="Arial" w:eastAsia="Arial" w:hAnsi="Arial"/>
          <w:sz w:val="18"/>
          <w:szCs w:val="18"/>
          <w:b w:val="1"/>
          <w:bCs w:val="1"/>
          <w:i w:val="1"/>
          <w:iCs w:val="1"/>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11" w:lineRule="exact"/>
        <w:rPr>
          <w:sz w:val="20"/>
          <w:szCs w:val="20"/>
          <w:color w:val="auto"/>
        </w:rPr>
      </w:pPr>
    </w:p>
    <w:p>
      <w:pPr>
        <w:ind w:right="40" w:firstLine="873"/>
        <w:spacing w:after="0" w:line="272" w:lineRule="auto"/>
        <w:rPr>
          <w:sz w:val="20"/>
          <w:szCs w:val="20"/>
          <w:color w:val="auto"/>
        </w:rPr>
      </w:pPr>
      <w:r>
        <w:rPr>
          <w:rFonts w:ascii="Arial" w:cs="Arial" w:eastAsia="Arial" w:hAnsi="Arial"/>
          <w:sz w:val="16"/>
          <w:szCs w:val="16"/>
          <w:color w:val="auto"/>
        </w:rPr>
        <w:t>Since our inception, we have funded our operations through private placements of preferred stock, convertible promissory notes and the sale of our common stock in our IPO.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as a public company, we incur significant legal, accounting and other costs associated with operating as a public company.</w:t>
      </w:r>
    </w:p>
    <w:p>
      <w:pPr>
        <w:spacing w:after="0" w:line="200" w:lineRule="exact"/>
        <w:rPr>
          <w:sz w:val="20"/>
          <w:szCs w:val="20"/>
          <w:color w:val="auto"/>
        </w:rPr>
      </w:pPr>
    </w:p>
    <w:p>
      <w:pPr>
        <w:spacing w:after="0" w:line="207" w:lineRule="exact"/>
        <w:rPr>
          <w:sz w:val="20"/>
          <w:szCs w:val="20"/>
          <w:color w:val="auto"/>
        </w:rPr>
      </w:pPr>
    </w:p>
    <w:p>
      <w:pPr>
        <w:ind w:firstLine="883"/>
        <w:spacing w:after="0" w:line="251" w:lineRule="auto"/>
        <w:rPr>
          <w:sz w:val="20"/>
          <w:szCs w:val="20"/>
          <w:color w:val="auto"/>
        </w:rPr>
      </w:pPr>
      <w:r>
        <w:rPr>
          <w:rFonts w:ascii="Arial" w:cs="Arial" w:eastAsia="Arial" w:hAnsi="Arial"/>
          <w:sz w:val="17"/>
          <w:szCs w:val="17"/>
          <w:color w:val="auto"/>
        </w:rPr>
        <w:t xml:space="preserve">We believe that our cash, cash equivalents and marketable securities of $171.8 million as of December 31, 2021 is sufficient to fund our current and planned operations for at least the next twelve months from the date of filing this Annual Report on Form 10-K. In addition, our expected $30 million of additional proceeds by the first half of 2022 as part of the China Out-License, and available funds under our credit facility, will enable us to fund our operating expenses and capital expenditure requirements at least into the second half of 2024. Accordingly, our existing cash, cash equivalents and marketable securities will be insufficient for us to concurrently fund our product candidates through regulatory approval and commercialization. We will need to raise substantial additional capital to complete the development and commercialization of our product candidates through equity offerings, our $175 million credit facility (see </w:t>
      </w:r>
      <w:r>
        <w:rPr>
          <w:rFonts w:ascii="Arial" w:cs="Arial" w:eastAsia="Arial" w:hAnsi="Arial"/>
          <w:sz w:val="17"/>
          <w:szCs w:val="17"/>
          <w:i w:val="1"/>
          <w:iCs w:val="1"/>
          <w:color w:val="auto"/>
        </w:rPr>
        <w:t>Note 11)</w:t>
      </w:r>
      <w:r>
        <w:rPr>
          <w:rFonts w:ascii="Arial" w:cs="Arial" w:eastAsia="Arial" w:hAnsi="Arial"/>
          <w:sz w:val="17"/>
          <w:szCs w:val="17"/>
          <w:color w:val="auto"/>
        </w:rPr>
        <w:t>, marketing and distribution arrangements and other collaborations, strategic alliances and licensing arrangements or other sources. We may also need to raise additional funds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earlier than currently anticipated if we choose to pursue additional indications for our product candidates, acquire new product candidates or otherwise expand our business more rapidly than we presently planned.</w:t>
      </w:r>
    </w:p>
    <w:p>
      <w:pPr>
        <w:spacing w:after="0" w:line="202" w:lineRule="exact"/>
        <w:rPr>
          <w:sz w:val="20"/>
          <w:szCs w:val="20"/>
          <w:color w:val="auto"/>
        </w:rPr>
      </w:pPr>
    </w:p>
    <w:p>
      <w:pPr>
        <w:ind w:right="40" w:firstLine="873"/>
        <w:spacing w:after="0" w:line="317" w:lineRule="auto"/>
        <w:rPr>
          <w:sz w:val="20"/>
          <w:szCs w:val="20"/>
          <w:color w:val="auto"/>
        </w:rPr>
      </w:pPr>
      <w:r>
        <w:rPr>
          <w:rFonts w:ascii="Arial" w:cs="Arial" w:eastAsia="Arial" w:hAnsi="Arial"/>
          <w:sz w:val="16"/>
          <w:szCs w:val="16"/>
          <w:color w:val="auto"/>
        </w:rPr>
        <w:t>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129" w:lineRule="exact"/>
        <w:rPr>
          <w:sz w:val="20"/>
          <w:szCs w:val="20"/>
          <w:color w:val="auto"/>
        </w:rPr>
      </w:pPr>
    </w:p>
    <w:p>
      <w:pPr>
        <w:ind w:left="1020" w:right="180" w:hanging="331"/>
        <w:spacing w:after="0" w:line="255"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rate of progress, costs and results of our drug discovery, preclinical development activities, laboratory testing and clinical trials for our product candidates;</w:t>
      </w:r>
    </w:p>
    <w:p>
      <w:pPr>
        <w:spacing w:after="0" w:line="175"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 and our ability to scale them up;</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0" w:lineRule="exact"/>
        <w:rPr>
          <w:rFonts w:ascii="Arial" w:cs="Arial" w:eastAsia="Arial" w:hAnsi="Arial"/>
          <w:sz w:val="18"/>
          <w:szCs w:val="18"/>
          <w:color w:val="auto"/>
        </w:rPr>
      </w:pPr>
    </w:p>
    <w:p>
      <w:pPr>
        <w:ind w:left="1020" w:right="20" w:hanging="331"/>
        <w:spacing w:after="0" w:line="259"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185"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changes in the regulatory environment and enforcement rules;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establishing sales and marketing capabilities, if any of our product candidates receive marketing approval;</w:t>
      </w:r>
    </w:p>
    <w:p>
      <w:pPr>
        <w:spacing w:after="0" w:line="220" w:lineRule="exact"/>
        <w:rPr>
          <w:rFonts w:ascii="Arial" w:cs="Arial" w:eastAsia="Arial" w:hAnsi="Arial"/>
          <w:sz w:val="18"/>
          <w:szCs w:val="18"/>
          <w:color w:val="auto"/>
        </w:rPr>
      </w:pPr>
    </w:p>
    <w:p>
      <w:pPr>
        <w:ind w:left="1020" w:right="400" w:hanging="331"/>
        <w:spacing w:after="0" w:line="271"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satisfy our outstanding debt obligations;</w:t>
      </w:r>
    </w:p>
    <w:p>
      <w:pPr>
        <w:spacing w:after="0" w:line="220" w:lineRule="exact"/>
        <w:rPr>
          <w:rFonts w:ascii="Arial" w:cs="Arial" w:eastAsia="Arial" w:hAnsi="Arial"/>
          <w:sz w:val="18"/>
          <w:szCs w:val="18"/>
          <w:color w:val="auto"/>
        </w:rPr>
      </w:pPr>
    </w:p>
    <w:p>
      <w:pPr>
        <w:ind w:left="1020" w:right="400" w:hanging="331"/>
        <w:spacing w:after="0" w:line="271"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changes in pharmaceutical pricing and reimbursement infrastructure;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associated with commercializing our product candidates, if they receive marketing approval.</w:t>
      </w:r>
    </w:p>
    <w:p>
      <w:pPr>
        <w:spacing w:after="0" w:line="248" w:lineRule="exact"/>
        <w:rPr>
          <w:sz w:val="20"/>
          <w:szCs w:val="20"/>
          <w:color w:val="auto"/>
        </w:rPr>
      </w:pPr>
    </w:p>
    <w:p>
      <w:pPr>
        <w:ind w:firstLine="883"/>
        <w:spacing w:after="0" w:line="267"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at least a year,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generate no revenues from sales of any products and may never generate revenue or be profitable.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firstLine="873"/>
        <w:spacing w:after="0" w:line="289" w:lineRule="auto"/>
        <w:rPr>
          <w:sz w:val="20"/>
          <w:szCs w:val="20"/>
          <w:color w:val="auto"/>
        </w:rPr>
      </w:pPr>
      <w:r>
        <w:rPr>
          <w:rFonts w:ascii="Arial" w:cs="Arial" w:eastAsia="Arial" w:hAnsi="Arial"/>
          <w:sz w:val="16"/>
          <w:szCs w:val="16"/>
          <w:color w:val="auto"/>
        </w:rPr>
        <w:t>We have no products approved for commercial sale and do not anticipate generating any product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51" w:lineRule="exact"/>
        <w:rPr>
          <w:sz w:val="20"/>
          <w:szCs w:val="20"/>
          <w:color w:val="auto"/>
        </w:rPr>
      </w:pPr>
    </w:p>
    <w:p>
      <w:pPr>
        <w:ind w:left="1020" w:right="40" w:hanging="331"/>
        <w:spacing w:after="0" w:line="255"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75" w:lineRule="exact"/>
        <w:rPr>
          <w:rFonts w:ascii="Arial" w:cs="Arial" w:eastAsia="Arial" w:hAnsi="Arial"/>
          <w:sz w:val="18"/>
          <w:szCs w:val="18"/>
          <w:color w:val="auto"/>
        </w:rPr>
      </w:pPr>
    </w:p>
    <w:p>
      <w:pPr>
        <w:ind w:left="1020" w:right="120" w:hanging="331"/>
        <w:spacing w:after="0" w:line="271"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both in the U.S. and internationally, of our product candidates;</w:t>
      </w:r>
    </w:p>
    <w:p>
      <w:pPr>
        <w:spacing w:after="0" w:line="174" w:lineRule="exact"/>
        <w:rPr>
          <w:rFonts w:ascii="Arial" w:cs="Arial" w:eastAsia="Arial" w:hAnsi="Arial"/>
          <w:sz w:val="18"/>
          <w:szCs w:val="18"/>
          <w:color w:val="auto"/>
        </w:rPr>
      </w:pPr>
    </w:p>
    <w:p>
      <w:pPr>
        <w:ind w:left="1020" w:right="720" w:hanging="331"/>
        <w:spacing w:after="0" w:line="271"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receipt of regulatory approvals from applicable regulatory authorities for TP-03 or any other product candidates for which we successfully complete clinical development;</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220" w:lineRule="exact"/>
        <w:rPr>
          <w:rFonts w:ascii="Arial" w:cs="Arial" w:eastAsia="Arial" w:hAnsi="Arial"/>
          <w:sz w:val="18"/>
          <w:szCs w:val="18"/>
          <w:color w:val="auto"/>
        </w:rPr>
      </w:pPr>
    </w:p>
    <w:p>
      <w:pPr>
        <w:ind w:left="1020" w:right="40" w:hanging="331"/>
        <w:spacing w:after="0" w:line="259"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85" w:lineRule="exact"/>
        <w:rPr>
          <w:rFonts w:ascii="Arial" w:cs="Arial" w:eastAsia="Arial" w:hAnsi="Arial"/>
          <w:sz w:val="18"/>
          <w:szCs w:val="18"/>
          <w:color w:val="auto"/>
        </w:rPr>
      </w:pPr>
    </w:p>
    <w:p>
      <w:pPr>
        <w:jc w:val="both"/>
        <w:ind w:left="1020" w:right="200" w:hanging="331"/>
        <w:spacing w:after="0" w:line="281" w:lineRule="auto"/>
        <w:tabs>
          <w:tab w:leader="none" w:pos="10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an investigational new drug application ("IND") prior to commencing clinical trials in the U.S. for a particular indication, such as TP-04 for the potential treatment of rosacea (although for TP-04 we first intend to conduct a Phase 1/2 trial outside the U.S. and thus do not plan to submit an IND prior to this trial) and TP-05 for potential Lyme prophylaxis and community malaria reduction;</w:t>
      </w:r>
    </w:p>
    <w:p>
      <w:pPr>
        <w:spacing w:after="0" w:line="169" w:lineRule="exact"/>
        <w:rPr>
          <w:rFonts w:ascii="Arial" w:cs="Arial" w:eastAsia="Arial" w:hAnsi="Arial"/>
          <w:sz w:val="17"/>
          <w:szCs w:val="17"/>
          <w:color w:val="auto"/>
        </w:rPr>
      </w:pPr>
    </w:p>
    <w:p>
      <w:pPr>
        <w:ind w:left="1020" w:right="40" w:hanging="331"/>
        <w:spacing w:after="0" w:line="271"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commercial launch following any regulatory approval, including the development of a commercial infrastructure, whether in-house or with one or more collaborators;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continued acceptable safety and efficacy profile both prior to and following any marketing approval of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educating ECPs about Demodex blepharitis and related diagnosis;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commercial acceptance of TP-03 and any of our other product candidates by patients, the medical community and third-party payors;</w:t>
      </w:r>
    </w:p>
    <w:p>
      <w:pPr>
        <w:spacing w:after="0" w:line="232" w:lineRule="exact"/>
        <w:rPr>
          <w:rFonts w:ascii="Arial" w:cs="Arial" w:eastAsia="Arial" w:hAnsi="Arial"/>
          <w:sz w:val="17"/>
          <w:szCs w:val="17"/>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maintaining and expanding patent protection, trade secret protection and regulatory exclusivity, both in the U.S. and internationally;</w:t>
      </w:r>
    </w:p>
    <w:p>
      <w:pPr>
        <w:spacing w:after="0" w:line="243" w:lineRule="exact"/>
        <w:rPr>
          <w:rFonts w:ascii="Arial" w:cs="Arial" w:eastAsia="Arial" w:hAnsi="Arial"/>
          <w:sz w:val="16"/>
          <w:szCs w:val="16"/>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220" w:lineRule="exact"/>
        <w:rPr>
          <w:rFonts w:ascii="Arial" w:cs="Arial" w:eastAsia="Arial" w:hAnsi="Arial"/>
          <w:sz w:val="18"/>
          <w:szCs w:val="18"/>
          <w:color w:val="auto"/>
        </w:rPr>
      </w:pPr>
    </w:p>
    <w:p>
      <w:pPr>
        <w:ind w:left="1020" w:right="80" w:hanging="331"/>
        <w:spacing w:after="0" w:line="271"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74" w:lineRule="exact"/>
        <w:rPr>
          <w:rFonts w:ascii="Arial" w:cs="Arial" w:eastAsia="Arial" w:hAnsi="Arial"/>
          <w:sz w:val="18"/>
          <w:szCs w:val="18"/>
          <w:color w:val="auto"/>
        </w:rPr>
      </w:pPr>
    </w:p>
    <w:p>
      <w:pPr>
        <w:ind w:left="1020" w:right="240" w:hanging="331"/>
        <w:spacing w:after="0" w:line="271"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coverage and adequate reimbursement for customers and patients from government and third-party payors for product candidates that we develop;</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48" w:lineRule="exact"/>
        <w:rPr>
          <w:sz w:val="20"/>
          <w:szCs w:val="20"/>
          <w:color w:val="auto"/>
        </w:rPr>
      </w:pPr>
    </w:p>
    <w:p>
      <w:pPr>
        <w:ind w:right="240" w:firstLine="883"/>
        <w:spacing w:after="0" w:line="255"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w:t>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color w:val="auto"/>
        </w:rPr>
        <w:t>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i w:val="1"/>
          <w:iCs w:val="1"/>
          <w:color w:val="auto"/>
        </w:rPr>
        <w:t>The COVID-19 pandemic, which began in late 2019 and has spread worldwide, may continue to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99" w:lineRule="exact"/>
        <w:rPr>
          <w:sz w:val="20"/>
          <w:szCs w:val="20"/>
          <w:color w:val="auto"/>
        </w:rPr>
      </w:pPr>
    </w:p>
    <w:p>
      <w:pPr>
        <w:ind w:firstLine="873"/>
        <w:spacing w:after="0" w:line="237" w:lineRule="auto"/>
        <w:rPr>
          <w:sz w:val="20"/>
          <w:szCs w:val="20"/>
          <w:color w:val="auto"/>
        </w:rPr>
      </w:pPr>
      <w:r>
        <w:rPr>
          <w:rFonts w:ascii="Arial" w:cs="Arial" w:eastAsia="Arial" w:hAnsi="Arial"/>
          <w:sz w:val="18"/>
          <w:szCs w:val="18"/>
          <w:color w:val="auto"/>
        </w:rPr>
        <w:t>The COVID-19 pandemic, which began in December 2019 and has spread worldwide,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205" w:lineRule="exact"/>
        <w:rPr>
          <w:sz w:val="20"/>
          <w:szCs w:val="20"/>
          <w:color w:val="auto"/>
        </w:rPr>
      </w:pPr>
    </w:p>
    <w:p>
      <w:pPr>
        <w:ind w:right="20" w:firstLine="873"/>
        <w:spacing w:after="0" w:line="249" w:lineRule="auto"/>
        <w:rPr>
          <w:sz w:val="20"/>
          <w:szCs w:val="20"/>
          <w:color w:val="auto"/>
        </w:rPr>
      </w:pPr>
      <w:r>
        <w:rPr>
          <w:rFonts w:ascii="Arial" w:cs="Arial" w:eastAsia="Arial" w:hAnsi="Arial"/>
          <w:sz w:val="16"/>
          <w:szCs w:val="16"/>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While some of the orders and restrictions have been lifted, we cannot be certain that such orders and restrictions will not be reinstated in the future. We have implemented a vaccination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214" w:lineRule="exact"/>
        <w:rPr>
          <w:sz w:val="20"/>
          <w:szCs w:val="20"/>
          <w:color w:val="auto"/>
        </w:rPr>
      </w:pPr>
    </w:p>
    <w:p>
      <w:pPr>
        <w:ind w:right="80" w:firstLine="873"/>
        <w:spacing w:after="0" w:line="251" w:lineRule="auto"/>
        <w:rPr>
          <w:sz w:val="20"/>
          <w:szCs w:val="20"/>
          <w:color w:val="auto"/>
        </w:rPr>
      </w:pPr>
      <w:r>
        <w:rPr>
          <w:rFonts w:ascii="Arial" w:cs="Arial" w:eastAsia="Arial" w:hAnsi="Arial"/>
          <w:sz w:val="17"/>
          <w:szCs w:val="17"/>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While we have not experienced any material delays in enrollment, we cannot be certain that we will not experience future delays in enrollment.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210" w:lineRule="exact"/>
        <w:rPr>
          <w:sz w:val="20"/>
          <w:szCs w:val="20"/>
          <w:color w:val="auto"/>
        </w:rPr>
      </w:pPr>
    </w:p>
    <w:p>
      <w:pPr>
        <w:ind w:firstLine="873"/>
        <w:spacing w:after="0" w:line="244" w:lineRule="auto"/>
        <w:rPr>
          <w:sz w:val="20"/>
          <w:szCs w:val="20"/>
          <w:color w:val="auto"/>
        </w:rPr>
      </w:pPr>
      <w:r>
        <w:rPr>
          <w:rFonts w:ascii="Arial" w:cs="Arial" w:eastAsia="Arial" w:hAnsi="Arial"/>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may experience disruptions that could severely impact our business, preclinical studies, and clinical trials, including:</w:t>
      </w:r>
    </w:p>
    <w:p>
      <w:pPr>
        <w:spacing w:after="0" w:line="208" w:lineRule="exact"/>
        <w:rPr>
          <w:sz w:val="20"/>
          <w:szCs w:val="20"/>
          <w:color w:val="auto"/>
        </w:rPr>
      </w:pPr>
    </w:p>
    <w:p>
      <w:pPr>
        <w:ind w:left="1000" w:hanging="311"/>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in receiving approval from local regulatory authorities to initiate our planned clinical trials, including receiving any required "IND";</w:t>
      </w:r>
    </w:p>
    <w:p>
      <w:pPr>
        <w:spacing w:after="0" w:line="219" w:lineRule="exact"/>
        <w:rPr>
          <w:rFonts w:ascii="Arial" w:cs="Arial" w:eastAsia="Arial" w:hAnsi="Arial"/>
          <w:sz w:val="17"/>
          <w:szCs w:val="17"/>
          <w:color w:val="auto"/>
        </w:rPr>
      </w:pPr>
    </w:p>
    <w:p>
      <w:pPr>
        <w:ind w:left="1000" w:hanging="311"/>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hanging="31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disruptions;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the transport of clinical trial materials;</w:t>
      </w:r>
    </w:p>
    <w:p>
      <w:pPr>
        <w:spacing w:after="0" w:line="220" w:lineRule="exact"/>
        <w:rPr>
          <w:rFonts w:ascii="Arial" w:cs="Arial" w:eastAsia="Arial" w:hAnsi="Arial"/>
          <w:sz w:val="18"/>
          <w:szCs w:val="18"/>
          <w:color w:val="auto"/>
        </w:rPr>
      </w:pPr>
    </w:p>
    <w:p>
      <w:pPr>
        <w:ind w:left="1020" w:right="160" w:hanging="331"/>
        <w:spacing w:after="0" w:line="301" w:lineRule="auto"/>
        <w:tabs>
          <w:tab w:leader="none" w:pos="10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51" w:lineRule="exact"/>
        <w:rPr>
          <w:rFonts w:ascii="Arial" w:cs="Arial" w:eastAsia="Arial" w:hAnsi="Arial"/>
          <w:sz w:val="17"/>
          <w:szCs w:val="17"/>
          <w:color w:val="auto"/>
        </w:rPr>
      </w:pPr>
    </w:p>
    <w:p>
      <w:pPr>
        <w:ind w:left="1020" w:right="100" w:hanging="331"/>
        <w:spacing w:after="0" w:line="27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4" w:lineRule="exact"/>
        <w:rPr>
          <w:rFonts w:ascii="Arial" w:cs="Arial" w:eastAsia="Arial" w:hAnsi="Arial"/>
          <w:sz w:val="18"/>
          <w:szCs w:val="18"/>
          <w:color w:val="auto"/>
        </w:rPr>
      </w:pPr>
    </w:p>
    <w:p>
      <w:pPr>
        <w:ind w:left="1020" w:hanging="331"/>
        <w:spacing w:after="0" w:line="27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74" w:lineRule="exact"/>
        <w:rPr>
          <w:rFonts w:ascii="Arial" w:cs="Arial" w:eastAsia="Arial" w:hAnsi="Arial"/>
          <w:sz w:val="18"/>
          <w:szCs w:val="18"/>
          <w:color w:val="auto"/>
        </w:rPr>
      </w:pPr>
    </w:p>
    <w:p>
      <w:pPr>
        <w:ind w:left="1020" w:hanging="331"/>
        <w:spacing w:after="0" w:line="255"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90" w:lineRule="exact"/>
        <w:rPr>
          <w:rFonts w:ascii="Arial" w:cs="Arial" w:eastAsia="Arial" w:hAnsi="Arial"/>
          <w:sz w:val="18"/>
          <w:szCs w:val="18"/>
          <w:color w:val="auto"/>
        </w:rPr>
      </w:pPr>
    </w:p>
    <w:p>
      <w:pPr>
        <w:ind w:left="1020" w:right="100" w:hanging="331"/>
        <w:spacing w:after="0" w:line="27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74" w:lineRule="exact"/>
        <w:rPr>
          <w:rFonts w:ascii="Arial" w:cs="Arial" w:eastAsia="Arial" w:hAnsi="Arial"/>
          <w:sz w:val="18"/>
          <w:szCs w:val="18"/>
          <w:color w:val="auto"/>
        </w:rPr>
      </w:pPr>
    </w:p>
    <w:p>
      <w:pPr>
        <w:ind w:left="1020" w:right="360" w:hanging="331"/>
        <w:spacing w:after="0" w:line="27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74" w:lineRule="exact"/>
        <w:rPr>
          <w:rFonts w:ascii="Arial" w:cs="Arial" w:eastAsia="Arial" w:hAnsi="Arial"/>
          <w:sz w:val="18"/>
          <w:szCs w:val="18"/>
          <w:color w:val="auto"/>
        </w:rPr>
      </w:pPr>
    </w:p>
    <w:p>
      <w:pPr>
        <w:ind w:left="1020" w:right="520" w:hanging="331"/>
        <w:spacing w:after="0" w:line="27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which may impact review and approval timelines;</w:t>
      </w:r>
    </w:p>
    <w:p>
      <w:pPr>
        <w:spacing w:after="0" w:line="220" w:lineRule="exact"/>
        <w:rPr>
          <w:rFonts w:ascii="Arial" w:cs="Arial" w:eastAsia="Arial" w:hAnsi="Arial"/>
          <w:sz w:val="18"/>
          <w:szCs w:val="18"/>
          <w:color w:val="auto"/>
        </w:rPr>
      </w:pPr>
    </w:p>
    <w:p>
      <w:pPr>
        <w:ind w:left="1020" w:right="100" w:hanging="331"/>
        <w:spacing w:after="0" w:line="27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regulatory approvals for our product candidates due to the FDA focusing on clinical trials related to therapies and vaccines targeting COVID-19;</w:t>
      </w:r>
    </w:p>
    <w:p>
      <w:pPr>
        <w:spacing w:after="0" w:line="174" w:lineRule="exact"/>
        <w:rPr>
          <w:rFonts w:ascii="Arial" w:cs="Arial" w:eastAsia="Arial" w:hAnsi="Arial"/>
          <w:sz w:val="18"/>
          <w:szCs w:val="18"/>
          <w:color w:val="auto"/>
        </w:rPr>
      </w:pPr>
    </w:p>
    <w:p>
      <w:pPr>
        <w:ind w:left="1020" w:right="200" w:hanging="331"/>
        <w:spacing w:after="0" w:line="27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48" w:lineRule="exact"/>
        <w:rPr>
          <w:sz w:val="20"/>
          <w:szCs w:val="20"/>
          <w:color w:val="auto"/>
        </w:rPr>
      </w:pPr>
    </w:p>
    <w:p>
      <w:pPr>
        <w:ind w:right="100" w:firstLine="883"/>
        <w:spacing w:after="0" w:line="237" w:lineRule="auto"/>
        <w:rPr>
          <w:sz w:val="20"/>
          <w:szCs w:val="20"/>
          <w:color w:val="auto"/>
        </w:rPr>
      </w:pPr>
      <w:r>
        <w:rPr>
          <w:rFonts w:ascii="Arial" w:cs="Arial" w:eastAsia="Arial" w:hAnsi="Arial"/>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205" w:lineRule="exact"/>
        <w:rPr>
          <w:sz w:val="20"/>
          <w:szCs w:val="20"/>
          <w:color w:val="auto"/>
        </w:rPr>
      </w:pPr>
    </w:p>
    <w:p>
      <w:pPr>
        <w:ind w:firstLine="873"/>
        <w:spacing w:after="0" w:line="237" w:lineRule="auto"/>
        <w:rPr>
          <w:sz w:val="20"/>
          <w:szCs w:val="20"/>
          <w:color w:val="auto"/>
        </w:rPr>
      </w:pPr>
      <w:r>
        <w:rPr>
          <w:rFonts w:ascii="Arial" w:cs="Arial" w:eastAsia="Arial" w:hAnsi="Arial"/>
          <w:sz w:val="17"/>
          <w:szCs w:val="17"/>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business, clinical trials, results of operations and financial condition, it may also have the effect of heightening many of the other risks described in this “Risk Factors” section.</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89" w:lineRule="exact"/>
        <w:rPr>
          <w:sz w:val="20"/>
          <w:szCs w:val="20"/>
          <w:color w:val="auto"/>
        </w:rPr>
      </w:pPr>
    </w:p>
    <w:p>
      <w:pPr>
        <w:ind w:right="40" w:firstLine="873"/>
        <w:spacing w:after="0" w:line="234"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For example, in February 2022 we executed a loan and security agreement (the "Credit Facility") with Hercules Capital, Inc. (“Hercules”) and Silicon Valley Bank (“SVB”), which restricts our ability to pursue certain transactions that we may believe to be in our best interests without the prior written consent of Hercules and SVB, including but not limited to, incurring additional indebtedness (subject to certain exceptions with respect to issuing convertible indebtedness), incurring additional liens (including a negative pledge on intellectual property), engaging in mergers, acquisitions and consolidations; conducting asset sales or exclusively licensing our assets in a transaction that constitutes legal transfer to such licensee, making investments and loans, engaging in certain corporate changes, transacting with affiliates, declaring dividends or making other distributions, and making payments on certain other indebtedness.</w:t>
      </w:r>
    </w:p>
    <w:p>
      <w:pPr>
        <w:spacing w:after="0" w:line="217" w:lineRule="exact"/>
        <w:rPr>
          <w:sz w:val="20"/>
          <w:szCs w:val="20"/>
          <w:color w:val="auto"/>
        </w:rPr>
      </w:pPr>
    </w:p>
    <w:p>
      <w:pPr>
        <w:ind w:right="140" w:firstLine="873"/>
        <w:spacing w:after="0" w:line="270" w:lineRule="auto"/>
        <w:rPr>
          <w:sz w:val="20"/>
          <w:szCs w:val="20"/>
          <w:color w:val="auto"/>
        </w:rPr>
      </w:pPr>
      <w:r>
        <w:rPr>
          <w:rFonts w:ascii="Arial" w:cs="Arial" w:eastAsia="Arial" w:hAnsi="Arial"/>
          <w:sz w:val="16"/>
          <w:szCs w:val="16"/>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right="280"/>
        <w:spacing w:after="0"/>
        <w:rPr>
          <w:sz w:val="20"/>
          <w:szCs w:val="20"/>
          <w:color w:val="auto"/>
        </w:rPr>
      </w:pPr>
      <w:r>
        <w:rPr>
          <w:rFonts w:ascii="Arial" w:cs="Arial" w:eastAsia="Arial" w:hAnsi="Arial"/>
          <w:sz w:val="18"/>
          <w:szCs w:val="18"/>
          <w:b w:val="1"/>
          <w:bCs w:val="1"/>
          <w:i w:val="1"/>
          <w:iCs w:val="1"/>
          <w:color w:val="auto"/>
        </w:rPr>
        <w:t>Our existing indebtedness may limit our flexibility in financing and operating our business and adversely affect our business, financial condition and results of operations.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2022 we entered into the Credit Facility with Hercules and SVB. The Credit Facility provides an aggregate principal amount of up to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$175 million with tranched availability as follows: $40 million at closing (with $20 million drawn in February 2022), $25 million upon NDA submission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TP-03, $35 million upon FDA approval of TP-03, and $75 million upon achievement of certain revenue thresholds and other conditions. Each of the tranches</w:t>
      </w:r>
    </w:p>
    <w:p>
      <w:pPr>
        <w:spacing w:after="0" w:line="233" w:lineRule="auto"/>
        <w:rPr>
          <w:sz w:val="20"/>
          <w:szCs w:val="20"/>
          <w:color w:val="auto"/>
        </w:rPr>
      </w:pPr>
      <w:r>
        <w:rPr>
          <w:rFonts w:ascii="Arial" w:cs="Arial" w:eastAsia="Arial" w:hAnsi="Arial"/>
          <w:sz w:val="17"/>
          <w:szCs w:val="17"/>
          <w:color w:val="auto"/>
        </w:rPr>
        <w:t>may be drawn down in $5 million increments at our election. In addition to these amounts, we may borrow substantial funds in the future to provide 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capital needed in our business and may secure the repayment of such borrowings by placing additional liens or other encumbrances on our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assets. Our Credit Facility contains customary conditions to borrowing, events of default and affirmative and negative covenants, including covenants that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restrict our ability to incur additional indebtedness, incur additional liens, conduct asset sales or exclusively license our assets in a transaction that constitutes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legal transfer to such licensee, make investments and loans, engage in certain corporate changes, transact with affiliates, or declare dividends or make other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distributions to holders of our stock. Such restrictions could limit our ability to take certain actions and could reduce our flexibility to run and manage our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business which could have an adverse effect on our results of operations. The obligations under the Credit Facility are secured by a first priority lien 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assets, excluding our intellectual property on which there is a negative pledge, subject to customary exceptions. If we were unable to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repay amounts due under the Credit Facility, Hercules and SVB could proceed against such assets. Any declaration by Hercules or SVB of an event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default could significantly harm our business and prospects and could cause the price of our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retain key employees, consultants and advisors and to attract, retain and motivate qualified personnel.</w:t>
      </w:r>
    </w:p>
    <w:p>
      <w:pPr>
        <w:spacing w:after="0" w:line="280" w:lineRule="exact"/>
        <w:rPr>
          <w:sz w:val="20"/>
          <w:szCs w:val="20"/>
          <w:color w:val="auto"/>
        </w:rPr>
      </w:pPr>
    </w:p>
    <w:p>
      <w:pPr>
        <w:jc w:val="both"/>
        <w:ind w:right="80" w:firstLine="873"/>
        <w:spacing w:after="0" w:line="289" w:lineRule="auto"/>
        <w:rPr>
          <w:sz w:val="20"/>
          <w:szCs w:val="20"/>
          <w:color w:val="auto"/>
        </w:rPr>
      </w:pPr>
      <w:r>
        <w:rPr>
          <w:rFonts w:ascii="Arial" w:cs="Arial" w:eastAsia="Arial" w:hAnsi="Arial"/>
          <w:sz w:val="16"/>
          <w:szCs w:val="16"/>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873"/>
        <w:spacing w:after="0" w:line="236" w:lineRule="auto"/>
        <w:rPr>
          <w:sz w:val="20"/>
          <w:szCs w:val="20"/>
          <w:color w:val="auto"/>
        </w:rPr>
      </w:pPr>
      <w:r>
        <w:rPr>
          <w:rFonts w:ascii="Arial" w:cs="Arial" w:eastAsia="Arial" w:hAnsi="Arial"/>
          <w:sz w:val="18"/>
          <w:szCs w:val="18"/>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217" w:lineRule="exact"/>
        <w:rPr>
          <w:sz w:val="20"/>
          <w:szCs w:val="20"/>
          <w:color w:val="auto"/>
        </w:rPr>
      </w:pPr>
    </w:p>
    <w:p>
      <w:pPr>
        <w:ind w:right="40" w:firstLine="873"/>
        <w:spacing w:after="0" w:line="252" w:lineRule="auto"/>
        <w:rPr>
          <w:sz w:val="20"/>
          <w:szCs w:val="20"/>
          <w:color w:val="auto"/>
        </w:rPr>
      </w:pPr>
      <w:r>
        <w:rPr>
          <w:rFonts w:ascii="Arial" w:cs="Arial" w:eastAsia="Arial" w:hAnsi="Arial"/>
          <w:sz w:val="17"/>
          <w:szCs w:val="17"/>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208" w:lineRule="exact"/>
        <w:rPr>
          <w:sz w:val="20"/>
          <w:szCs w:val="20"/>
          <w:color w:val="auto"/>
        </w:rPr>
      </w:pPr>
    </w:p>
    <w:p>
      <w:pPr>
        <w:ind w:right="80" w:firstLine="873"/>
        <w:spacing w:after="0" w:line="238" w:lineRule="auto"/>
        <w:rPr>
          <w:sz w:val="20"/>
          <w:szCs w:val="20"/>
          <w:color w:val="auto"/>
        </w:rPr>
      </w:pPr>
      <w:r>
        <w:rPr>
          <w:rFonts w:ascii="Arial" w:cs="Arial" w:eastAsia="Arial" w:hAnsi="Arial"/>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202" w:lineRule="exact"/>
        <w:rPr>
          <w:sz w:val="20"/>
          <w:szCs w:val="20"/>
          <w:color w:val="auto"/>
        </w:rPr>
      </w:pPr>
    </w:p>
    <w:p>
      <w:pPr>
        <w:ind w:firstLine="873"/>
        <w:spacing w:after="0" w:line="251" w:lineRule="auto"/>
        <w:rPr>
          <w:sz w:val="20"/>
          <w:szCs w:val="20"/>
          <w:color w:val="auto"/>
        </w:rPr>
      </w:pPr>
      <w:r>
        <w:rPr>
          <w:rFonts w:ascii="Arial" w:cs="Arial" w:eastAsia="Arial" w:hAnsi="Arial"/>
          <w:sz w:val="17"/>
          <w:szCs w:val="17"/>
          <w:color w:val="auto"/>
        </w:rPr>
        <w:t>As of December 31, 2021, we had 46 full-time employees.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206"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79" w:lineRule="exact"/>
        <w:rPr>
          <w:sz w:val="20"/>
          <w:szCs w:val="20"/>
          <w:color w:val="auto"/>
        </w:rPr>
      </w:pPr>
    </w:p>
    <w:p>
      <w:pPr>
        <w:jc w:val="both"/>
        <w:ind w:right="300" w:firstLine="873"/>
        <w:spacing w:after="0" w:line="289" w:lineRule="auto"/>
        <w:rPr>
          <w:sz w:val="20"/>
          <w:szCs w:val="20"/>
          <w:color w:val="auto"/>
        </w:rPr>
      </w:pPr>
      <w:r>
        <w:rPr>
          <w:rFonts w:ascii="Arial" w:cs="Arial" w:eastAsia="Arial" w:hAnsi="Arial"/>
          <w:sz w:val="16"/>
          <w:szCs w:val="16"/>
          <w:color w:val="auto"/>
        </w:rPr>
        <w:t>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151" w:lineRule="exact"/>
        <w:rPr>
          <w:sz w:val="20"/>
          <w:szCs w:val="20"/>
          <w:color w:val="auto"/>
        </w:rPr>
      </w:pPr>
    </w:p>
    <w:p>
      <w:pPr>
        <w:ind w:left="1000" w:hanging="311"/>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recruit, integrate, maintain and motivate additional qualified personnel;</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our development efforts effectively, including the initiation and conduct of clinical trials for our product candidates;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reporting systems and procedures.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firstLine="873"/>
        <w:spacing w:after="0" w:line="272" w:lineRule="auto"/>
        <w:rPr>
          <w:sz w:val="20"/>
          <w:szCs w:val="20"/>
          <w:color w:val="auto"/>
        </w:rPr>
      </w:pPr>
      <w:r>
        <w:rPr>
          <w:rFonts w:ascii="Arial" w:cs="Arial" w:eastAsia="Arial" w:hAnsi="Arial"/>
          <w:sz w:val="16"/>
          <w:szCs w:val="16"/>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193" w:lineRule="exact"/>
        <w:rPr>
          <w:sz w:val="20"/>
          <w:szCs w:val="20"/>
          <w:color w:val="auto"/>
        </w:rPr>
      </w:pPr>
    </w:p>
    <w:p>
      <w:pPr>
        <w:ind w:right="80" w:firstLine="873"/>
        <w:spacing w:after="0" w:line="251"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210" w:lineRule="exact"/>
        <w:rPr>
          <w:sz w:val="20"/>
          <w:szCs w:val="20"/>
          <w:color w:val="auto"/>
        </w:rPr>
      </w:pPr>
    </w:p>
    <w:p>
      <w:pPr>
        <w:ind w:firstLine="873"/>
        <w:spacing w:after="0" w:line="237"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18"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66" w:lineRule="exact"/>
        <w:rPr>
          <w:sz w:val="20"/>
          <w:szCs w:val="20"/>
          <w:color w:val="auto"/>
        </w:rPr>
      </w:pPr>
    </w:p>
    <w:p>
      <w:pPr>
        <w:ind w:firstLine="873"/>
        <w:spacing w:after="0" w:line="235" w:lineRule="auto"/>
        <w:rPr>
          <w:sz w:val="20"/>
          <w:szCs w:val="20"/>
          <w:color w:val="auto"/>
        </w:rPr>
      </w:pPr>
      <w:r>
        <w:rPr>
          <w:rFonts w:ascii="Arial" w:cs="Arial" w:eastAsia="Arial" w:hAnsi="Arial"/>
          <w:sz w:val="17"/>
          <w:szCs w:val="17"/>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our Credit Facility may restrict our ability to pursue certain mergers, acquisitions or consolidations without obtaining the prior consent of Hercules and SVB or repaying our outstanding loan amounts. Further, if the All Human Uses Elanco Agreement is not terminated, or if we have not provided notice to terminate the All Human Uses Elanco Agreement, within 18 months of its effective date, we will be required to issue Elanco additional shares of our common stock equating to $3.0 million of aggregate value.</w:t>
      </w:r>
    </w:p>
    <w:p>
      <w:pPr>
        <w:spacing w:after="0" w:line="217" w:lineRule="exact"/>
        <w:rPr>
          <w:sz w:val="20"/>
          <w:szCs w:val="20"/>
          <w:color w:val="auto"/>
        </w:rPr>
      </w:pPr>
    </w:p>
    <w:p>
      <w:pPr>
        <w:ind w:right="20" w:firstLine="873"/>
        <w:spacing w:after="0" w:line="275" w:lineRule="auto"/>
        <w:rPr>
          <w:sz w:val="20"/>
          <w:szCs w:val="20"/>
          <w:color w:val="auto"/>
        </w:rPr>
      </w:pPr>
      <w:r>
        <w:rPr>
          <w:rFonts w:ascii="Arial" w:cs="Arial" w:eastAsia="Arial" w:hAnsi="Arial"/>
          <w:sz w:val="16"/>
          <w:szCs w:val="16"/>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9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fires or other natural disasters, or geopolitical events and our business continuity and disaster recovery plans may not adequately protect us from a serious disaster.</w:t>
      </w:r>
    </w:p>
    <w:p>
      <w:pPr>
        <w:spacing w:after="0" w:line="179" w:lineRule="exact"/>
        <w:rPr>
          <w:sz w:val="20"/>
          <w:szCs w:val="20"/>
          <w:color w:val="auto"/>
        </w:rPr>
      </w:pPr>
    </w:p>
    <w:p>
      <w:pPr>
        <w:ind w:right="120" w:firstLine="873"/>
        <w:spacing w:after="0" w:line="275" w:lineRule="auto"/>
        <w:rPr>
          <w:sz w:val="20"/>
          <w:szCs w:val="20"/>
          <w:color w:val="auto"/>
        </w:rPr>
      </w:pPr>
      <w:r>
        <w:rPr>
          <w:rFonts w:ascii="Arial" w:cs="Arial" w:eastAsia="Arial" w:hAnsi="Arial"/>
          <w:sz w:val="16"/>
          <w:szCs w:val="16"/>
          <w:color w:val="auto"/>
        </w:rPr>
        <w:t>Any unplanned event, such as earthquakes, fires, flood, explosion, extreme weather, medical epidemic,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34" w:lineRule="exact"/>
        <w:rPr>
          <w:sz w:val="20"/>
          <w:szCs w:val="20"/>
          <w:color w:val="auto"/>
        </w:rPr>
      </w:pPr>
    </w:p>
    <w:p>
      <w:pPr>
        <w:ind w:right="20" w:firstLine="873"/>
        <w:spacing w:after="0" w:line="25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34" w:lineRule="exact"/>
        <w:rPr>
          <w:sz w:val="20"/>
          <w:szCs w:val="20"/>
          <w:color w:val="auto"/>
        </w:rPr>
      </w:pPr>
    </w:p>
    <w:p>
      <w:pPr>
        <w:ind w:right="60" w:firstLine="873"/>
        <w:spacing w:after="0" w:line="250" w:lineRule="auto"/>
        <w:rPr>
          <w:sz w:val="20"/>
          <w:szCs w:val="20"/>
          <w:color w:val="auto"/>
        </w:rPr>
      </w:pPr>
      <w:r>
        <w:rPr>
          <w:rFonts w:ascii="Arial" w:cs="Arial" w:eastAsia="Arial" w:hAnsi="Arial"/>
          <w:sz w:val="17"/>
          <w:szCs w:val="17"/>
          <w:color w:val="auto"/>
        </w:rPr>
        <w:t>We have incurred substantial losses during our history which we expect to continue, do not expect to become profitable in the near future, and we may never achieve profitability.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and the implementation of such reforms could adversely affect us.</w:t>
      </w:r>
    </w:p>
    <w:p>
      <w:pPr>
        <w:spacing w:after="0" w:line="234" w:lineRule="exact"/>
        <w:rPr>
          <w:sz w:val="20"/>
          <w:szCs w:val="20"/>
          <w:color w:val="auto"/>
        </w:rPr>
      </w:pPr>
    </w:p>
    <w:p>
      <w:pPr>
        <w:ind w:firstLine="873"/>
        <w:spacing w:after="0" w:line="250" w:lineRule="auto"/>
        <w:rPr>
          <w:sz w:val="20"/>
          <w:szCs w:val="20"/>
          <w:color w:val="auto"/>
        </w:rPr>
      </w:pPr>
      <w:r>
        <w:rPr>
          <w:rFonts w:ascii="Arial" w:cs="Arial" w:eastAsia="Arial" w:hAnsi="Arial"/>
          <w:sz w:val="17"/>
          <w:szCs w:val="17"/>
          <w:color w:val="auto"/>
        </w:rPr>
        <w:t>On December 22, 2017, the U.S. enacted the “Tax Cuts and Jobs Act” (the “ TCJA”) that significantly reformed the Code. The TCJA, among other things, includes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211" w:lineRule="exact"/>
        <w:rPr>
          <w:sz w:val="20"/>
          <w:szCs w:val="20"/>
          <w:color w:val="auto"/>
        </w:rPr>
      </w:pPr>
    </w:p>
    <w:p>
      <w:pPr>
        <w:ind w:right="120" w:firstLine="873"/>
        <w:spacing w:after="0" w:line="268" w:lineRule="auto"/>
        <w:rPr>
          <w:sz w:val="20"/>
          <w:szCs w:val="20"/>
          <w:color w:val="auto"/>
        </w:rPr>
      </w:pPr>
      <w:r>
        <w:rPr>
          <w:rFonts w:ascii="Arial" w:cs="Arial" w:eastAsia="Arial" w:hAnsi="Arial"/>
          <w:sz w:val="16"/>
          <w:szCs w:val="16"/>
          <w:color w:val="auto"/>
        </w:rPr>
        <w:t>As part of Congress’s response to the COVID-19 pandemic, the Families First Coronavirus Response Act (“FFCR Act”) was enacted on March 18, 2020, and the Coronavirus Aid, Relief, and Economic Security Act (“CARES Act”) was enacted on March 27, 2020. Both contain numerous tax provisions. In particular, the CARES Act retroactively and temporarily (for taxable years beginning before January 1, 2021) suspends application of the</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216" w:lineRule="exact"/>
        <w:rPr>
          <w:sz w:val="20"/>
          <w:szCs w:val="20"/>
          <w:color w:val="auto"/>
        </w:rPr>
      </w:pPr>
    </w:p>
    <w:p>
      <w:pPr>
        <w:ind w:right="140" w:firstLine="873"/>
        <w:spacing w:after="0" w:line="244" w:lineRule="auto"/>
        <w:rPr>
          <w:sz w:val="20"/>
          <w:szCs w:val="20"/>
          <w:color w:val="auto"/>
        </w:rPr>
      </w:pPr>
      <w:r>
        <w:rPr>
          <w:rFonts w:ascii="Arial" w:cs="Arial" w:eastAsia="Arial" w:hAnsi="Arial"/>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impact on our company. In addition, it is uncertain if and to what extent various states will conform to the TCJA, the FFCR Act or the CARES Act.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238"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99" w:lineRule="exact"/>
        <w:rPr>
          <w:sz w:val="20"/>
          <w:szCs w:val="20"/>
          <w:color w:val="auto"/>
        </w:rPr>
      </w:pPr>
    </w:p>
    <w:p>
      <w:pPr>
        <w:ind w:firstLine="873"/>
        <w:spacing w:after="0" w:line="267"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96" w:lineRule="exact"/>
        <w:rPr>
          <w:sz w:val="20"/>
          <w:szCs w:val="20"/>
          <w:color w:val="auto"/>
        </w:rPr>
      </w:pPr>
    </w:p>
    <w:p>
      <w:pPr>
        <w:ind w:firstLine="873"/>
        <w:spacing w:after="0" w:line="248" w:lineRule="auto"/>
        <w:rPr>
          <w:sz w:val="20"/>
          <w:szCs w:val="20"/>
          <w:color w:val="auto"/>
        </w:rPr>
      </w:pPr>
      <w:r>
        <w:rPr>
          <w:rFonts w:ascii="Arial" w:cs="Arial" w:eastAsia="Arial" w:hAnsi="Arial"/>
          <w:sz w:val="17"/>
          <w:szCs w:val="17"/>
          <w:color w:val="auto"/>
        </w:rPr>
        <w:t>We have not yet completed any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219" w:lineRule="exact"/>
        <w:rPr>
          <w:sz w:val="20"/>
          <w:szCs w:val="20"/>
          <w:color w:val="auto"/>
        </w:rPr>
      </w:pPr>
    </w:p>
    <w:p>
      <w:pPr>
        <w:ind w:firstLine="873"/>
        <w:spacing w:after="0" w:line="267" w:lineRule="auto"/>
        <w:rPr>
          <w:sz w:val="20"/>
          <w:szCs w:val="20"/>
          <w:color w:val="auto"/>
        </w:rPr>
      </w:pPr>
      <w:r>
        <w:rPr>
          <w:rFonts w:ascii="Arial" w:cs="Arial" w:eastAsia="Arial" w:hAnsi="Arial"/>
          <w:sz w:val="16"/>
          <w:szCs w:val="16"/>
          <w:color w:val="auto"/>
        </w:rPr>
        <w:t>We currently have two product candidates in clinical development and their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firstLine="873"/>
        <w:spacing w:after="0" w:line="267" w:lineRule="auto"/>
        <w:rPr>
          <w:sz w:val="20"/>
          <w:szCs w:val="20"/>
          <w:color w:val="auto"/>
        </w:rPr>
      </w:pPr>
      <w:r>
        <w:rPr>
          <w:rFonts w:ascii="Arial" w:cs="Arial" w:eastAsia="Arial" w:hAnsi="Arial"/>
          <w:sz w:val="16"/>
          <w:szCs w:val="16"/>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has recommended that for TP-03 we conduct carcinogenicity testing as well as embryofetal development studies in a second species. Any further recommendations by the FDA could cause delay of any regulatory approval by the FDA and cause our expenses to increase.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173" w:lineRule="exact"/>
        <w:rPr>
          <w:sz w:val="20"/>
          <w:szCs w:val="20"/>
          <w:color w:val="auto"/>
        </w:rPr>
      </w:pPr>
    </w:p>
    <w:p>
      <w:pPr>
        <w:ind w:left="1020" w:right="40" w:hanging="331"/>
        <w:spacing w:after="0" w:line="284" w:lineRule="auto"/>
        <w:tabs>
          <w:tab w:leader="none" w:pos="10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52" w:lineRule="exact"/>
        <w:rPr>
          <w:rFonts w:ascii="Arial" w:cs="Arial" w:eastAsia="Arial" w:hAnsi="Arial"/>
          <w:sz w:val="17"/>
          <w:szCs w:val="17"/>
          <w:color w:val="auto"/>
        </w:rPr>
      </w:pPr>
    </w:p>
    <w:p>
      <w:pPr>
        <w:ind w:left="1020" w:right="100" w:hanging="331"/>
        <w:spacing w:after="0" w:line="271" w:lineRule="auto"/>
        <w:tabs>
          <w:tab w:leader="none" w:pos="10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74" w:lineRule="exact"/>
        <w:rPr>
          <w:rFonts w:ascii="Arial" w:cs="Arial" w:eastAsia="Arial" w:hAnsi="Arial"/>
          <w:sz w:val="18"/>
          <w:szCs w:val="18"/>
          <w:color w:val="auto"/>
        </w:rPr>
      </w:pPr>
    </w:p>
    <w:p>
      <w:pPr>
        <w:ind w:left="1020" w:right="360" w:hanging="331"/>
        <w:spacing w:after="0" w:line="271" w:lineRule="auto"/>
        <w:tabs>
          <w:tab w:leader="none" w:pos="10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74" w:lineRule="exact"/>
        <w:rPr>
          <w:rFonts w:ascii="Arial" w:cs="Arial" w:eastAsia="Arial" w:hAnsi="Arial"/>
          <w:sz w:val="18"/>
          <w:szCs w:val="18"/>
          <w:color w:val="auto"/>
        </w:rPr>
      </w:pPr>
    </w:p>
    <w:p>
      <w:pPr>
        <w:ind w:left="1020" w:right="160" w:hanging="331"/>
        <w:spacing w:after="0" w:line="259" w:lineRule="auto"/>
        <w:tabs>
          <w:tab w:leader="none" w:pos="10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185" w:lineRule="exact"/>
        <w:rPr>
          <w:rFonts w:ascii="Arial" w:cs="Arial" w:eastAsia="Arial" w:hAnsi="Arial"/>
          <w:sz w:val="18"/>
          <w:szCs w:val="18"/>
          <w:color w:val="auto"/>
        </w:rPr>
      </w:pPr>
    </w:p>
    <w:p>
      <w:pPr>
        <w:ind w:left="1020" w:right="220" w:hanging="331"/>
        <w:spacing w:after="0" w:line="259" w:lineRule="auto"/>
        <w:tabs>
          <w:tab w:leader="none" w:pos="10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85" w:lineRule="exact"/>
        <w:rPr>
          <w:rFonts w:ascii="Arial" w:cs="Arial" w:eastAsia="Arial" w:hAnsi="Arial"/>
          <w:sz w:val="18"/>
          <w:szCs w:val="18"/>
          <w:color w:val="auto"/>
        </w:rPr>
      </w:pPr>
    </w:p>
    <w:p>
      <w:pPr>
        <w:ind w:left="1000" w:hanging="311"/>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w:t>
      </w:r>
    </w:p>
    <w:p>
      <w:pPr>
        <w:spacing w:after="0" w:line="232" w:lineRule="exact"/>
        <w:rPr>
          <w:rFonts w:ascii="Arial" w:cs="Arial" w:eastAsia="Arial" w:hAnsi="Arial"/>
          <w:sz w:val="17"/>
          <w:szCs w:val="17"/>
          <w:color w:val="auto"/>
        </w:rPr>
      </w:pPr>
    </w:p>
    <w:p>
      <w:pPr>
        <w:ind w:left="1020" w:right="120" w:hanging="331"/>
        <w:spacing w:after="0" w:line="271" w:lineRule="auto"/>
        <w:tabs>
          <w:tab w:leader="none" w:pos="10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74" w:lineRule="exact"/>
        <w:rPr>
          <w:rFonts w:ascii="Arial" w:cs="Arial" w:eastAsia="Arial" w:hAnsi="Arial"/>
          <w:sz w:val="18"/>
          <w:szCs w:val="18"/>
          <w:color w:val="auto"/>
        </w:rPr>
      </w:pPr>
    </w:p>
    <w:p>
      <w:pPr>
        <w:ind w:left="1020" w:right="640" w:hanging="331"/>
        <w:spacing w:after="0" w:line="271" w:lineRule="auto"/>
        <w:tabs>
          <w:tab w:leader="none" w:pos="10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be delayed;</w:t>
      </w:r>
    </w:p>
    <w:p>
      <w:pPr>
        <w:spacing w:after="0" w:line="174" w:lineRule="exact"/>
        <w:rPr>
          <w:rFonts w:ascii="Arial" w:cs="Arial" w:eastAsia="Arial" w:hAnsi="Arial"/>
          <w:sz w:val="18"/>
          <w:szCs w:val="18"/>
          <w:color w:val="auto"/>
        </w:rPr>
      </w:pPr>
    </w:p>
    <w:p>
      <w:pPr>
        <w:ind w:left="1020" w:right="340" w:hanging="331"/>
        <w:spacing w:after="0" w:line="271" w:lineRule="auto"/>
        <w:tabs>
          <w:tab w:leader="none" w:pos="10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determine that the planned design of our clinical trials is flawed or inadequate;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a product or impose restrictions on its distribution;</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timely or at all obtain INDs for a product candidate;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modify a preclinical study or clinical trial protocol;</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third-party contractors may fail to comply with regulatory requirements or meet their contractual obligations to us in a timely manner, or at all;</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20" w:hanging="331"/>
        <w:spacing w:after="0" w:line="301" w:lineRule="auto"/>
        <w:tabs>
          <w:tab w:leader="none" w:pos="10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151" w:lineRule="exact"/>
        <w:rPr>
          <w:rFonts w:ascii="Arial" w:cs="Arial" w:eastAsia="Arial" w:hAnsi="Arial"/>
          <w:sz w:val="17"/>
          <w:szCs w:val="17"/>
          <w:color w:val="auto"/>
        </w:rPr>
      </w:pPr>
    </w:p>
    <w:p>
      <w:pPr>
        <w:ind w:left="1020" w:right="40" w:hanging="331"/>
        <w:spacing w:after="0" w:line="259"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delays due to the ongoing COVID-19 pandemic, including with respect to the conduct of ongoing clinical trials, receipt of product candidates or other materials, submission of New Drug Applications ("NDAs"), filing of INDs, and starting any clinical trials for other indications or programs; and</w:t>
      </w:r>
    </w:p>
    <w:p>
      <w:pPr>
        <w:spacing w:after="0" w:line="185" w:lineRule="exact"/>
        <w:rPr>
          <w:rFonts w:ascii="Arial" w:cs="Arial" w:eastAsia="Arial" w:hAnsi="Arial"/>
          <w:sz w:val="18"/>
          <w:szCs w:val="18"/>
          <w:color w:val="auto"/>
        </w:rPr>
      </w:pPr>
    </w:p>
    <w:p>
      <w:pPr>
        <w:ind w:left="1020" w:right="160" w:hanging="331"/>
        <w:spacing w:after="0" w:line="259"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213" w:lineRule="exact"/>
        <w:rPr>
          <w:sz w:val="20"/>
          <w:szCs w:val="20"/>
          <w:color w:val="auto"/>
        </w:rPr>
      </w:pPr>
    </w:p>
    <w:p>
      <w:pPr>
        <w:ind w:firstLine="883"/>
        <w:spacing w:after="0"/>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88" w:lineRule="exact"/>
        <w:rPr>
          <w:sz w:val="20"/>
          <w:szCs w:val="20"/>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48" w:lineRule="exact"/>
        <w:rPr>
          <w:sz w:val="20"/>
          <w:szCs w:val="20"/>
          <w:color w:val="auto"/>
        </w:rPr>
      </w:pPr>
    </w:p>
    <w:p>
      <w:pPr>
        <w:ind w:right="40" w:firstLine="883"/>
        <w:spacing w:after="0" w:line="269" w:lineRule="auto"/>
        <w:rPr>
          <w:sz w:val="20"/>
          <w:szCs w:val="20"/>
          <w:color w:val="auto"/>
        </w:rPr>
      </w:pPr>
      <w:r>
        <w:rPr>
          <w:rFonts w:ascii="Arial" w:cs="Arial" w:eastAsia="Arial" w:hAnsi="Arial"/>
          <w:sz w:val="16"/>
          <w:szCs w:val="16"/>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9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17" w:lineRule="exact"/>
        <w:rPr>
          <w:sz w:val="20"/>
          <w:szCs w:val="20"/>
          <w:color w:val="auto"/>
        </w:rPr>
      </w:pPr>
    </w:p>
    <w:p>
      <w:pPr>
        <w:ind w:right="60" w:firstLine="873"/>
        <w:spacing w:after="0" w:line="255" w:lineRule="auto"/>
        <w:rPr>
          <w:sz w:val="20"/>
          <w:szCs w:val="20"/>
          <w:color w:val="auto"/>
        </w:rPr>
      </w:pPr>
      <w:r>
        <w:rPr>
          <w:rFonts w:ascii="Arial" w:cs="Arial" w:eastAsia="Arial" w:hAnsi="Arial"/>
          <w:sz w:val="17"/>
          <w:szCs w:val="17"/>
          <w:color w:val="auto"/>
        </w:rPr>
        <w:t>If TP-03 or any other product candidate that we are developing or develop receives marketing approval, it may nonetheless fail to gain sufficient market acceptance by ECPs or other healthcare providers, patients, 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firstLine="873"/>
        <w:spacing w:after="0" w:line="268" w:lineRule="auto"/>
        <w:rPr>
          <w:sz w:val="20"/>
          <w:szCs w:val="20"/>
          <w:color w:val="auto"/>
        </w:rPr>
      </w:pPr>
      <w:r>
        <w:rPr>
          <w:rFonts w:ascii="Arial" w:cs="Arial" w:eastAsia="Arial" w:hAnsi="Arial"/>
          <w:sz w:val="16"/>
          <w:szCs w:val="16"/>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tenant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likelihood that the disease will recur despite mite eradication and the necessity for periodic use of TP-03.</w:t>
      </w:r>
    </w:p>
    <w:p>
      <w:pPr>
        <w:spacing w:after="0" w:line="197" w:lineRule="exact"/>
        <w:rPr>
          <w:sz w:val="20"/>
          <w:szCs w:val="20"/>
          <w:color w:val="auto"/>
        </w:rPr>
      </w:pPr>
    </w:p>
    <w:p>
      <w:pPr>
        <w:ind w:right="260" w:firstLine="873"/>
        <w:spacing w:after="0" w:line="289" w:lineRule="auto"/>
        <w:rPr>
          <w:sz w:val="20"/>
          <w:szCs w:val="20"/>
          <w:color w:val="auto"/>
        </w:rPr>
      </w:pPr>
      <w:r>
        <w:rPr>
          <w:rFonts w:ascii="Arial" w:cs="Arial" w:eastAsia="Arial" w:hAnsi="Arial"/>
          <w:sz w:val="16"/>
          <w:szCs w:val="16"/>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178" w:lineRule="exact"/>
        <w:rPr>
          <w:sz w:val="20"/>
          <w:szCs w:val="20"/>
          <w:color w:val="auto"/>
        </w:rPr>
      </w:pPr>
    </w:p>
    <w:p>
      <w:pPr>
        <w:ind w:right="20" w:firstLine="873"/>
        <w:spacing w:after="0" w:line="265" w:lineRule="auto"/>
        <w:rPr>
          <w:sz w:val="20"/>
          <w:szCs w:val="20"/>
          <w:color w:val="auto"/>
        </w:rPr>
      </w:pPr>
      <w:r>
        <w:rPr>
          <w:rFonts w:ascii="Arial" w:cs="Arial" w:eastAsia="Arial" w:hAnsi="Arial"/>
          <w:sz w:val="17"/>
          <w:szCs w:val="17"/>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168" w:lineRule="exact"/>
        <w:rPr>
          <w:sz w:val="20"/>
          <w:szCs w:val="20"/>
          <w:color w:val="auto"/>
        </w:rPr>
      </w:pPr>
    </w:p>
    <w:p>
      <w:pPr>
        <w:ind w:left="1020" w:right="240" w:hanging="331"/>
        <w:spacing w:after="0" w:line="255"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75"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 particularly in light of the lower cost of alternative treatments;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ECPs to prescribe these therapies;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strength and effectiveness of our marketing and distribution support, which may be adversely impacted by the COVID-19 pandemic;</w:t>
      </w:r>
    </w:p>
    <w:p>
      <w:pPr>
        <w:spacing w:after="0" w:line="232" w:lineRule="exact"/>
        <w:rPr>
          <w:rFonts w:ascii="Arial" w:cs="Arial" w:eastAsia="Arial" w:hAnsi="Arial"/>
          <w:sz w:val="17"/>
          <w:szCs w:val="17"/>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by patients or physicians that the diseases we are targeting, including Demodex blepharitis, are not burdensome;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for our competitors to limit our access to the market through anti-competitive contracts or other arrangements;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third-party formulary coverage and adequate reimbursement;</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product candidates still require significant testing. We only recently began clinical trials to test TP-03 in humans and, as a company, we have limited experience in this area.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40" w:firstLine="873"/>
        <w:spacing w:after="0"/>
        <w:rPr>
          <w:sz w:val="20"/>
          <w:szCs w:val="20"/>
          <w:color w:val="auto"/>
        </w:rPr>
      </w:pPr>
      <w:r>
        <w:rPr>
          <w:rFonts w:ascii="Arial" w:cs="Arial" w:eastAsia="Arial" w:hAnsi="Arial"/>
          <w:sz w:val="18"/>
          <w:szCs w:val="18"/>
          <w:color w:val="auto"/>
        </w:rPr>
        <w:t>Most of our operations to date have been limited to preclinical studies and clinical trials. We announced the results of our Phase 2b/3 Saturn-1 trial in June 2021 and recently completed enrollment of our Phase 3 Saturn-2 trial on February 2, 2022, both for TP-03 for the treatment of Demodex blepharitis. We have also completed Phase 2 clinical trials for the same indication. As a result, we will need to expand our clinical operations, quality and regulatory capabilities to support these activities.</w:t>
      </w:r>
    </w:p>
    <w:p>
      <w:pPr>
        <w:spacing w:after="0" w:line="215" w:lineRule="exact"/>
        <w:rPr>
          <w:sz w:val="20"/>
          <w:szCs w:val="20"/>
          <w:color w:val="auto"/>
        </w:rPr>
      </w:pPr>
    </w:p>
    <w:p>
      <w:pPr>
        <w:ind w:right="20" w:firstLine="873"/>
        <w:spacing w:after="0" w:line="264" w:lineRule="auto"/>
        <w:rPr>
          <w:sz w:val="20"/>
          <w:szCs w:val="20"/>
          <w:color w:val="auto"/>
        </w:rPr>
      </w:pPr>
      <w:r>
        <w:rPr>
          <w:rFonts w:ascii="Arial" w:cs="Arial" w:eastAsia="Arial" w:hAnsi="Arial"/>
          <w:sz w:val="16"/>
          <w:szCs w:val="16"/>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MGD, we intend to rely on preclinical studies and clinical safety assessments from the Demodex blepharitis program. We have not conducted and do not intend to conduct any preclinical studies with TP-03 for the treatment of MGD in order to advance to Phase 2a. For our preservative-free formulation of Demodex blepharitis, we intend to leverage all preclinical, Phase 2 and Phase 3 data from our TP-03 Demodex blepharitis program. We intend to conduct in vitro or in vivo bioequivalence studies with our preservative-free formulation to compare it to the current preserved formulation of TP-03 in Demodex blepharitis after NDA submission and file a supplement. For rosacea, we intend to leverage data from TP-03 preclinical studies and augment with additional preclinical studies to select formulation in order to advance to Phase 1/2, subject to FDA feedback. We have not conducted any preclinical studies in rosacea with TP-04 to date. With respect to Lyme disease and community malaria reduction, we initiated the Callisto Trial for TP-05 with data expected in the first half of 2022. The Callisto Trial is a single ascending dose and multiple ascending dose trial to evaluate the safety, tolerability and PK of TP-05 in healthy volunteers. In relation to malaria, we may conduct our Phase 1/2 trial outside the U.S.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malaria and require us to conduct additional preclinical studies before advancing to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200" w:lineRule="exact"/>
        <w:rPr>
          <w:sz w:val="20"/>
          <w:szCs w:val="20"/>
          <w:color w:val="auto"/>
        </w:rPr>
      </w:pPr>
    </w:p>
    <w:p>
      <w:pPr>
        <w:spacing w:after="0" w:line="209" w:lineRule="exact"/>
        <w:rPr>
          <w:sz w:val="20"/>
          <w:szCs w:val="20"/>
          <w:color w:val="auto"/>
        </w:rPr>
      </w:pPr>
    </w:p>
    <w:p>
      <w:pPr>
        <w:ind w:right="60" w:firstLine="873"/>
        <w:spacing w:after="0" w:line="238" w:lineRule="auto"/>
        <w:rPr>
          <w:sz w:val="20"/>
          <w:szCs w:val="20"/>
          <w:color w:val="auto"/>
        </w:rPr>
      </w:pPr>
      <w:r>
        <w:rPr>
          <w:rFonts w:ascii="Arial" w:cs="Arial" w:eastAsia="Arial" w:hAnsi="Arial"/>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FDA or other comparable foreign regulatory authorities, or that, if approval is obtained, such product candidates can be successfully commercialized.</w:t>
      </w:r>
    </w:p>
    <w:p>
      <w:pPr>
        <w:spacing w:after="0" w:line="24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Our Phase 1 and Phase 2 clinical trials have been small, and we may not be able to replicate our results from completed trials in our Saturn-2 Phase 3 trial.</w:t>
      </w:r>
    </w:p>
    <w:p>
      <w:pPr>
        <w:spacing w:after="0" w:line="189" w:lineRule="exact"/>
        <w:rPr>
          <w:sz w:val="20"/>
          <w:szCs w:val="20"/>
          <w:color w:val="auto"/>
        </w:rPr>
      </w:pPr>
    </w:p>
    <w:p>
      <w:pPr>
        <w:ind w:firstLine="873"/>
        <w:spacing w:after="0" w:line="252" w:lineRule="auto"/>
        <w:rPr>
          <w:sz w:val="20"/>
          <w:szCs w:val="20"/>
          <w:color w:val="auto"/>
        </w:rPr>
      </w:pPr>
      <w:r>
        <w:rPr>
          <w:rFonts w:ascii="Arial" w:cs="Arial" w:eastAsia="Arial" w:hAnsi="Arial"/>
          <w:sz w:val="16"/>
          <w:szCs w:val="16"/>
          <w:color w:val="auto"/>
        </w:rPr>
        <w:t>Our Phase 1 and Phase 2 clinical trials conducted to date, including for TP-03 for the treatment of Demodex blepharitis, have been small, each with fewer than 60 persons. Our Saturn-1 Phase 2b/3 trial completed enrollment of 421 patients and our Saturn-2 Phase 3 trial completed enrollment for 412 patients. While our Saturn-1 trial and our other previous clinical trials for TP-03 in Demodex blepharitis met their primary, secondary and/or exploratory endpoints and TP-03 was well tolerated, additional risks may materialize in our Saturn-2 trial or other trials, including previously unidentified low incidence safety risks or lack of efficacy risks.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If we encounter difficulties or delays enrolling patients in our clinical trials, our clinical development activities could be delayed or otherwise adversely affected.</w:t>
      </w:r>
    </w:p>
    <w:p>
      <w:pPr>
        <w:spacing w:after="0" w:line="202" w:lineRule="exact"/>
        <w:rPr>
          <w:sz w:val="20"/>
          <w:szCs w:val="20"/>
          <w:color w:val="auto"/>
        </w:rPr>
      </w:pPr>
    </w:p>
    <w:p>
      <w:pPr>
        <w:ind w:right="240" w:firstLine="873"/>
        <w:spacing w:after="0"/>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188" w:lineRule="exact"/>
        <w:rPr>
          <w:sz w:val="20"/>
          <w:szCs w:val="20"/>
          <w:color w:val="auto"/>
        </w:rPr>
      </w:pPr>
    </w:p>
    <w:p>
      <w:pPr>
        <w:ind w:left="1000" w:hanging="31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hanging="31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size of the patient population required for analysis of the trial’s primary endpoints;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0" w:lineRule="exact"/>
        <w:rPr>
          <w:rFonts w:ascii="Arial" w:cs="Arial" w:eastAsia="Arial" w:hAnsi="Arial"/>
          <w:sz w:val="18"/>
          <w:szCs w:val="18"/>
          <w:color w:val="auto"/>
        </w:rPr>
      </w:pPr>
    </w:p>
    <w:p>
      <w:pPr>
        <w:ind w:left="1020" w:right="660" w:hanging="331"/>
        <w:spacing w:after="0" w:line="271" w:lineRule="auto"/>
        <w:tabs>
          <w:tab w:leader="none" w:pos="10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or lack of adequate compensation for, prospective patients;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difficulties of enrolling patients or patients continuing to participate in follow-up visits due to the ongoing COVID-19 pandemic; and</w:t>
      </w:r>
    </w:p>
    <w:p>
      <w:pPr>
        <w:spacing w:after="0" w:line="232" w:lineRule="exact"/>
        <w:rPr>
          <w:rFonts w:ascii="Arial" w:cs="Arial" w:eastAsia="Arial" w:hAnsi="Arial"/>
          <w:sz w:val="17"/>
          <w:szCs w:val="17"/>
          <w:color w:val="auto"/>
        </w:rPr>
      </w:pPr>
    </w:p>
    <w:p>
      <w:pPr>
        <w:ind w:left="1000" w:hanging="31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48" w:lineRule="exact"/>
        <w:rPr>
          <w:sz w:val="20"/>
          <w:szCs w:val="20"/>
          <w:color w:val="auto"/>
        </w:rPr>
      </w:pPr>
    </w:p>
    <w:p>
      <w:pPr>
        <w:ind w:right="120" w:firstLine="883"/>
        <w:spacing w:after="0" w:line="241" w:lineRule="auto"/>
        <w:rPr>
          <w:sz w:val="20"/>
          <w:szCs w:val="20"/>
          <w:color w:val="auto"/>
        </w:rPr>
      </w:pPr>
      <w:r>
        <w:rPr>
          <w:rFonts w:ascii="Arial" w:cs="Arial" w:eastAsia="Arial" w:hAnsi="Arial"/>
          <w:sz w:val="18"/>
          <w:szCs w:val="18"/>
          <w:color w:val="auto"/>
        </w:rPr>
        <w:t>In addition, our clinical trials may compete with other clinical trials for product candidates that are in the same therapeutic areas as our product candidates, and this competition would reduce the number and types of</w:t>
      </w:r>
    </w:p>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206" w:lineRule="exact"/>
        <w:rPr>
          <w:sz w:val="20"/>
          <w:szCs w:val="20"/>
          <w:color w:val="auto"/>
        </w:rPr>
      </w:pPr>
    </w:p>
    <w:p>
      <w:pPr>
        <w:jc w:val="both"/>
        <w:ind w:firstLine="873"/>
        <w:spacing w:after="0" w:line="255"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202"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85" w:lineRule="exact"/>
        <w:rPr>
          <w:sz w:val="20"/>
          <w:szCs w:val="20"/>
          <w:color w:val="auto"/>
        </w:rPr>
      </w:pPr>
    </w:p>
    <w:p>
      <w:pPr>
        <w:ind w:right="120" w:firstLine="873"/>
        <w:spacing w:after="0" w:line="244"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211" w:lineRule="exact"/>
        <w:rPr>
          <w:sz w:val="20"/>
          <w:szCs w:val="20"/>
          <w:color w:val="auto"/>
        </w:rPr>
      </w:pPr>
    </w:p>
    <w:p>
      <w:pPr>
        <w:ind w:right="20" w:firstLine="873"/>
        <w:spacing w:after="0" w:line="272" w:lineRule="auto"/>
        <w:rPr>
          <w:sz w:val="20"/>
          <w:szCs w:val="20"/>
          <w:color w:val="auto"/>
        </w:rPr>
      </w:pPr>
      <w:r>
        <w:rPr>
          <w:rFonts w:ascii="Arial" w:cs="Arial" w:eastAsia="Arial" w:hAnsi="Arial"/>
          <w:sz w:val="16"/>
          <w:szCs w:val="16"/>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93" w:lineRule="exact"/>
        <w:rPr>
          <w:sz w:val="20"/>
          <w:szCs w:val="20"/>
          <w:color w:val="auto"/>
        </w:rPr>
      </w:pPr>
    </w:p>
    <w:p>
      <w:pPr>
        <w:ind w:right="180" w:firstLine="873"/>
        <w:spacing w:after="0" w:line="275" w:lineRule="auto"/>
        <w:rPr>
          <w:sz w:val="20"/>
          <w:szCs w:val="20"/>
          <w:color w:val="auto"/>
        </w:rPr>
      </w:pPr>
      <w:r>
        <w:rPr>
          <w:rFonts w:ascii="Arial" w:cs="Arial" w:eastAsia="Arial" w:hAnsi="Arial"/>
          <w:sz w:val="16"/>
          <w:szCs w:val="16"/>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 additional unexpected adverse events or an increase in adverse event rates may occur. If additional clinical experience indicates that TP-03 or any other product candidate has side effects or causes serious or life-threatening side effects, participant recruitment for trials and the ability of enrolled subjects to</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complete trials could be negatively impacted, and the development of the product candidate may fail or be delayed, which would severely harm our business, prospects, operating results and financial condition.</w:t>
      </w:r>
    </w:p>
    <w:p>
      <w:pPr>
        <w:spacing w:after="0" w:line="202" w:lineRule="exact"/>
        <w:rPr>
          <w:sz w:val="20"/>
          <w:szCs w:val="20"/>
          <w:color w:val="auto"/>
        </w:rPr>
      </w:pPr>
    </w:p>
    <w:p>
      <w:pPr>
        <w:ind w:right="280" w:firstLine="873"/>
        <w:spacing w:after="0" w:line="317"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29" w:lineRule="exact"/>
        <w:rPr>
          <w:sz w:val="20"/>
          <w:szCs w:val="20"/>
          <w:color w:val="auto"/>
        </w:rPr>
      </w:pPr>
    </w:p>
    <w:p>
      <w:pPr>
        <w:jc w:val="both"/>
        <w:ind w:left="1020" w:right="120" w:hanging="331"/>
        <w:spacing w:after="0" w:line="244" w:lineRule="auto"/>
        <w:tabs>
          <w:tab w:leader="none" w:pos="10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184" w:lineRule="exact"/>
        <w:rPr>
          <w:rFonts w:ascii="Arial" w:cs="Arial" w:eastAsia="Arial" w:hAnsi="Arial"/>
          <w:sz w:val="18"/>
          <w:szCs w:val="18"/>
          <w:color w:val="auto"/>
        </w:rPr>
      </w:pPr>
    </w:p>
    <w:p>
      <w:pPr>
        <w:ind w:left="1000" w:hanging="3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product may be seized by regulatory authorities;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a recall of the product;</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220" w:lineRule="exact"/>
        <w:rPr>
          <w:rFonts w:ascii="Arial" w:cs="Arial" w:eastAsia="Arial" w:hAnsi="Arial"/>
          <w:sz w:val="18"/>
          <w:szCs w:val="18"/>
          <w:color w:val="auto"/>
        </w:rPr>
      </w:pPr>
    </w:p>
    <w:p>
      <w:pPr>
        <w:ind w:left="1020" w:right="100" w:hanging="331"/>
        <w:spacing w:after="0" w:line="335" w:lineRule="auto"/>
        <w:tabs>
          <w:tab w:leader="none" w:pos="10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may be required to create and implement a REMS plan, which could include a medication guide outlining the risks of such side effects for distribution to patients, a communication plan for healthcare providers, including ECPs, and/or other elements to assure safe use;</w:t>
      </w:r>
    </w:p>
    <w:p>
      <w:pPr>
        <w:spacing w:after="0" w:line="128" w:lineRule="exact"/>
        <w:rPr>
          <w:rFonts w:ascii="Arial" w:cs="Arial" w:eastAsia="Arial" w:hAnsi="Arial"/>
          <w:sz w:val="16"/>
          <w:szCs w:val="16"/>
          <w:color w:val="auto"/>
        </w:rPr>
      </w:pPr>
    </w:p>
    <w:p>
      <w:pPr>
        <w:ind w:left="1000" w:hanging="3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reputation may suffer and there may be resulting harm to physician or patient acceptance of our product.</w:t>
      </w:r>
    </w:p>
    <w:p>
      <w:pPr>
        <w:spacing w:after="0" w:line="248" w:lineRule="exact"/>
        <w:rPr>
          <w:sz w:val="20"/>
          <w:szCs w:val="20"/>
          <w:color w:val="auto"/>
        </w:rPr>
      </w:pPr>
    </w:p>
    <w:p>
      <w:pPr>
        <w:ind w:right="360" w:firstLine="883"/>
        <w:spacing w:after="0" w:line="25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02"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202" w:lineRule="exact"/>
        <w:rPr>
          <w:sz w:val="20"/>
          <w:szCs w:val="20"/>
          <w:color w:val="auto"/>
        </w:rPr>
      </w:pPr>
    </w:p>
    <w:p>
      <w:pPr>
        <w:ind w:right="320" w:firstLine="873"/>
        <w:spacing w:after="0" w:line="254" w:lineRule="auto"/>
        <w:rPr>
          <w:sz w:val="20"/>
          <w:szCs w:val="20"/>
          <w:color w:val="auto"/>
        </w:rPr>
      </w:pPr>
      <w:r>
        <w:rPr>
          <w:rFonts w:ascii="Arial" w:cs="Arial" w:eastAsia="Arial" w:hAnsi="Arial"/>
          <w:sz w:val="17"/>
          <w:szCs w:val="17"/>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(“CMC”) and our proposed clinical trial protocol, as part of an IND. The initiation of clinical trials in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176" w:lineRule="exact"/>
        <w:rPr>
          <w:sz w:val="20"/>
          <w:szCs w:val="20"/>
          <w:color w:val="auto"/>
        </w:rPr>
      </w:pPr>
    </w:p>
    <w:p>
      <w:pPr>
        <w:ind w:left="1000" w:hanging="311"/>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placing the clinical trial on hold;</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subjects failing to enroll or remain in our trial at the rate we expect;</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subjects choosing an alternative treatment or other product candidates, or participating in competing clinical trials;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demonstrate efficacy of the product;</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interruptions or delays in the supply of our product candidates for our clinical trials;</w:t>
      </w:r>
    </w:p>
    <w:p>
      <w:pPr>
        <w:spacing w:after="0" w:line="220" w:lineRule="exact"/>
        <w:rPr>
          <w:rFonts w:ascii="Arial" w:cs="Arial" w:eastAsia="Arial" w:hAnsi="Arial"/>
          <w:sz w:val="18"/>
          <w:szCs w:val="18"/>
          <w:color w:val="auto"/>
        </w:rPr>
      </w:pPr>
    </w:p>
    <w:p>
      <w:pPr>
        <w:ind w:left="1020" w:right="60" w:hanging="331"/>
        <w:spacing w:after="0" w:line="271" w:lineRule="auto"/>
        <w:tabs>
          <w:tab w:leader="none" w:pos="10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facility manufacturing any of our product candidates or any of their components being ordered by the FDA or comparable foreign regulatory authorities to temporarily or permanently shut down due to violations of cGMP</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regulations or other applicable requirements, or infections or cross-contaminations of product candidates in the manufacturing process;</w:t>
      </w:r>
    </w:p>
    <w:p>
      <w:pPr>
        <w:spacing w:after="0" w:line="232" w:lineRule="exact"/>
        <w:rPr>
          <w:sz w:val="20"/>
          <w:szCs w:val="20"/>
          <w:color w:val="auto"/>
        </w:rPr>
      </w:pPr>
    </w:p>
    <w:p>
      <w:pPr>
        <w:ind w:left="1000" w:hanging="311"/>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vendors and clinical trial sites;</w:t>
      </w:r>
    </w:p>
    <w:p>
      <w:pPr>
        <w:spacing w:after="0" w:line="220" w:lineRule="exact"/>
        <w:rPr>
          <w:rFonts w:ascii="Arial" w:cs="Arial" w:eastAsia="Arial" w:hAnsi="Arial"/>
          <w:sz w:val="18"/>
          <w:szCs w:val="18"/>
          <w:color w:val="auto"/>
        </w:rPr>
      </w:pPr>
    </w:p>
    <w:p>
      <w:pPr>
        <w:ind w:left="1020" w:right="120" w:hanging="331"/>
        <w:spacing w:after="0" w:line="259" w:lineRule="auto"/>
        <w:tabs>
          <w:tab w:leader="none" w:pos="10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spacing w:after="0" w:line="185" w:lineRule="exact"/>
        <w:rPr>
          <w:rFonts w:ascii="Arial" w:cs="Arial" w:eastAsia="Arial" w:hAnsi="Arial"/>
          <w:sz w:val="18"/>
          <w:szCs w:val="18"/>
          <w:color w:val="auto"/>
        </w:rPr>
      </w:pPr>
    </w:p>
    <w:p>
      <w:pPr>
        <w:ind w:left="1020" w:right="200" w:hanging="331"/>
        <w:spacing w:after="0" w:line="281" w:lineRule="auto"/>
        <w:tabs>
          <w:tab w:leader="none" w:pos="10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69" w:lineRule="exact"/>
        <w:rPr>
          <w:rFonts w:ascii="Arial" w:cs="Arial" w:eastAsia="Arial" w:hAnsi="Arial"/>
          <w:sz w:val="17"/>
          <w:szCs w:val="17"/>
          <w:color w:val="auto"/>
        </w:rPr>
      </w:pPr>
    </w:p>
    <w:p>
      <w:pPr>
        <w:ind w:left="1020" w:right="520" w:hanging="331"/>
        <w:spacing w:after="0" w:line="271" w:lineRule="auto"/>
        <w:tabs>
          <w:tab w:leader="none" w:pos="10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or more Institutional Review Boards ("IRBs"), other ethics committees refusing to approve, suspending or terminating the trial at an investigational site, precluding enrollment of additional subjects, or withdrawing its approval of the trial; or</w:t>
      </w:r>
    </w:p>
    <w:p>
      <w:pPr>
        <w:spacing w:after="0" w:line="174" w:lineRule="exact"/>
        <w:rPr>
          <w:rFonts w:ascii="Arial" w:cs="Arial" w:eastAsia="Arial" w:hAnsi="Arial"/>
          <w:sz w:val="18"/>
          <w:szCs w:val="18"/>
          <w:color w:val="auto"/>
        </w:rPr>
      </w:pPr>
    </w:p>
    <w:p>
      <w:pPr>
        <w:ind w:left="1020" w:right="420" w:hanging="331"/>
        <w:spacing w:after="0" w:line="271" w:lineRule="auto"/>
        <w:tabs>
          <w:tab w:leader="none" w:pos="10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201" w:lineRule="exact"/>
        <w:rPr>
          <w:sz w:val="20"/>
          <w:szCs w:val="20"/>
          <w:color w:val="auto"/>
        </w:rPr>
      </w:pPr>
    </w:p>
    <w:p>
      <w:pPr>
        <w:ind w:right="60" w:firstLine="883"/>
        <w:spacing w:after="0" w:line="272" w:lineRule="auto"/>
        <w:rPr>
          <w:sz w:val="20"/>
          <w:szCs w:val="20"/>
          <w:color w:val="auto"/>
        </w:rPr>
      </w:pPr>
      <w:r>
        <w:rPr>
          <w:rFonts w:ascii="Arial" w:cs="Arial" w:eastAsia="Arial" w:hAnsi="Arial"/>
          <w:sz w:val="16"/>
          <w:szCs w:val="16"/>
          <w:color w:val="auto"/>
        </w:rPr>
        <w:t>For example, while we have received, in connection with our IND application, a “no-objection” letter from the FDA regarding the trial design for Saturn-1, the FDA may still require additional studies be conducted prior to submitting an NDA for TP-03. For instance, we will also need to perform a pharmacokinetic study for TP-03 to support our NDA submission for Demodex blepharitis and the FDA is recommending carcinogenicity testing for TP-03 as well as embryofetal development studies in a second species, any result of which, or any additional requests by the FDA, could cause delays in regulatory approval by the FDA. 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193" w:lineRule="exact"/>
        <w:rPr>
          <w:sz w:val="20"/>
          <w:szCs w:val="20"/>
          <w:color w:val="auto"/>
        </w:rPr>
      </w:pPr>
    </w:p>
    <w:p>
      <w:pPr>
        <w:ind w:right="60" w:firstLine="873"/>
        <w:spacing w:after="0" w:line="272"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193" w:lineRule="exact"/>
        <w:rPr>
          <w:sz w:val="20"/>
          <w:szCs w:val="20"/>
          <w:color w:val="auto"/>
        </w:rPr>
      </w:pPr>
    </w:p>
    <w:p>
      <w:pPr>
        <w:ind w:right="280"/>
        <w:spacing w:after="0" w:line="317" w:lineRule="auto"/>
        <w:rPr>
          <w:sz w:val="20"/>
          <w:szCs w:val="20"/>
          <w:color w:val="auto"/>
        </w:rPr>
      </w:pPr>
      <w:r>
        <w:rPr>
          <w:rFonts w:ascii="Arial" w:cs="Arial" w:eastAsia="Arial" w:hAnsi="Arial"/>
          <w:sz w:val="16"/>
          <w:szCs w:val="16"/>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56" w:lineRule="exact"/>
        <w:rPr>
          <w:sz w:val="20"/>
          <w:szCs w:val="20"/>
          <w:color w:val="auto"/>
        </w:rPr>
      </w:pPr>
    </w:p>
    <w:p>
      <w:pPr>
        <w:ind w:right="160" w:firstLine="873"/>
        <w:spacing w:after="0"/>
        <w:rPr>
          <w:sz w:val="20"/>
          <w:szCs w:val="20"/>
          <w:color w:val="auto"/>
        </w:rPr>
      </w:pPr>
      <w:r>
        <w:rPr>
          <w:rFonts w:ascii="Arial" w:cs="Arial" w:eastAsia="Arial" w:hAnsi="Arial"/>
          <w:sz w:val="18"/>
          <w:szCs w:val="18"/>
          <w:color w:val="auto"/>
        </w:rPr>
        <w:t>We currently have a very limited marketing team and no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215" w:lineRule="exact"/>
        <w:rPr>
          <w:sz w:val="20"/>
          <w:szCs w:val="20"/>
          <w:color w:val="auto"/>
        </w:rPr>
      </w:pPr>
    </w:p>
    <w:p>
      <w:pPr>
        <w:ind w:firstLine="873"/>
        <w:spacing w:after="0" w:line="252" w:lineRule="auto"/>
        <w:rPr>
          <w:sz w:val="20"/>
          <w:szCs w:val="20"/>
          <w:color w:val="auto"/>
        </w:rPr>
      </w:pPr>
      <w:r>
        <w:rPr>
          <w:rFonts w:ascii="Arial" w:cs="Arial" w:eastAsia="Arial" w:hAnsi="Arial"/>
          <w:sz w:val="17"/>
          <w:szCs w:val="17"/>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15" w:lineRule="exact"/>
        <w:rPr>
          <w:sz w:val="20"/>
          <w:szCs w:val="20"/>
          <w:color w:val="auto"/>
        </w:rPr>
      </w:pPr>
    </w:p>
    <w:p>
      <w:pPr>
        <w:ind w:right="100"/>
        <w:spacing w:after="0" w:line="348" w:lineRule="auto"/>
        <w:rPr>
          <w:sz w:val="20"/>
          <w:szCs w:val="20"/>
          <w:color w:val="auto"/>
        </w:rPr>
      </w:pPr>
      <w:r>
        <w:rPr>
          <w:rFonts w:ascii="Arial" w:cs="Arial" w:eastAsia="Arial" w:hAnsi="Arial"/>
          <w:sz w:val="14"/>
          <w:szCs w:val="14"/>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42" w:lineRule="exact"/>
        <w:rPr>
          <w:sz w:val="20"/>
          <w:szCs w:val="20"/>
          <w:color w:val="auto"/>
        </w:rPr>
      </w:pPr>
    </w:p>
    <w:p>
      <w:pPr>
        <w:ind w:right="40" w:firstLine="873"/>
        <w:spacing w:after="0" w:line="265" w:lineRule="auto"/>
        <w:rPr>
          <w:sz w:val="20"/>
          <w:szCs w:val="20"/>
          <w:color w:val="auto"/>
        </w:rPr>
      </w:pPr>
      <w:r>
        <w:rPr>
          <w:rFonts w:ascii="Arial" w:cs="Arial" w:eastAsia="Arial" w:hAnsi="Arial"/>
          <w:sz w:val="16"/>
          <w:szCs w:val="16"/>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205" w:lineRule="exact"/>
        <w:rPr>
          <w:sz w:val="20"/>
          <w:szCs w:val="20"/>
          <w:color w:val="auto"/>
        </w:rPr>
      </w:pPr>
    </w:p>
    <w:p>
      <w:pPr>
        <w:ind w:right="60" w:firstLine="873"/>
        <w:spacing w:after="0" w:line="244" w:lineRule="auto"/>
        <w:rPr>
          <w:sz w:val="20"/>
          <w:szCs w:val="20"/>
          <w:color w:val="auto"/>
        </w:rPr>
      </w:pPr>
      <w:r>
        <w:rPr>
          <w:rFonts w:ascii="Arial" w:cs="Arial" w:eastAsia="Arial" w:hAnsi="Arial"/>
          <w:sz w:val="18"/>
          <w:szCs w:val="18"/>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211" w:lineRule="exact"/>
        <w:rPr>
          <w:sz w:val="20"/>
          <w:szCs w:val="20"/>
          <w:color w:val="auto"/>
        </w:rPr>
      </w:pPr>
    </w:p>
    <w:p>
      <w:pPr>
        <w:ind w:right="820"/>
        <w:spacing w:after="0" w:line="255" w:lineRule="auto"/>
        <w:rPr>
          <w:sz w:val="20"/>
          <w:szCs w:val="20"/>
          <w:color w:val="auto"/>
        </w:rPr>
      </w:pPr>
      <w:r>
        <w:rPr>
          <w:rFonts w:ascii="Arial" w:cs="Arial" w:eastAsia="Arial" w:hAnsi="Arial"/>
          <w:sz w:val="18"/>
          <w:szCs w:val="18"/>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202" w:lineRule="exact"/>
        <w:rPr>
          <w:sz w:val="20"/>
          <w:szCs w:val="20"/>
          <w:color w:val="auto"/>
        </w:rPr>
      </w:pPr>
    </w:p>
    <w:p>
      <w:pPr>
        <w:ind w:right="40" w:firstLine="873"/>
        <w:spacing w:after="0" w:line="237" w:lineRule="auto"/>
        <w:rPr>
          <w:sz w:val="20"/>
          <w:szCs w:val="20"/>
          <w:color w:val="auto"/>
        </w:rPr>
      </w:pPr>
      <w:r>
        <w:rPr>
          <w:rFonts w:ascii="Arial" w:cs="Arial" w:eastAsia="Arial" w:hAnsi="Arial"/>
          <w:sz w:val="18"/>
          <w:szCs w:val="18"/>
          <w:color w:val="auto"/>
        </w:rPr>
        <w:t>TP-03, TP-04 and TP-05 are presentations of lotilaner, the API, formulated into an eye drop, topical cream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218"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211" w:lineRule="exact"/>
        <w:rPr>
          <w:sz w:val="20"/>
          <w:szCs w:val="20"/>
          <w:color w:val="auto"/>
        </w:rPr>
      </w:pPr>
    </w:p>
    <w:p>
      <w:pPr>
        <w:ind w:firstLine="873"/>
        <w:spacing w:after="0" w:line="238"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17" w:lineRule="exact"/>
        <w:rPr>
          <w:sz w:val="20"/>
          <w:szCs w:val="20"/>
          <w:color w:val="auto"/>
        </w:rPr>
      </w:pPr>
    </w:p>
    <w:p>
      <w:pPr>
        <w:ind w:right="20" w:firstLine="873"/>
        <w:spacing w:after="0" w:line="24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than we may obtain approval for ours, which could result in our competitors establishing a strong market position before we are able to enter the market.</w:t>
      </w:r>
    </w:p>
    <w:p>
      <w:pPr>
        <w:spacing w:after="0" w:line="257" w:lineRule="exact"/>
        <w:rPr>
          <w:sz w:val="20"/>
          <w:szCs w:val="20"/>
          <w:color w:val="auto"/>
        </w:rPr>
      </w:pPr>
    </w:p>
    <w:p>
      <w:pPr>
        <w:ind w:right="160" w:firstLine="873"/>
        <w:spacing w:after="0" w:line="289"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78" w:lineRule="exact"/>
        <w:rPr>
          <w:sz w:val="20"/>
          <w:szCs w:val="20"/>
          <w:color w:val="auto"/>
        </w:rPr>
      </w:pPr>
    </w:p>
    <w:p>
      <w:pPr>
        <w:ind w:firstLine="873"/>
        <w:spacing w:after="0" w:line="25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08" w:lineRule="exact"/>
        <w:rPr>
          <w:sz w:val="20"/>
          <w:szCs w:val="20"/>
          <w:color w:val="auto"/>
        </w:rPr>
      </w:pPr>
    </w:p>
    <w:p>
      <w:pPr>
        <w:ind w:right="120" w:firstLine="873"/>
        <w:spacing w:after="0" w:line="280" w:lineRule="auto"/>
        <w:rPr>
          <w:sz w:val="20"/>
          <w:szCs w:val="20"/>
          <w:color w:val="auto"/>
        </w:rPr>
      </w:pPr>
      <w:r>
        <w:rPr>
          <w:rFonts w:ascii="Arial" w:cs="Arial" w:eastAsia="Arial" w:hAnsi="Arial"/>
          <w:sz w:val="16"/>
          <w:szCs w:val="16"/>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U.S. Current treatments for blepharitis in the U.S.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185" w:lineRule="exact"/>
        <w:rPr>
          <w:sz w:val="20"/>
          <w:szCs w:val="20"/>
          <w:color w:val="auto"/>
        </w:rPr>
      </w:pPr>
    </w:p>
    <w:p>
      <w:pPr>
        <w:ind w:right="1200"/>
        <w:spacing w:after="0" w:line="25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202" w:lineRule="exact"/>
        <w:rPr>
          <w:sz w:val="20"/>
          <w:szCs w:val="20"/>
          <w:color w:val="auto"/>
        </w:rPr>
      </w:pPr>
    </w:p>
    <w:p>
      <w:pPr>
        <w:ind w:right="20" w:firstLine="873"/>
        <w:spacing w:after="0" w:line="236"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193" w:lineRule="exact"/>
        <w:rPr>
          <w:sz w:val="20"/>
          <w:szCs w:val="20"/>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variation or termination of clinical trials;</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withdrawal of regulatory approval, recall, restriction on the approval or a “black box” warning or contraindication for an approved drug;</w:t>
      </w:r>
    </w:p>
    <w:p>
      <w:pPr>
        <w:spacing w:after="0" w:line="232" w:lineRule="exact"/>
        <w:rPr>
          <w:rFonts w:ascii="Arial" w:cs="Arial" w:eastAsia="Arial" w:hAnsi="Arial"/>
          <w:sz w:val="17"/>
          <w:szCs w:val="17"/>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subjects;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diversion of management’s time and our resources;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or delay of our efforts to commercialize any products that we may develop.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0" w:firstLine="883"/>
        <w:spacing w:after="0" w:line="275"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90"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authorization or commercialize such products outside of the U.S., which would limit our ability to realize their full market potential.</w:t>
      </w:r>
    </w:p>
    <w:p>
      <w:pPr>
        <w:spacing w:after="0" w:line="202" w:lineRule="exact"/>
        <w:rPr>
          <w:sz w:val="20"/>
          <w:szCs w:val="20"/>
          <w:color w:val="auto"/>
        </w:rPr>
      </w:pPr>
    </w:p>
    <w:p>
      <w:pPr>
        <w:ind w:firstLine="873"/>
        <w:spacing w:after="0" w:line="250" w:lineRule="auto"/>
        <w:rPr>
          <w:sz w:val="20"/>
          <w:szCs w:val="20"/>
          <w:color w:val="auto"/>
        </w:rPr>
      </w:pPr>
      <w:r>
        <w:rPr>
          <w:rFonts w:ascii="Arial" w:cs="Arial" w:eastAsia="Arial" w:hAnsi="Arial"/>
          <w:sz w:val="17"/>
          <w:szCs w:val="17"/>
          <w:color w:val="auto"/>
        </w:rPr>
        <w:t>In order to market any products outside of the U.S.,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collaboration partners, fail to comply with regulatory requirements in international markets or to obtain and maintain required approvals, our ability to realize the full market potential of our products will be harmed.</w:t>
      </w:r>
    </w:p>
    <w:p>
      <w:pPr>
        <w:spacing w:after="0" w:line="20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9" w:lineRule="exact"/>
        <w:rPr>
          <w:sz w:val="20"/>
          <w:szCs w:val="20"/>
          <w:color w:val="auto"/>
        </w:rPr>
      </w:pPr>
    </w:p>
    <w:p>
      <w:pPr>
        <w:ind w:firstLine="873"/>
        <w:spacing w:after="0" w:line="25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such as our China Out-License with LianBio.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80" w:lineRule="exact"/>
        <w:rPr>
          <w:sz w:val="20"/>
          <w:szCs w:val="20"/>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hanging="311"/>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48" w:lineRule="exact"/>
        <w:rPr>
          <w:sz w:val="20"/>
          <w:szCs w:val="20"/>
          <w:color w:val="auto"/>
        </w:rPr>
      </w:pPr>
    </w:p>
    <w:p>
      <w:pPr>
        <w:ind w:right="40" w:firstLine="883"/>
        <w:spacing w:after="0" w:line="236" w:lineRule="auto"/>
        <w:rPr>
          <w:sz w:val="20"/>
          <w:szCs w:val="20"/>
          <w:color w:val="auto"/>
        </w:rPr>
      </w:pPr>
      <w:r>
        <w:rPr>
          <w:rFonts w:ascii="Arial" w:cs="Arial" w:eastAsia="Arial" w:hAnsi="Arial"/>
          <w:sz w:val="18"/>
          <w:szCs w:val="18"/>
          <w:color w:val="auto"/>
        </w:rPr>
        <w:t>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LianBio under the China Out-License and reduce the current benefits we believe are available to us. The China Territory authorities have become increasingly vigilant in enforcing laws in the pharmaceutical industry and any failure by LianBio or our other partners to maintain compliance with applicable laws and regulations or obtain and maintain required licenses and permits may result in the suspension or termination of our partner’s business activities in the China Territory.</w:t>
      </w:r>
    </w:p>
    <w:p>
      <w:pPr>
        <w:spacing w:after="0" w:line="217" w:lineRule="exact"/>
        <w:rPr>
          <w:sz w:val="20"/>
          <w:szCs w:val="20"/>
          <w:color w:val="auto"/>
        </w:rPr>
      </w:pPr>
    </w:p>
    <w:p>
      <w:pPr>
        <w:ind w:right="20" w:firstLine="883"/>
        <w:spacing w:after="0" w:line="254" w:lineRule="auto"/>
        <w:rPr>
          <w:sz w:val="20"/>
          <w:szCs w:val="20"/>
          <w:color w:val="auto"/>
        </w:rPr>
      </w:pPr>
      <w:r>
        <w:rPr>
          <w:rFonts w:ascii="Arial" w:cs="Arial" w:eastAsia="Arial" w:hAnsi="Arial"/>
          <w:sz w:val="17"/>
          <w:szCs w:val="17"/>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We have conducted a number of our completed clinical trials for our product candidates at sites outside the U.S., and the FDA may not accept data from trials conducted in such locations.</w:t>
      </w:r>
    </w:p>
    <w:p>
      <w:pPr>
        <w:spacing w:after="0" w:line="202" w:lineRule="exact"/>
        <w:rPr>
          <w:sz w:val="20"/>
          <w:szCs w:val="20"/>
          <w:color w:val="auto"/>
        </w:rPr>
      </w:pPr>
    </w:p>
    <w:p>
      <w:pPr>
        <w:ind w:firstLine="873"/>
        <w:spacing w:after="0" w:line="280" w:lineRule="auto"/>
        <w:rPr>
          <w:sz w:val="20"/>
          <w:szCs w:val="20"/>
          <w:color w:val="auto"/>
        </w:rPr>
      </w:pPr>
      <w:r>
        <w:rPr>
          <w:rFonts w:ascii="Arial" w:cs="Arial" w:eastAsia="Arial" w:hAnsi="Arial"/>
          <w:sz w:val="16"/>
          <w:szCs w:val="16"/>
          <w:color w:val="auto"/>
        </w:rPr>
        <w:t>We have conducted all of our Phase 2 clinical trials outside the U.S., for the treatment of Demodex blepharitis which were conducted in Mexico City, Mexico, at a well-established site for ocular therapy trials. We may in the future choose to conduct other clinical trials outside the U.S.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185" w:lineRule="exact"/>
        <w:rPr>
          <w:sz w:val="20"/>
          <w:szCs w:val="20"/>
          <w:color w:val="auto"/>
        </w:rPr>
      </w:pPr>
    </w:p>
    <w:p>
      <w:pPr>
        <w:ind w:firstLine="873"/>
        <w:spacing w:after="0" w:line="235" w:lineRule="auto"/>
        <w:rPr>
          <w:sz w:val="20"/>
          <w:szCs w:val="20"/>
          <w:color w:val="auto"/>
        </w:rPr>
      </w:pPr>
      <w:r>
        <w:rPr>
          <w:rFonts w:ascii="Arial" w:cs="Arial" w:eastAsia="Arial" w:hAnsi="Arial"/>
          <w:sz w:val="18"/>
          <w:szCs w:val="18"/>
          <w:color w:val="auto"/>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spacing w:after="0" w:line="220" w:lineRule="exact"/>
        <w:rPr>
          <w:sz w:val="20"/>
          <w:szCs w:val="20"/>
          <w:color w:val="auto"/>
        </w:rPr>
      </w:pPr>
    </w:p>
    <w:p>
      <w:pPr>
        <w:ind w:right="180" w:firstLine="873"/>
        <w:spacing w:after="0" w:line="255" w:lineRule="auto"/>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U.S. and if we conduct trials outside of the U.S., we may face risks, such as:</w:t>
      </w:r>
    </w:p>
    <w:p>
      <w:pPr>
        <w:spacing w:after="0" w:line="175" w:lineRule="exact"/>
        <w:rPr>
          <w:sz w:val="20"/>
          <w:szCs w:val="20"/>
          <w:color w:val="auto"/>
        </w:rPr>
      </w:pPr>
    </w:p>
    <w:p>
      <w:pPr>
        <w:ind w:left="1020" w:right="80" w:hanging="331"/>
        <w:spacing w:after="0" w:line="255" w:lineRule="auto"/>
        <w:tabs>
          <w:tab w:leader="none" w:pos="10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175" w:lineRule="exact"/>
        <w:rPr>
          <w:rFonts w:ascii="Arial" w:cs="Arial" w:eastAsia="Arial" w:hAnsi="Arial"/>
          <w:sz w:val="18"/>
          <w:szCs w:val="18"/>
          <w:color w:val="auto"/>
        </w:rPr>
      </w:pPr>
    </w:p>
    <w:p>
      <w:pPr>
        <w:ind w:left="1000" w:hanging="311"/>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exchange rate fluctuations;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different cultural attitudes to self-reported adverse events (such as burning, stinging, blurry vision) leading to a different safety profile; and</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140" w:hanging="331"/>
        <w:spacing w:after="0" w:line="271" w:lineRule="auto"/>
        <w:tabs>
          <w:tab w:leader="none" w:pos="10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20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211" w:lineRule="exact"/>
        <w:rPr>
          <w:sz w:val="20"/>
          <w:szCs w:val="20"/>
          <w:color w:val="auto"/>
        </w:rPr>
      </w:pPr>
    </w:p>
    <w:p>
      <w:pPr>
        <w:ind w:right="20" w:firstLine="873"/>
        <w:spacing w:after="0" w:line="250" w:lineRule="auto"/>
        <w:rPr>
          <w:sz w:val="20"/>
          <w:szCs w:val="20"/>
          <w:color w:val="auto"/>
        </w:rPr>
      </w:pPr>
      <w:r>
        <w:rPr>
          <w:rFonts w:ascii="Arial" w:cs="Arial" w:eastAsia="Arial" w:hAnsi="Arial"/>
          <w:sz w:val="17"/>
          <w:szCs w:val="17"/>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For example, we intend to rely on preclinical studies we have conducted with TP-03 for Demodex blepharitis instead of conducting preclinical studies for MGD. The FDA may not approve of this approach and may require us to conduct preclinical studies with TP-03 in MGD, which may delay our expected timelines for approval and increase costs.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34" w:lineRule="exact"/>
        <w:rPr>
          <w:sz w:val="20"/>
          <w:szCs w:val="20"/>
          <w:color w:val="auto"/>
        </w:rPr>
      </w:pPr>
    </w:p>
    <w:p>
      <w:pPr>
        <w:ind w:firstLine="873"/>
        <w:spacing w:after="0" w:line="250"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 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20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Managing our obligations under our in-license and out-license agreements and other strategic agreements may divert management time and attention, causing delays or disruptions to our business.</w:t>
      </w:r>
    </w:p>
    <w:p>
      <w:pPr>
        <w:spacing w:after="0" w:line="202" w:lineRule="exact"/>
        <w:rPr>
          <w:sz w:val="20"/>
          <w:szCs w:val="20"/>
          <w:color w:val="auto"/>
        </w:rPr>
      </w:pPr>
    </w:p>
    <w:p>
      <w:pPr>
        <w:ind w:right="60" w:firstLine="873"/>
        <w:spacing w:after="0" w:line="272" w:lineRule="auto"/>
        <w:rPr>
          <w:sz w:val="20"/>
          <w:szCs w:val="20"/>
          <w:color w:val="auto"/>
        </w:rPr>
      </w:pPr>
      <w:r>
        <w:rPr>
          <w:rFonts w:ascii="Arial" w:cs="Arial" w:eastAsia="Arial" w:hAnsi="Arial"/>
          <w:sz w:val="16"/>
          <w:szCs w:val="16"/>
          <w:color w:val="auto"/>
        </w:rPr>
        <w:t>We have entered into two license agreements with Elanco: (i) Eye and Derm Elanco Agreement and (ii) the All Human Uses Elanco Agreement, and have also entered into the China Out-License as discussed elsewhere herein. We also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93" w:lineRule="exact"/>
        <w:rPr>
          <w:sz w:val="20"/>
          <w:szCs w:val="20"/>
          <w:color w:val="auto"/>
        </w:rPr>
      </w:pPr>
    </w:p>
    <w:p>
      <w:pPr>
        <w:jc w:val="both"/>
        <w:ind w:firstLine="873"/>
        <w:spacing w:after="0" w:line="348" w:lineRule="auto"/>
        <w:rPr>
          <w:sz w:val="20"/>
          <w:szCs w:val="20"/>
          <w:color w:val="auto"/>
        </w:rPr>
      </w:pPr>
      <w:r>
        <w:rPr>
          <w:rFonts w:ascii="Arial" w:cs="Arial" w:eastAsia="Arial" w:hAnsi="Arial"/>
          <w:sz w:val="14"/>
          <w:szCs w:val="14"/>
          <w:color w:val="auto"/>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4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202" w:lineRule="exact"/>
        <w:rPr>
          <w:sz w:val="20"/>
          <w:szCs w:val="20"/>
          <w:color w:val="auto"/>
        </w:rPr>
      </w:pPr>
    </w:p>
    <w:p>
      <w:pPr>
        <w:ind w:right="20" w:firstLine="873"/>
        <w:spacing w:after="0" w:line="255" w:lineRule="auto"/>
        <w:rPr>
          <w:sz w:val="20"/>
          <w:szCs w:val="20"/>
          <w:color w:val="auto"/>
        </w:rPr>
      </w:pPr>
      <w:r>
        <w:rPr>
          <w:rFonts w:ascii="Arial" w:cs="Arial" w:eastAsia="Arial" w:hAnsi="Arial"/>
          <w:sz w:val="18"/>
          <w:szCs w:val="18"/>
          <w:color w:val="auto"/>
        </w:rPr>
        <w:t>In connection with our in-license, out-license, or other collaborations or strategic alliances, we may agree to and be bound by negative covenants which may limit our development and commercial opportunities. For example, pursuant to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215" w:lineRule="exact"/>
        <w:rPr>
          <w:sz w:val="20"/>
          <w:szCs w:val="20"/>
          <w:color w:val="auto"/>
        </w:rPr>
      </w:pPr>
    </w:p>
    <w:p>
      <w:pPr>
        <w:ind w:right="780"/>
        <w:spacing w:after="0" w:line="255" w:lineRule="auto"/>
        <w:rPr>
          <w:sz w:val="20"/>
          <w:szCs w:val="20"/>
          <w:color w:val="auto"/>
        </w:rPr>
      </w:pPr>
      <w:r>
        <w:rPr>
          <w:rFonts w:ascii="Arial" w:cs="Arial" w:eastAsia="Arial" w:hAnsi="Arial"/>
          <w:sz w:val="18"/>
          <w:szCs w:val="18"/>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202" w:lineRule="exact"/>
        <w:rPr>
          <w:sz w:val="20"/>
          <w:szCs w:val="20"/>
          <w:color w:val="auto"/>
        </w:rPr>
      </w:pPr>
    </w:p>
    <w:p>
      <w:pPr>
        <w:ind w:right="40" w:firstLine="873"/>
        <w:spacing w:after="0" w:line="269" w:lineRule="auto"/>
        <w:rPr>
          <w:sz w:val="20"/>
          <w:szCs w:val="20"/>
          <w:color w:val="auto"/>
        </w:rPr>
      </w:pPr>
      <w:r>
        <w:rPr>
          <w:rFonts w:ascii="Arial" w:cs="Arial" w:eastAsia="Arial" w:hAnsi="Arial"/>
          <w:sz w:val="16"/>
          <w:szCs w:val="16"/>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211" w:lineRule="exact"/>
        <w:rPr>
          <w:sz w:val="20"/>
          <w:szCs w:val="20"/>
          <w:color w:val="auto"/>
        </w:rPr>
      </w:pPr>
    </w:p>
    <w:p>
      <w:pPr>
        <w:ind w:right="40" w:firstLine="873"/>
        <w:spacing w:after="0" w:line="252" w:lineRule="auto"/>
        <w:rPr>
          <w:sz w:val="20"/>
          <w:szCs w:val="20"/>
          <w:color w:val="auto"/>
        </w:rPr>
      </w:pPr>
      <w:r>
        <w:rPr>
          <w:rFonts w:ascii="Arial" w:cs="Arial" w:eastAsia="Arial" w:hAnsi="Arial"/>
          <w:sz w:val="17"/>
          <w:szCs w:val="17"/>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208" w:lineRule="exact"/>
        <w:rPr>
          <w:sz w:val="20"/>
          <w:szCs w:val="20"/>
          <w:color w:val="auto"/>
        </w:rPr>
      </w:pPr>
    </w:p>
    <w:p>
      <w:pPr>
        <w:ind w:firstLine="873"/>
        <w:spacing w:after="0" w:line="237" w:lineRule="auto"/>
        <w:rPr>
          <w:sz w:val="20"/>
          <w:szCs w:val="20"/>
          <w:color w:val="auto"/>
        </w:rPr>
      </w:pPr>
      <w:r>
        <w:rPr>
          <w:rFonts w:ascii="Arial" w:cs="Arial" w:eastAsia="Arial" w:hAnsi="Arial"/>
          <w:sz w:val="18"/>
          <w:szCs w:val="18"/>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18" w:lineRule="exact"/>
        <w:rPr>
          <w:sz w:val="20"/>
          <w:szCs w:val="20"/>
          <w:color w:val="auto"/>
        </w:rPr>
      </w:pPr>
    </w:p>
    <w:p>
      <w:pPr>
        <w:ind w:right="360"/>
        <w:spacing w:after="0" w:line="317"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56" w:lineRule="exact"/>
        <w:rPr>
          <w:sz w:val="20"/>
          <w:szCs w:val="20"/>
          <w:color w:val="auto"/>
        </w:rPr>
      </w:pPr>
    </w:p>
    <w:p>
      <w:pPr>
        <w:ind w:right="40" w:firstLine="873"/>
        <w:spacing w:after="0" w:line="270" w:lineRule="auto"/>
        <w:rPr>
          <w:sz w:val="20"/>
          <w:szCs w:val="20"/>
          <w:color w:val="auto"/>
        </w:rPr>
      </w:pPr>
      <w:r>
        <w:rPr>
          <w:rFonts w:ascii="Arial" w:cs="Arial" w:eastAsia="Arial" w:hAnsi="Arial"/>
          <w:sz w:val="16"/>
          <w:szCs w:val="16"/>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211" w:lineRule="exact"/>
        <w:rPr>
          <w:sz w:val="20"/>
          <w:szCs w:val="20"/>
          <w:color w:val="auto"/>
        </w:rPr>
      </w:pPr>
    </w:p>
    <w:p>
      <w:pPr>
        <w:ind w:firstLine="873"/>
        <w:spacing w:after="0" w:line="252"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208" w:lineRule="exact"/>
        <w:rPr>
          <w:sz w:val="20"/>
          <w:szCs w:val="20"/>
          <w:color w:val="auto"/>
        </w:rPr>
      </w:pPr>
    </w:p>
    <w:p>
      <w:pPr>
        <w:ind w:firstLine="873"/>
        <w:spacing w:after="0" w:line="249" w:lineRule="auto"/>
        <w:rPr>
          <w:sz w:val="20"/>
          <w:szCs w:val="20"/>
          <w:color w:val="auto"/>
        </w:rPr>
      </w:pPr>
      <w:r>
        <w:rPr>
          <w:rFonts w:ascii="Arial" w:cs="Arial" w:eastAsia="Arial" w:hAnsi="Arial"/>
          <w:sz w:val="17"/>
          <w:szCs w:val="17"/>
          <w:color w:val="auto"/>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212" w:lineRule="exact"/>
        <w:rPr>
          <w:sz w:val="20"/>
          <w:szCs w:val="20"/>
          <w:color w:val="auto"/>
        </w:rPr>
      </w:pPr>
    </w:p>
    <w:p>
      <w:pPr>
        <w:ind w:right="140" w:firstLine="873"/>
        <w:spacing w:after="0" w:line="255" w:lineRule="auto"/>
        <w:rPr>
          <w:sz w:val="20"/>
          <w:szCs w:val="20"/>
          <w:color w:val="auto"/>
        </w:rPr>
      </w:pPr>
      <w:r>
        <w:rPr>
          <w:rFonts w:ascii="Arial" w:cs="Arial" w:eastAsia="Arial" w:hAnsi="Arial"/>
          <w:sz w:val="17"/>
          <w:szCs w:val="17"/>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05" w:lineRule="exact"/>
        <w:rPr>
          <w:sz w:val="20"/>
          <w:szCs w:val="20"/>
          <w:color w:val="auto"/>
        </w:rPr>
      </w:pPr>
    </w:p>
    <w:p>
      <w:pPr>
        <w:ind w:right="40" w:firstLine="873"/>
        <w:spacing w:after="0" w:line="236"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220" w:lineRule="exact"/>
        <w:rPr>
          <w:sz w:val="20"/>
          <w:szCs w:val="20"/>
          <w:color w:val="auto"/>
        </w:rPr>
      </w:pPr>
    </w:p>
    <w:p>
      <w:pPr>
        <w:ind w:right="20" w:firstLine="873"/>
        <w:spacing w:after="0" w:line="237"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218" w:lineRule="exact"/>
        <w:rPr>
          <w:sz w:val="20"/>
          <w:szCs w:val="20"/>
          <w:color w:val="auto"/>
        </w:rPr>
      </w:pPr>
    </w:p>
    <w:p>
      <w:pPr>
        <w:jc w:val="both"/>
        <w:ind w:right="200"/>
        <w:spacing w:after="0" w:line="348" w:lineRule="auto"/>
        <w:rPr>
          <w:sz w:val="20"/>
          <w:szCs w:val="20"/>
          <w:color w:val="auto"/>
        </w:rPr>
      </w:pPr>
      <w:r>
        <w:rPr>
          <w:rFonts w:ascii="Arial" w:cs="Arial" w:eastAsia="Arial" w:hAnsi="Arial"/>
          <w:sz w:val="14"/>
          <w:szCs w:val="14"/>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right="180" w:firstLine="873"/>
        <w:spacing w:after="0" w:line="236" w:lineRule="auto"/>
        <w:rPr>
          <w:sz w:val="20"/>
          <w:szCs w:val="20"/>
          <w:color w:val="auto"/>
        </w:rPr>
      </w:pPr>
      <w:r>
        <w:rPr>
          <w:rFonts w:ascii="Arial" w:cs="Arial" w:eastAsia="Arial" w:hAnsi="Arial"/>
          <w:sz w:val="17"/>
          <w:szCs w:val="17"/>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 limited manufacturing arrangements and expect that each of our product candidates will only be covered by single source suppliers for the foreseeable future. For example, we purchase our API for TP-03, lotilaner, from Elanco, who sources through a single source supplier.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219" w:lineRule="exact"/>
        <w:rPr>
          <w:sz w:val="20"/>
          <w:szCs w:val="20"/>
          <w:color w:val="auto"/>
        </w:rPr>
      </w:pPr>
    </w:p>
    <w:p>
      <w:pPr>
        <w:ind w:firstLine="873"/>
        <w:spacing w:after="0" w:line="267" w:lineRule="auto"/>
        <w:rPr>
          <w:sz w:val="20"/>
          <w:szCs w:val="20"/>
          <w:color w:val="auto"/>
        </w:rPr>
      </w:pPr>
      <w:r>
        <w:rPr>
          <w:rFonts w:ascii="Arial" w:cs="Arial" w:eastAsia="Arial" w:hAnsi="Arial"/>
          <w:sz w:val="16"/>
          <w:szCs w:val="16"/>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196" w:lineRule="exact"/>
        <w:rPr>
          <w:sz w:val="20"/>
          <w:szCs w:val="20"/>
          <w:color w:val="auto"/>
        </w:rPr>
      </w:pPr>
    </w:p>
    <w:p>
      <w:pPr>
        <w:ind w:right="60" w:firstLine="873"/>
        <w:spacing w:after="0" w:line="265" w:lineRule="auto"/>
        <w:rPr>
          <w:sz w:val="20"/>
          <w:szCs w:val="20"/>
          <w:color w:val="auto"/>
        </w:rPr>
      </w:pPr>
      <w:r>
        <w:rPr>
          <w:rFonts w:ascii="Arial" w:cs="Arial" w:eastAsia="Arial" w:hAnsi="Arial"/>
          <w:sz w:val="16"/>
          <w:szCs w:val="16"/>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203" w:lineRule="exact"/>
        <w:rPr>
          <w:sz w:val="20"/>
          <w:szCs w:val="20"/>
          <w:color w:val="auto"/>
        </w:rPr>
      </w:pPr>
    </w:p>
    <w:p>
      <w:pPr>
        <w:ind w:right="100" w:firstLine="873"/>
        <w:spacing w:after="0" w:line="255" w:lineRule="auto"/>
        <w:rPr>
          <w:sz w:val="20"/>
          <w:szCs w:val="20"/>
          <w:color w:val="auto"/>
        </w:rPr>
      </w:pPr>
      <w:r>
        <w:rPr>
          <w:rFonts w:ascii="Arial" w:cs="Arial" w:eastAsia="Arial" w:hAnsi="Arial"/>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75" w:lineRule="exact"/>
        <w:rPr>
          <w:sz w:val="20"/>
          <w:szCs w:val="20"/>
          <w:color w:val="auto"/>
        </w:rPr>
      </w:pPr>
    </w:p>
    <w:p>
      <w:pPr>
        <w:ind w:left="1000" w:hanging="3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our product candidates under development;</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 including by Elanco under the license agreements with Elanco;</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100" w:hanging="331"/>
        <w:spacing w:after="0" w:line="271" w:lineRule="auto"/>
        <w:tabs>
          <w:tab w:leader="none" w:pos="10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w:t>
      </w:r>
    </w:p>
    <w:p>
      <w:pPr>
        <w:spacing w:after="0" w:line="201" w:lineRule="exact"/>
        <w:rPr>
          <w:sz w:val="20"/>
          <w:szCs w:val="20"/>
          <w:color w:val="auto"/>
        </w:rPr>
      </w:pPr>
    </w:p>
    <w:p>
      <w:pPr>
        <w:ind w:firstLine="963"/>
        <w:spacing w:after="0"/>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215" w:lineRule="exact"/>
        <w:rPr>
          <w:sz w:val="20"/>
          <w:szCs w:val="20"/>
          <w:color w:val="auto"/>
        </w:rPr>
      </w:pPr>
    </w:p>
    <w:p>
      <w:pPr>
        <w:ind w:right="40" w:firstLine="982"/>
        <w:spacing w:after="0" w:line="254" w:lineRule="auto"/>
        <w:rPr>
          <w:sz w:val="20"/>
          <w:szCs w:val="20"/>
          <w:color w:val="auto"/>
        </w:rPr>
      </w:pPr>
      <w:r>
        <w:rPr>
          <w:rFonts w:ascii="Arial" w:cs="Arial" w:eastAsia="Arial" w:hAnsi="Arial"/>
          <w:sz w:val="17"/>
          <w:szCs w:val="17"/>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203" w:lineRule="exact"/>
        <w:rPr>
          <w:sz w:val="20"/>
          <w:szCs w:val="20"/>
          <w:color w:val="auto"/>
        </w:rPr>
      </w:pPr>
    </w:p>
    <w:p>
      <w:pPr>
        <w:ind w:right="680"/>
        <w:spacing w:after="0" w:line="317" w:lineRule="auto"/>
        <w:rPr>
          <w:sz w:val="20"/>
          <w:szCs w:val="20"/>
          <w:color w:val="auto"/>
        </w:rPr>
      </w:pPr>
      <w:r>
        <w:rPr>
          <w:rFonts w:ascii="Arial" w:cs="Arial" w:eastAsia="Arial" w:hAnsi="Arial"/>
          <w:sz w:val="16"/>
          <w:szCs w:val="16"/>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56" w:lineRule="exact"/>
        <w:rPr>
          <w:sz w:val="20"/>
          <w:szCs w:val="20"/>
          <w:color w:val="auto"/>
        </w:rPr>
      </w:pPr>
    </w:p>
    <w:p>
      <w:pPr>
        <w:ind w:right="140" w:firstLine="873"/>
        <w:spacing w:after="0" w:line="237" w:lineRule="auto"/>
        <w:rPr>
          <w:sz w:val="20"/>
          <w:szCs w:val="20"/>
          <w:color w:val="auto"/>
        </w:rPr>
      </w:pPr>
      <w:r>
        <w:rPr>
          <w:rFonts w:ascii="Arial" w:cs="Arial" w:eastAsia="Arial" w:hAnsi="Arial"/>
          <w:sz w:val="18"/>
          <w:szCs w:val="18"/>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34" w:lineRule="exact"/>
        <w:rPr>
          <w:sz w:val="20"/>
          <w:szCs w:val="20"/>
          <w:color w:val="auto"/>
        </w:rPr>
      </w:pPr>
    </w:p>
    <w:p>
      <w:pPr>
        <w:ind w:right="80" w:firstLine="873"/>
        <w:spacing w:after="0" w:line="236" w:lineRule="auto"/>
        <w:rPr>
          <w:sz w:val="20"/>
          <w:szCs w:val="20"/>
          <w:color w:val="auto"/>
        </w:rPr>
      </w:pPr>
      <w:r>
        <w:rPr>
          <w:rFonts w:ascii="Arial" w:cs="Arial" w:eastAsia="Arial" w:hAnsi="Arial"/>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8" w:lineRule="exact"/>
        <w:rPr>
          <w:sz w:val="20"/>
          <w:szCs w:val="20"/>
          <w:color w:val="auto"/>
        </w:rPr>
      </w:pPr>
    </w:p>
    <w:p>
      <w:pPr>
        <w:ind w:right="280"/>
        <w:spacing w:after="0"/>
        <w:rPr>
          <w:sz w:val="20"/>
          <w:szCs w:val="20"/>
          <w:color w:val="auto"/>
        </w:rPr>
      </w:pPr>
      <w:r>
        <w:rPr>
          <w:rFonts w:ascii="Arial" w:cs="Arial" w:eastAsia="Arial" w:hAnsi="Arial"/>
          <w:sz w:val="18"/>
          <w:szCs w:val="18"/>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215" w:lineRule="exact"/>
        <w:rPr>
          <w:sz w:val="20"/>
          <w:szCs w:val="20"/>
          <w:color w:val="auto"/>
        </w:rPr>
      </w:pPr>
    </w:p>
    <w:p>
      <w:pPr>
        <w:ind w:right="40" w:firstLine="873"/>
        <w:spacing w:after="0" w:line="269" w:lineRule="auto"/>
        <w:rPr>
          <w:sz w:val="20"/>
          <w:szCs w:val="20"/>
          <w:color w:val="auto"/>
        </w:rPr>
      </w:pPr>
      <w:r>
        <w:rPr>
          <w:rFonts w:ascii="Arial" w:cs="Arial" w:eastAsia="Arial" w:hAnsi="Arial"/>
          <w:sz w:val="16"/>
          <w:szCs w:val="16"/>
          <w:color w:val="auto"/>
        </w:rPr>
        <w:t>Pursuant to the Eye and Derm Elanco Agreement and the All Human Uses Elanco Agreement (each an "Elanco Agreement" and together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firstLine="873"/>
        <w:spacing w:after="0" w:line="265" w:lineRule="auto"/>
        <w:rPr>
          <w:sz w:val="20"/>
          <w:szCs w:val="20"/>
          <w:color w:val="auto"/>
        </w:rPr>
      </w:pPr>
      <w:r>
        <w:rPr>
          <w:rFonts w:ascii="Arial" w:cs="Arial" w:eastAsia="Arial" w:hAnsi="Arial"/>
          <w:sz w:val="16"/>
          <w:szCs w:val="16"/>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20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11" w:lineRule="exact"/>
        <w:rPr>
          <w:sz w:val="20"/>
          <w:szCs w:val="20"/>
          <w:color w:val="auto"/>
        </w:rPr>
      </w:pPr>
    </w:p>
    <w:p>
      <w:pPr>
        <w:ind w:right="100" w:firstLine="873"/>
        <w:spacing w:after="0" w:line="254"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U.S. and other countries with respect to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our product candidates or their intended uses or that effectively prevent others from commercializing competitive technologies, products or product candidates.</w:t>
      </w:r>
    </w:p>
    <w:p>
      <w:pPr>
        <w:spacing w:after="0" w:line="203" w:lineRule="exact"/>
        <w:rPr>
          <w:sz w:val="20"/>
          <w:szCs w:val="20"/>
          <w:color w:val="auto"/>
        </w:rPr>
      </w:pPr>
    </w:p>
    <w:p>
      <w:pPr>
        <w:ind w:right="40" w:firstLine="873"/>
        <w:spacing w:after="0" w:line="269" w:lineRule="auto"/>
        <w:rPr>
          <w:sz w:val="20"/>
          <w:szCs w:val="20"/>
          <w:color w:val="auto"/>
        </w:rPr>
      </w:pPr>
      <w:r>
        <w:rPr>
          <w:rFonts w:ascii="Arial" w:cs="Arial" w:eastAsia="Arial" w:hAnsi="Arial"/>
          <w:sz w:val="16"/>
          <w:szCs w:val="16"/>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96" w:lineRule="exact"/>
        <w:rPr>
          <w:sz w:val="20"/>
          <w:szCs w:val="20"/>
          <w:color w:val="auto"/>
        </w:rPr>
      </w:pPr>
    </w:p>
    <w:p>
      <w:pPr>
        <w:ind w:right="120" w:firstLine="873"/>
        <w:spacing w:after="0" w:line="25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208" w:lineRule="exact"/>
        <w:rPr>
          <w:sz w:val="20"/>
          <w:szCs w:val="20"/>
          <w:color w:val="auto"/>
        </w:rPr>
      </w:pPr>
    </w:p>
    <w:p>
      <w:pPr>
        <w:ind w:right="80" w:firstLine="873"/>
        <w:spacing w:after="0" w:line="252" w:lineRule="auto"/>
        <w:rPr>
          <w:sz w:val="20"/>
          <w:szCs w:val="20"/>
          <w:color w:val="auto"/>
        </w:rPr>
      </w:pPr>
      <w:r>
        <w:rPr>
          <w:rFonts w:ascii="Arial" w:cs="Arial" w:eastAsia="Arial" w:hAnsi="Arial"/>
          <w:sz w:val="17"/>
          <w:szCs w:val="17"/>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TP-05, may infringe. If we are unable to confirm that our products do not infringe third-party patents, others could preclude us from commercializing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99" w:lineRule="exact"/>
        <w:rPr>
          <w:sz w:val="20"/>
          <w:szCs w:val="20"/>
          <w:color w:val="auto"/>
        </w:rPr>
      </w:pPr>
    </w:p>
    <w:p>
      <w:pPr>
        <w:ind w:firstLine="873"/>
        <w:spacing w:after="0" w:line="233" w:lineRule="auto"/>
        <w:rPr>
          <w:sz w:val="20"/>
          <w:szCs w:val="20"/>
          <w:color w:val="auto"/>
        </w:rPr>
      </w:pPr>
      <w:r>
        <w:rPr>
          <w:rFonts w:ascii="Arial" w:cs="Arial" w:eastAsia="Arial" w:hAnsi="Arial"/>
          <w:sz w:val="17"/>
          <w:szCs w:val="17"/>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24" w:lineRule="exact"/>
        <w:rPr>
          <w:sz w:val="20"/>
          <w:szCs w:val="20"/>
          <w:color w:val="auto"/>
        </w:rPr>
      </w:pPr>
    </w:p>
    <w:p>
      <w:pPr>
        <w:ind w:right="20" w:firstLine="873"/>
        <w:spacing w:after="0" w:line="264" w:lineRule="auto"/>
        <w:rPr>
          <w:sz w:val="20"/>
          <w:szCs w:val="20"/>
          <w:color w:val="auto"/>
        </w:rPr>
      </w:pPr>
      <w:r>
        <w:rPr>
          <w:rFonts w:ascii="Arial" w:cs="Arial" w:eastAsia="Arial" w:hAnsi="Arial"/>
          <w:sz w:val="16"/>
          <w:szCs w:val="16"/>
          <w:color w:val="auto"/>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207" w:lineRule="exact"/>
        <w:rPr>
          <w:sz w:val="20"/>
          <w:szCs w:val="20"/>
          <w:color w:val="auto"/>
        </w:rPr>
      </w:pPr>
    </w:p>
    <w:p>
      <w:pPr>
        <w:jc w:val="both"/>
        <w:ind w:right="600"/>
        <w:spacing w:after="0" w:line="24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firstLine="873"/>
        <w:spacing w:after="0" w:line="250" w:lineRule="auto"/>
        <w:rPr>
          <w:sz w:val="20"/>
          <w:szCs w:val="20"/>
          <w:color w:val="auto"/>
        </w:rPr>
      </w:pPr>
      <w:r>
        <w:rPr>
          <w:rFonts w:ascii="Arial" w:cs="Arial" w:eastAsia="Arial" w:hAnsi="Arial"/>
          <w:sz w:val="17"/>
          <w:szCs w:val="17"/>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208"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89" w:lineRule="exact"/>
        <w:rPr>
          <w:sz w:val="20"/>
          <w:szCs w:val="20"/>
          <w:color w:val="auto"/>
        </w:rPr>
      </w:pPr>
    </w:p>
    <w:p>
      <w:pPr>
        <w:ind w:right="20" w:firstLine="873"/>
        <w:spacing w:after="0" w:line="235"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our product candidates in any jurisdiction. Because we have not yet conducted a formal patent landscape analysis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confirm that our products do not infringe third-party patents, others could preclude us from commercializing our product candidates.</w:t>
      </w:r>
    </w:p>
    <w:p>
      <w:pPr>
        <w:spacing w:after="0" w:line="221" w:lineRule="exact"/>
        <w:rPr>
          <w:sz w:val="20"/>
          <w:szCs w:val="20"/>
          <w:color w:val="auto"/>
        </w:rPr>
      </w:pPr>
    </w:p>
    <w:p>
      <w:pPr>
        <w:ind w:right="60" w:firstLine="873"/>
        <w:spacing w:after="0" w:line="254"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203" w:lineRule="exact"/>
        <w:rPr>
          <w:sz w:val="20"/>
          <w:szCs w:val="20"/>
          <w:color w:val="auto"/>
        </w:rPr>
      </w:pPr>
    </w:p>
    <w:p>
      <w:pPr>
        <w:ind w:right="500"/>
        <w:spacing w:after="0" w:line="317" w:lineRule="auto"/>
        <w:rPr>
          <w:sz w:val="20"/>
          <w:szCs w:val="20"/>
          <w:color w:val="auto"/>
        </w:rPr>
      </w:pPr>
      <w:r>
        <w:rPr>
          <w:rFonts w:ascii="Arial" w:cs="Arial" w:eastAsia="Arial" w:hAnsi="Arial"/>
          <w:sz w:val="16"/>
          <w:szCs w:val="16"/>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56" w:lineRule="exact"/>
        <w:rPr>
          <w:sz w:val="20"/>
          <w:szCs w:val="20"/>
          <w:color w:val="auto"/>
        </w:rPr>
      </w:pPr>
    </w:p>
    <w:p>
      <w:pPr>
        <w:ind w:right="60" w:firstLine="873"/>
        <w:spacing w:after="0" w:line="250" w:lineRule="auto"/>
        <w:rPr>
          <w:sz w:val="20"/>
          <w:szCs w:val="20"/>
          <w:color w:val="auto"/>
        </w:rPr>
      </w:pPr>
      <w:r>
        <w:rPr>
          <w:rFonts w:ascii="Arial" w:cs="Arial" w:eastAsia="Arial" w:hAnsi="Arial"/>
          <w:sz w:val="17"/>
          <w:szCs w:val="17"/>
          <w:color w:val="auto"/>
        </w:rPr>
        <w:t>The development and potential commercialization of our product candidates will require substantial additional capital to fund expenses. In 2019 and 2020, we entered into the Eye and Derm Elanco Agreement and the All Human Uses Elanco Agreement, respectively. We plan to utilize these license rights in developing and marketing our TP-03,TP-04 and TP-05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81" w:lineRule="exact"/>
        <w:rPr>
          <w:sz w:val="20"/>
          <w:szCs w:val="20"/>
          <w:color w:val="auto"/>
        </w:rPr>
      </w:pPr>
    </w:p>
    <w:p>
      <w:pPr>
        <w:ind w:left="1000" w:hanging="311"/>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 or results of clinical trials;</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likelihood of approval by the FDA or comparable foreign regulatory authorities;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market for the product candidate;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hanging="31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and complexities of manufacturing and delivering such product candidate to patients;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potential of competing products;</w:t>
      </w:r>
    </w:p>
    <w:p>
      <w:pPr>
        <w:spacing w:after="0" w:line="220" w:lineRule="exact"/>
        <w:rPr>
          <w:rFonts w:ascii="Arial" w:cs="Arial" w:eastAsia="Arial" w:hAnsi="Arial"/>
          <w:sz w:val="18"/>
          <w:szCs w:val="18"/>
          <w:color w:val="auto"/>
        </w:rPr>
      </w:pPr>
    </w:p>
    <w:p>
      <w:pPr>
        <w:ind w:left="1020" w:right="680" w:hanging="331"/>
        <w:spacing w:after="0" w:line="271" w:lineRule="auto"/>
        <w:tabs>
          <w:tab w:leader="none" w:pos="10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industry and market conditions generally.</w:t>
      </w:r>
    </w:p>
    <w:p>
      <w:pPr>
        <w:spacing w:after="0" w:line="248" w:lineRule="exact"/>
        <w:rPr>
          <w:sz w:val="20"/>
          <w:szCs w:val="20"/>
          <w:color w:val="auto"/>
        </w:rPr>
      </w:pPr>
    </w:p>
    <w:p>
      <w:pPr>
        <w:ind w:firstLine="883"/>
        <w:spacing w:after="0" w:line="267" w:lineRule="auto"/>
        <w:rPr>
          <w:sz w:val="20"/>
          <w:szCs w:val="20"/>
          <w:color w:val="auto"/>
        </w:rPr>
      </w:pPr>
      <w:r>
        <w:rPr>
          <w:rFonts w:ascii="Arial" w:cs="Arial" w:eastAsia="Arial" w:hAnsi="Arial"/>
          <w:sz w:val="16"/>
          <w:szCs w:val="16"/>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6" w:lineRule="exact"/>
        <w:rPr>
          <w:sz w:val="20"/>
          <w:szCs w:val="20"/>
          <w:color w:val="auto"/>
        </w:rPr>
      </w:pPr>
    </w:p>
    <w:p>
      <w:pPr>
        <w:ind w:right="200" w:firstLine="873"/>
        <w:spacing w:after="0" w:line="255" w:lineRule="auto"/>
        <w:rPr>
          <w:sz w:val="20"/>
          <w:szCs w:val="20"/>
          <w:color w:val="auto"/>
        </w:rPr>
      </w:pPr>
      <w:r>
        <w:rPr>
          <w:rFonts w:ascii="Arial" w:cs="Arial" w:eastAsia="Arial" w:hAnsi="Arial"/>
          <w:sz w:val="18"/>
          <w:szCs w:val="18"/>
          <w:color w:val="auto"/>
        </w:rPr>
        <w:t>Collaborations that we have entered into and may enter in the future may not be successful, and any success will depend heavily on the efforts and activities of such collaborators. Collaborations pose a number of risks, including the following:</w:t>
      </w:r>
    </w:p>
    <w:p>
      <w:pPr>
        <w:spacing w:after="0" w:line="175" w:lineRule="exact"/>
        <w:rPr>
          <w:sz w:val="20"/>
          <w:szCs w:val="20"/>
          <w:color w:val="auto"/>
        </w:rPr>
      </w:pPr>
    </w:p>
    <w:p>
      <w:pPr>
        <w:ind w:left="1020" w:right="880" w:hanging="331"/>
        <w:spacing w:after="0" w:line="255" w:lineRule="auto"/>
        <w:tabs>
          <w:tab w:leader="none" w:pos="10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75" w:lineRule="exact"/>
        <w:rPr>
          <w:rFonts w:ascii="Arial" w:cs="Arial" w:eastAsia="Arial" w:hAnsi="Arial"/>
          <w:sz w:val="18"/>
          <w:szCs w:val="18"/>
          <w:color w:val="auto"/>
        </w:rPr>
      </w:pPr>
    </w:p>
    <w:p>
      <w:pPr>
        <w:ind w:left="1000" w:hanging="311"/>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0" w:lineRule="exact"/>
        <w:rPr>
          <w:rFonts w:ascii="Arial" w:cs="Arial" w:eastAsia="Arial" w:hAnsi="Arial"/>
          <w:sz w:val="18"/>
          <w:szCs w:val="18"/>
          <w:color w:val="auto"/>
        </w:rPr>
      </w:pPr>
    </w:p>
    <w:p>
      <w:pPr>
        <w:ind w:left="1020" w:right="240" w:hanging="331"/>
        <w:spacing w:after="0" w:line="259" w:lineRule="auto"/>
        <w:tabs>
          <w:tab w:leader="none" w:pos="10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185" w:lineRule="exact"/>
        <w:rPr>
          <w:rFonts w:ascii="Arial" w:cs="Arial" w:eastAsia="Arial" w:hAnsi="Arial"/>
          <w:sz w:val="18"/>
          <w:szCs w:val="18"/>
          <w:color w:val="auto"/>
        </w:rPr>
      </w:pPr>
    </w:p>
    <w:p>
      <w:pPr>
        <w:ind w:left="1020" w:right="100" w:hanging="331"/>
        <w:spacing w:after="0" w:line="307" w:lineRule="auto"/>
        <w:tabs>
          <w:tab w:leader="none" w:pos="10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149" w:lineRule="exact"/>
        <w:rPr>
          <w:rFonts w:ascii="Arial" w:cs="Arial" w:eastAsia="Arial" w:hAnsi="Arial"/>
          <w:sz w:val="16"/>
          <w:szCs w:val="16"/>
          <w:color w:val="auto"/>
        </w:rPr>
      </w:pPr>
    </w:p>
    <w:p>
      <w:pPr>
        <w:ind w:left="1020" w:right="560" w:hanging="331"/>
        <w:spacing w:after="0" w:line="301" w:lineRule="auto"/>
        <w:tabs>
          <w:tab w:leader="none" w:pos="10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1" w:lineRule="exact"/>
        <w:rPr>
          <w:rFonts w:ascii="Arial" w:cs="Arial" w:eastAsia="Arial" w:hAnsi="Arial"/>
          <w:sz w:val="17"/>
          <w:szCs w:val="17"/>
          <w:color w:val="auto"/>
        </w:rPr>
      </w:pPr>
    </w:p>
    <w:p>
      <w:pPr>
        <w:ind w:left="1020" w:right="120" w:hanging="331"/>
        <w:spacing w:after="0" w:line="259" w:lineRule="auto"/>
        <w:tabs>
          <w:tab w:leader="none" w:pos="10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85" w:lineRule="exact"/>
        <w:rPr>
          <w:rFonts w:ascii="Arial" w:cs="Arial" w:eastAsia="Arial" w:hAnsi="Arial"/>
          <w:sz w:val="18"/>
          <w:szCs w:val="18"/>
          <w:color w:val="auto"/>
        </w:rPr>
      </w:pPr>
    </w:p>
    <w:p>
      <w:pPr>
        <w:ind w:left="1020" w:right="520" w:hanging="331"/>
        <w:spacing w:after="0" w:line="259" w:lineRule="auto"/>
        <w:tabs>
          <w:tab w:leader="none" w:pos="10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85" w:lineRule="exact"/>
        <w:rPr>
          <w:rFonts w:ascii="Arial" w:cs="Arial" w:eastAsia="Arial" w:hAnsi="Arial"/>
          <w:sz w:val="18"/>
          <w:szCs w:val="18"/>
          <w:color w:val="auto"/>
        </w:rPr>
      </w:pPr>
    </w:p>
    <w:p>
      <w:pPr>
        <w:ind w:left="1020" w:right="180" w:hanging="331"/>
        <w:spacing w:after="0" w:line="335" w:lineRule="auto"/>
        <w:tabs>
          <w:tab w:leader="none" w:pos="10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120" w:hanging="331"/>
        <w:spacing w:after="0" w:line="271"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174" w:lineRule="exact"/>
        <w:rPr>
          <w:rFonts w:ascii="Arial" w:cs="Arial" w:eastAsia="Arial" w:hAnsi="Arial"/>
          <w:sz w:val="18"/>
          <w:szCs w:val="18"/>
          <w:color w:val="auto"/>
        </w:rPr>
      </w:pPr>
    </w:p>
    <w:p>
      <w:pPr>
        <w:ind w:left="1020" w:right="360" w:hanging="331"/>
        <w:spacing w:after="0" w:line="271"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74" w:lineRule="exact"/>
        <w:rPr>
          <w:rFonts w:ascii="Arial" w:cs="Arial" w:eastAsia="Arial" w:hAnsi="Arial"/>
          <w:sz w:val="18"/>
          <w:szCs w:val="18"/>
          <w:color w:val="auto"/>
        </w:rPr>
      </w:pPr>
    </w:p>
    <w:p>
      <w:pPr>
        <w:ind w:left="1020" w:right="560" w:hanging="331"/>
        <w:spacing w:after="0" w:line="271"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74" w:lineRule="exact"/>
        <w:rPr>
          <w:rFonts w:ascii="Arial" w:cs="Arial" w:eastAsia="Arial" w:hAnsi="Arial"/>
          <w:sz w:val="18"/>
          <w:szCs w:val="18"/>
          <w:color w:val="auto"/>
        </w:rPr>
      </w:pPr>
    </w:p>
    <w:p>
      <w:pPr>
        <w:ind w:left="1020" w:hanging="331"/>
        <w:spacing w:after="0" w:line="255"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90" w:lineRule="exact"/>
        <w:rPr>
          <w:rFonts w:ascii="Arial" w:cs="Arial" w:eastAsia="Arial" w:hAnsi="Arial"/>
          <w:sz w:val="18"/>
          <w:szCs w:val="18"/>
          <w:color w:val="auto"/>
        </w:rPr>
      </w:pPr>
    </w:p>
    <w:p>
      <w:pPr>
        <w:ind w:left="1020" w:right="60" w:hanging="331"/>
        <w:spacing w:after="0" w:line="259"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85" w:lineRule="exact"/>
        <w:rPr>
          <w:rFonts w:ascii="Arial" w:cs="Arial" w:eastAsia="Arial" w:hAnsi="Arial"/>
          <w:sz w:val="18"/>
          <w:szCs w:val="18"/>
          <w:color w:val="auto"/>
        </w:rPr>
      </w:pPr>
    </w:p>
    <w:p>
      <w:pPr>
        <w:ind w:left="1000" w:hanging="311"/>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20" w:lineRule="exact"/>
        <w:rPr>
          <w:rFonts w:ascii="Arial" w:cs="Arial" w:eastAsia="Arial" w:hAnsi="Arial"/>
          <w:sz w:val="18"/>
          <w:szCs w:val="18"/>
          <w:color w:val="auto"/>
        </w:rPr>
      </w:pPr>
    </w:p>
    <w:p>
      <w:pPr>
        <w:ind w:left="1020" w:right="480" w:hanging="331"/>
        <w:spacing w:after="0" w:line="271"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174" w:lineRule="exact"/>
        <w:rPr>
          <w:rFonts w:ascii="Arial" w:cs="Arial" w:eastAsia="Arial" w:hAnsi="Arial"/>
          <w:sz w:val="18"/>
          <w:szCs w:val="18"/>
          <w:color w:val="auto"/>
        </w:rPr>
      </w:pPr>
    </w:p>
    <w:p>
      <w:pPr>
        <w:ind w:left="1020" w:right="40" w:hanging="331"/>
        <w:spacing w:after="0" w:line="271"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201" w:lineRule="exact"/>
        <w:rPr>
          <w:sz w:val="20"/>
          <w:szCs w:val="20"/>
          <w:color w:val="auto"/>
        </w:rPr>
      </w:pPr>
    </w:p>
    <w:p>
      <w:pPr>
        <w:ind w:right="20" w:firstLine="883"/>
        <w:spacing w:after="0" w:line="23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spacing w:after="0" w:line="218" w:lineRule="exact"/>
        <w:rPr>
          <w:sz w:val="20"/>
          <w:szCs w:val="20"/>
          <w:color w:val="auto"/>
        </w:rPr>
      </w:pPr>
    </w:p>
    <w:p>
      <w:pPr>
        <w:ind w:right="140"/>
        <w:spacing w:after="0" w:line="317" w:lineRule="auto"/>
        <w:rPr>
          <w:sz w:val="20"/>
          <w:szCs w:val="20"/>
          <w:color w:val="auto"/>
        </w:rPr>
      </w:pPr>
      <w:r>
        <w:rPr>
          <w:rFonts w:ascii="Arial" w:cs="Arial" w:eastAsia="Arial" w:hAnsi="Arial"/>
          <w:sz w:val="16"/>
          <w:szCs w:val="16"/>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56" w:lineRule="exact"/>
        <w:rPr>
          <w:sz w:val="20"/>
          <w:szCs w:val="20"/>
          <w:color w:val="auto"/>
        </w:rPr>
      </w:pPr>
    </w:p>
    <w:p>
      <w:pPr>
        <w:ind w:right="80" w:firstLine="873"/>
        <w:spacing w:after="0"/>
        <w:rPr>
          <w:sz w:val="20"/>
          <w:szCs w:val="20"/>
          <w:color w:val="auto"/>
        </w:rPr>
      </w:pPr>
      <w:r>
        <w:rPr>
          <w:rFonts w:ascii="Arial" w:cs="Arial" w:eastAsia="Arial" w:hAnsi="Arial"/>
          <w:sz w:val="18"/>
          <w:szCs w:val="18"/>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215" w:lineRule="exact"/>
        <w:rPr>
          <w:sz w:val="20"/>
          <w:szCs w:val="20"/>
          <w:color w:val="auto"/>
        </w:rPr>
      </w:pPr>
    </w:p>
    <w:p>
      <w:pPr>
        <w:ind w:right="180" w:firstLine="873"/>
        <w:spacing w:after="0" w:line="238" w:lineRule="auto"/>
        <w:rPr>
          <w:sz w:val="20"/>
          <w:szCs w:val="20"/>
          <w:color w:val="auto"/>
        </w:rPr>
      </w:pPr>
      <w:r>
        <w:rPr>
          <w:rFonts w:ascii="Arial" w:cs="Arial" w:eastAsia="Arial" w:hAnsi="Arial"/>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217" w:lineRule="exact"/>
        <w:rPr>
          <w:sz w:val="20"/>
          <w:szCs w:val="20"/>
          <w:color w:val="auto"/>
        </w:rPr>
      </w:pPr>
    </w:p>
    <w:p>
      <w:pPr>
        <w:ind w:right="40" w:firstLine="873"/>
        <w:spacing w:after="0"/>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affected technology and product candidates, which could harm our business, financial condition, results of operations and prospects significantly.</w:t>
      </w:r>
    </w:p>
    <w:p>
      <w:pPr>
        <w:spacing w:after="0" w:line="246" w:lineRule="exact"/>
        <w:rPr>
          <w:sz w:val="20"/>
          <w:szCs w:val="20"/>
          <w:color w:val="auto"/>
        </w:rPr>
      </w:pPr>
    </w:p>
    <w:p>
      <w:pPr>
        <w:ind w:right="40" w:firstLine="873"/>
        <w:spacing w:after="0" w:line="251" w:lineRule="auto"/>
        <w:rPr>
          <w:sz w:val="20"/>
          <w:szCs w:val="20"/>
          <w:color w:val="auto"/>
        </w:rPr>
      </w:pPr>
      <w:r>
        <w:rPr>
          <w:rFonts w:ascii="Arial" w:cs="Arial" w:eastAsia="Arial" w:hAnsi="Arial"/>
          <w:sz w:val="17"/>
          <w:szCs w:val="17"/>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10" w:lineRule="exact"/>
        <w:rPr>
          <w:sz w:val="20"/>
          <w:szCs w:val="20"/>
          <w:color w:val="auto"/>
        </w:rPr>
      </w:pPr>
    </w:p>
    <w:p>
      <w:pPr>
        <w:ind w:firstLine="873"/>
        <w:spacing w:after="0" w:line="250" w:lineRule="auto"/>
        <w:rPr>
          <w:sz w:val="20"/>
          <w:szCs w:val="20"/>
          <w:color w:val="auto"/>
        </w:rPr>
      </w:pPr>
      <w:r>
        <w:rPr>
          <w:rFonts w:ascii="Arial" w:cs="Arial" w:eastAsia="Arial" w:hAnsi="Arial"/>
          <w:sz w:val="17"/>
          <w:szCs w:val="17"/>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11" w:lineRule="exact"/>
        <w:rPr>
          <w:sz w:val="20"/>
          <w:szCs w:val="20"/>
          <w:color w:val="auto"/>
        </w:rPr>
      </w:pPr>
    </w:p>
    <w:p>
      <w:pPr>
        <w:ind w:right="40" w:firstLine="873"/>
        <w:spacing w:after="0" w:line="255" w:lineRule="auto"/>
        <w:rPr>
          <w:sz w:val="20"/>
          <w:szCs w:val="20"/>
          <w:color w:val="auto"/>
        </w:rPr>
      </w:pPr>
      <w:r>
        <w:rPr>
          <w:rFonts w:ascii="Arial" w:cs="Arial" w:eastAsia="Arial" w:hAnsi="Arial"/>
          <w:sz w:val="17"/>
          <w:szCs w:val="17"/>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08" w:lineRule="exact"/>
        <w:rPr>
          <w:sz w:val="20"/>
          <w:szCs w:val="20"/>
          <w:color w:val="auto"/>
        </w:rPr>
      </w:pPr>
    </w:p>
    <w:p>
      <w:pPr>
        <w:ind w:left="1000" w:hanging="311"/>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intellectual property of the licensor that is not subject to the licensing agreement;</w:t>
      </w:r>
    </w:p>
    <w:p>
      <w:pPr>
        <w:spacing w:after="0" w:line="243" w:lineRule="exact"/>
        <w:rPr>
          <w:rFonts w:ascii="Arial" w:cs="Arial" w:eastAsia="Arial" w:hAnsi="Arial"/>
          <w:sz w:val="16"/>
          <w:szCs w:val="16"/>
          <w:color w:val="auto"/>
        </w:rPr>
      </w:pPr>
    </w:p>
    <w:p>
      <w:pPr>
        <w:ind w:left="1000" w:hanging="311"/>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0" w:lineRule="exact"/>
        <w:rPr>
          <w:rFonts w:ascii="Arial" w:cs="Arial" w:eastAsia="Arial" w:hAnsi="Arial"/>
          <w:sz w:val="18"/>
          <w:szCs w:val="18"/>
          <w:color w:val="auto"/>
        </w:rPr>
      </w:pPr>
    </w:p>
    <w:p>
      <w:pPr>
        <w:ind w:left="1020" w:right="240" w:hanging="331"/>
        <w:spacing w:after="0" w:line="271" w:lineRule="auto"/>
        <w:tabs>
          <w:tab w:leader="none" w:pos="10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48" w:lineRule="exact"/>
        <w:rPr>
          <w:sz w:val="20"/>
          <w:szCs w:val="20"/>
          <w:color w:val="auto"/>
        </w:rPr>
      </w:pPr>
    </w:p>
    <w:p>
      <w:pPr>
        <w:ind w:firstLine="873"/>
        <w:spacing w:after="0" w:line="270"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Although we have pending U.S. and foreign patent applications in our portfolio, we cannot predict:</w:t>
      </w:r>
    </w:p>
    <w:p>
      <w:pPr>
        <w:spacing w:after="0" w:line="208" w:lineRule="exact"/>
        <w:rPr>
          <w:sz w:val="20"/>
          <w:szCs w:val="20"/>
          <w:color w:val="auto"/>
        </w:rPr>
      </w:pPr>
    </w:p>
    <w:p>
      <w:pPr>
        <w:ind w:left="1000" w:hanging="31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and when patents may issue based on our patent applications;</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protection of any patent issuing based on our patent applications;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claims of any patent issuing based on our patent applications will provide protection against competitors;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or not third parties will find ways to invalidate or circumvent our patent rights;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claimed in our patents and patent applications;</w:t>
      </w:r>
    </w:p>
    <w:p>
      <w:pPr>
        <w:spacing w:after="0" w:line="220" w:lineRule="exact"/>
        <w:rPr>
          <w:rFonts w:ascii="Arial" w:cs="Arial" w:eastAsia="Arial" w:hAnsi="Arial"/>
          <w:sz w:val="18"/>
          <w:szCs w:val="18"/>
          <w:color w:val="auto"/>
        </w:rPr>
      </w:pPr>
    </w:p>
    <w:p>
      <w:pPr>
        <w:ind w:left="1020" w:hanging="331"/>
        <w:spacing w:after="0" w:line="271" w:lineRule="auto"/>
        <w:tabs>
          <w:tab w:leader="none" w:pos="10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enforce and/or defend our patent rights which will be costly whether we win or lose; and/or</w:t>
      </w:r>
    </w:p>
    <w:p>
      <w:pPr>
        <w:spacing w:after="0" w:line="174" w:lineRule="exact"/>
        <w:rPr>
          <w:rFonts w:ascii="Arial" w:cs="Arial" w:eastAsia="Arial" w:hAnsi="Arial"/>
          <w:sz w:val="18"/>
          <w:szCs w:val="18"/>
          <w:color w:val="auto"/>
        </w:rPr>
      </w:pPr>
    </w:p>
    <w:p>
      <w:pPr>
        <w:ind w:left="1020" w:right="320" w:hanging="331"/>
        <w:spacing w:after="0" w:line="271" w:lineRule="auto"/>
        <w:tabs>
          <w:tab w:leader="none" w:pos="10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patent applications that we own or in-license will result in issued patents with claims that cover our product candidates or uses thereof in the U.S. or in other foreign countries.</w:t>
      </w:r>
    </w:p>
    <w:p>
      <w:pPr>
        <w:spacing w:after="0" w:line="201" w:lineRule="exact"/>
        <w:rPr>
          <w:sz w:val="20"/>
          <w:szCs w:val="20"/>
          <w:color w:val="auto"/>
        </w:rPr>
      </w:pPr>
    </w:p>
    <w:p>
      <w:pPr>
        <w:ind w:right="20" w:firstLine="873"/>
        <w:spacing w:after="0" w:line="267" w:lineRule="auto"/>
        <w:rPr>
          <w:sz w:val="20"/>
          <w:szCs w:val="20"/>
          <w:color w:val="auto"/>
        </w:rPr>
      </w:pPr>
      <w:r>
        <w:rPr>
          <w:rFonts w:ascii="Arial" w:cs="Arial" w:eastAsia="Arial" w:hAnsi="Arial"/>
          <w:sz w:val="16"/>
          <w:szCs w:val="16"/>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202" w:lineRule="exact"/>
        <w:rPr>
          <w:sz w:val="20"/>
          <w:szCs w:val="20"/>
          <w:color w:val="auto"/>
        </w:rPr>
      </w:pPr>
    </w:p>
    <w:p>
      <w:pPr>
        <w:ind w:right="20" w:firstLine="873"/>
        <w:spacing w:after="0" w:line="252"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spacing w:after="0" w:line="208" w:lineRule="exact"/>
        <w:rPr>
          <w:sz w:val="20"/>
          <w:szCs w:val="20"/>
          <w:color w:val="auto"/>
        </w:rPr>
      </w:pPr>
    </w:p>
    <w:p>
      <w:pPr>
        <w:ind w:right="20" w:firstLine="883"/>
        <w:spacing w:after="0" w:line="255" w:lineRule="auto"/>
        <w:rPr>
          <w:sz w:val="20"/>
          <w:szCs w:val="20"/>
          <w:color w:val="auto"/>
        </w:rPr>
      </w:pPr>
      <w:r>
        <w:rPr>
          <w:rFonts w:ascii="Arial" w:cs="Arial" w:eastAsia="Arial" w:hAnsi="Arial"/>
          <w:sz w:val="17"/>
          <w:szCs w:val="17"/>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firstLine="873"/>
        <w:spacing w:after="0" w:line="265" w:lineRule="auto"/>
        <w:rPr>
          <w:sz w:val="20"/>
          <w:szCs w:val="20"/>
          <w:color w:val="auto"/>
        </w:rPr>
      </w:pPr>
      <w:r>
        <w:rPr>
          <w:rFonts w:ascii="Arial" w:cs="Arial" w:eastAsia="Arial" w:hAnsi="Arial"/>
          <w:sz w:val="16"/>
          <w:szCs w:val="16"/>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205" w:lineRule="exact"/>
        <w:rPr>
          <w:sz w:val="20"/>
          <w:szCs w:val="20"/>
          <w:color w:val="auto"/>
        </w:rPr>
      </w:pPr>
    </w:p>
    <w:p>
      <w:pPr>
        <w:ind w:right="20" w:firstLine="873"/>
        <w:spacing w:after="0" w:line="250" w:lineRule="auto"/>
        <w:rPr>
          <w:sz w:val="20"/>
          <w:szCs w:val="20"/>
          <w:color w:val="auto"/>
        </w:rPr>
      </w:pPr>
      <w:r>
        <w:rPr>
          <w:rFonts w:ascii="Arial" w:cs="Arial" w:eastAsia="Arial" w:hAnsi="Arial"/>
          <w:sz w:val="17"/>
          <w:szCs w:val="17"/>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any product candidates we may develop, our business may be materially harmed.</w:t>
      </w:r>
    </w:p>
    <w:p>
      <w:pPr>
        <w:spacing w:after="0" w:line="234" w:lineRule="exact"/>
        <w:rPr>
          <w:sz w:val="20"/>
          <w:szCs w:val="20"/>
          <w:color w:val="auto"/>
        </w:rPr>
      </w:pPr>
    </w:p>
    <w:p>
      <w:pPr>
        <w:ind w:firstLine="873"/>
        <w:spacing w:after="0" w:line="265" w:lineRule="auto"/>
        <w:rPr>
          <w:sz w:val="20"/>
          <w:szCs w:val="20"/>
          <w:color w:val="auto"/>
        </w:rPr>
      </w:pPr>
      <w:r>
        <w:rPr>
          <w:rFonts w:ascii="Arial" w:cs="Arial" w:eastAsia="Arial" w:hAnsi="Arial"/>
          <w:sz w:val="16"/>
          <w:szCs w:val="16"/>
          <w:color w:val="auto"/>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215" w:lineRule="exact"/>
        <w:rPr>
          <w:sz w:val="20"/>
          <w:szCs w:val="20"/>
          <w:color w:val="auto"/>
        </w:rPr>
      </w:pPr>
    </w:p>
    <w:p>
      <w:pPr>
        <w:ind w:right="200" w:firstLine="873"/>
        <w:spacing w:after="0" w:line="255"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98" w:lineRule="exact"/>
        <w:rPr>
          <w:sz w:val="20"/>
          <w:szCs w:val="20"/>
          <w:color w:val="auto"/>
        </w:rPr>
      </w:pPr>
    </w:p>
    <w:p>
      <w:pPr>
        <w:ind w:right="20" w:firstLine="873"/>
        <w:spacing w:after="0" w:line="249" w:lineRule="auto"/>
        <w:rPr>
          <w:sz w:val="20"/>
          <w:szCs w:val="20"/>
          <w:color w:val="auto"/>
        </w:rPr>
      </w:pPr>
      <w:r>
        <w:rPr>
          <w:rFonts w:ascii="Arial" w:cs="Arial" w:eastAsia="Arial" w:hAnsi="Arial"/>
          <w:sz w:val="16"/>
          <w:szCs w:val="16"/>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interruptions or cyber incidents resulting from the conflict between Russia and Ukraine,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214" w:lineRule="exact"/>
        <w:rPr>
          <w:sz w:val="20"/>
          <w:szCs w:val="20"/>
          <w:color w:val="auto"/>
        </w:rPr>
      </w:pPr>
    </w:p>
    <w:p>
      <w:pPr>
        <w:ind w:firstLine="873"/>
        <w:spacing w:after="0" w:line="265" w:lineRule="auto"/>
        <w:rPr>
          <w:sz w:val="20"/>
          <w:szCs w:val="20"/>
          <w:color w:val="auto"/>
        </w:rPr>
      </w:pPr>
      <w:r>
        <w:rPr>
          <w:rFonts w:ascii="Arial" w:cs="Arial" w:eastAsia="Arial" w:hAnsi="Arial"/>
          <w:sz w:val="16"/>
          <w:szCs w:val="16"/>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2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202" w:lineRule="exact"/>
        <w:rPr>
          <w:sz w:val="20"/>
          <w:szCs w:val="20"/>
          <w:color w:val="auto"/>
        </w:rPr>
      </w:pPr>
    </w:p>
    <w:p>
      <w:pPr>
        <w:ind w:firstLine="873"/>
        <w:spacing w:after="0" w:line="265" w:lineRule="auto"/>
        <w:rPr>
          <w:sz w:val="20"/>
          <w:szCs w:val="20"/>
          <w:color w:val="auto"/>
        </w:rPr>
      </w:pPr>
      <w:r>
        <w:rPr>
          <w:rFonts w:ascii="Arial" w:cs="Arial" w:eastAsia="Arial" w:hAnsi="Arial"/>
          <w:sz w:val="16"/>
          <w:szCs w:val="16"/>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218" w:lineRule="exact"/>
        <w:rPr>
          <w:sz w:val="20"/>
          <w:szCs w:val="20"/>
          <w:color w:val="auto"/>
        </w:rPr>
      </w:pPr>
    </w:p>
    <w:p>
      <w:pPr>
        <w:ind w:right="100" w:firstLine="873"/>
        <w:spacing w:after="0" w:line="25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57" w:lineRule="exact"/>
        <w:rPr>
          <w:sz w:val="20"/>
          <w:szCs w:val="20"/>
          <w:color w:val="auto"/>
        </w:rPr>
      </w:pPr>
    </w:p>
    <w:p>
      <w:pPr>
        <w:ind w:right="180" w:firstLine="873"/>
        <w:spacing w:after="0" w:line="25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99"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b w:val="1"/>
          <w:bCs w:val="1"/>
          <w:i w:val="1"/>
          <w:iCs w:val="1"/>
          <w:color w:val="auto"/>
        </w:rPr>
        <w:t>Changes in patent law in the U.S. and other jurisdictions could diminish the value of patents in general, thereby impairing our ability to protect our product candidates.</w:t>
      </w:r>
    </w:p>
    <w:p>
      <w:pPr>
        <w:spacing w:after="0" w:line="202" w:lineRule="exact"/>
        <w:rPr>
          <w:sz w:val="20"/>
          <w:szCs w:val="20"/>
          <w:color w:val="auto"/>
        </w:rPr>
      </w:pPr>
    </w:p>
    <w:p>
      <w:pPr>
        <w:ind w:right="20" w:firstLine="873"/>
        <w:spacing w:after="0" w:line="249"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10" w:lineRule="exact"/>
        <w:rPr>
          <w:sz w:val="20"/>
          <w:szCs w:val="20"/>
          <w:color w:val="auto"/>
        </w:rPr>
      </w:pPr>
    </w:p>
    <w:p>
      <w:pPr>
        <w:ind w:right="100" w:firstLine="873"/>
        <w:spacing w:after="0" w:line="259"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99" w:lineRule="exact"/>
        <w:rPr>
          <w:sz w:val="20"/>
          <w:szCs w:val="20"/>
          <w:color w:val="auto"/>
        </w:rPr>
      </w:pPr>
    </w:p>
    <w:p>
      <w:pPr>
        <w:ind w:right="20" w:firstLine="873"/>
        <w:spacing w:after="0" w:line="238"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4" w:lineRule="exact"/>
        <w:rPr>
          <w:sz w:val="20"/>
          <w:szCs w:val="20"/>
          <w:color w:val="auto"/>
        </w:rPr>
      </w:pPr>
    </w:p>
    <w:p>
      <w:pPr>
        <w:ind w:firstLine="873"/>
        <w:spacing w:after="0" w:line="266" w:lineRule="auto"/>
        <w:rPr>
          <w:sz w:val="20"/>
          <w:szCs w:val="20"/>
          <w:color w:val="auto"/>
        </w:rPr>
      </w:pPr>
      <w:r>
        <w:rPr>
          <w:rFonts w:ascii="Arial" w:cs="Arial" w:eastAsia="Arial" w:hAnsi="Arial"/>
          <w:sz w:val="16"/>
          <w:szCs w:val="16"/>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202" w:lineRule="exact"/>
        <w:rPr>
          <w:sz w:val="20"/>
          <w:szCs w:val="20"/>
          <w:color w:val="auto"/>
        </w:rPr>
      </w:pPr>
    </w:p>
    <w:p>
      <w:pPr>
        <w:ind w:right="20" w:firstLine="873"/>
        <w:spacing w:after="0" w:line="270" w:lineRule="auto"/>
        <w:rPr>
          <w:sz w:val="20"/>
          <w:szCs w:val="20"/>
          <w:color w:val="auto"/>
        </w:rPr>
      </w:pPr>
      <w:r>
        <w:rPr>
          <w:rFonts w:ascii="Arial" w:cs="Arial" w:eastAsia="Arial" w:hAnsi="Arial"/>
          <w:sz w:val="16"/>
          <w:szCs w:val="16"/>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96" w:lineRule="exact"/>
        <w:rPr>
          <w:sz w:val="20"/>
          <w:szCs w:val="20"/>
          <w:color w:val="auto"/>
        </w:rPr>
      </w:pPr>
    </w:p>
    <w:p>
      <w:pPr>
        <w:ind w:firstLine="873"/>
        <w:spacing w:after="0" w:line="265" w:lineRule="auto"/>
        <w:rPr>
          <w:sz w:val="20"/>
          <w:szCs w:val="20"/>
          <w:color w:val="auto"/>
        </w:rPr>
      </w:pPr>
      <w:r>
        <w:rPr>
          <w:rFonts w:ascii="Arial" w:cs="Arial" w:eastAsia="Arial" w:hAnsi="Arial"/>
          <w:sz w:val="16"/>
          <w:szCs w:val="16"/>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73"/>
        <w:spacing w:after="0" w:line="251"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34" w:lineRule="exact"/>
        <w:rPr>
          <w:sz w:val="20"/>
          <w:szCs w:val="20"/>
          <w:color w:val="auto"/>
        </w:rPr>
      </w:pPr>
    </w:p>
    <w:p>
      <w:pPr>
        <w:ind w:right="100" w:firstLine="873"/>
        <w:spacing w:after="0" w:line="25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5" w:lineRule="exact"/>
        <w:rPr>
          <w:sz w:val="20"/>
          <w:szCs w:val="20"/>
          <w:color w:val="auto"/>
        </w:rPr>
      </w:pPr>
    </w:p>
    <w:p>
      <w:pPr>
        <w:ind w:left="1020" w:right="20" w:hanging="331"/>
        <w:spacing w:after="0" w:line="255"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175" w:lineRule="exact"/>
        <w:rPr>
          <w:rFonts w:ascii="Arial" w:cs="Arial" w:eastAsia="Arial" w:hAnsi="Arial"/>
          <w:sz w:val="18"/>
          <w:szCs w:val="18"/>
          <w:color w:val="auto"/>
        </w:rPr>
      </w:pPr>
    </w:p>
    <w:p>
      <w:pPr>
        <w:ind w:left="1020" w:right="120" w:hanging="331"/>
        <w:spacing w:after="0" w:line="271"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232" w:lineRule="exact"/>
        <w:rPr>
          <w:rFonts w:ascii="Arial" w:cs="Arial" w:eastAsia="Arial" w:hAnsi="Arial"/>
          <w:sz w:val="17"/>
          <w:szCs w:val="17"/>
          <w:color w:val="auto"/>
        </w:rPr>
      </w:pPr>
    </w:p>
    <w:p>
      <w:pPr>
        <w:ind w:left="1020" w:right="240" w:hanging="331"/>
        <w:spacing w:after="0" w:line="271"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20" w:lineRule="exact"/>
        <w:rPr>
          <w:rFonts w:ascii="Arial" w:cs="Arial" w:eastAsia="Arial" w:hAnsi="Arial"/>
          <w:sz w:val="18"/>
          <w:szCs w:val="18"/>
          <w:color w:val="auto"/>
        </w:rPr>
      </w:pPr>
    </w:p>
    <w:p>
      <w:pPr>
        <w:ind w:left="1020" w:right="880" w:hanging="331"/>
        <w:spacing w:after="0" w:line="271"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174" w:lineRule="exact"/>
        <w:rPr>
          <w:rFonts w:ascii="Arial" w:cs="Arial" w:eastAsia="Arial" w:hAnsi="Arial"/>
          <w:sz w:val="18"/>
          <w:szCs w:val="18"/>
          <w:color w:val="auto"/>
        </w:rPr>
      </w:pPr>
    </w:p>
    <w:p>
      <w:pPr>
        <w:ind w:left="1020" w:right="820" w:hanging="331"/>
        <w:spacing w:after="0" w:line="301" w:lineRule="auto"/>
        <w:tabs>
          <w:tab w:leader="none" w:pos="10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1" w:lineRule="exact"/>
        <w:rPr>
          <w:rFonts w:ascii="Arial" w:cs="Arial" w:eastAsia="Arial" w:hAnsi="Arial"/>
          <w:sz w:val="17"/>
          <w:szCs w:val="17"/>
          <w:color w:val="auto"/>
        </w:rPr>
      </w:pPr>
    </w:p>
    <w:p>
      <w:pPr>
        <w:ind w:left="1020" w:right="400" w:hanging="331"/>
        <w:spacing w:after="0" w:line="271"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74" w:lineRule="exact"/>
        <w:rPr>
          <w:rFonts w:ascii="Arial" w:cs="Arial" w:eastAsia="Arial" w:hAnsi="Arial"/>
          <w:sz w:val="18"/>
          <w:szCs w:val="18"/>
          <w:color w:val="auto"/>
        </w:rPr>
      </w:pPr>
    </w:p>
    <w:p>
      <w:pPr>
        <w:ind w:left="1020" w:right="20" w:hanging="331"/>
        <w:spacing w:after="0" w:line="271"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74" w:lineRule="exact"/>
        <w:rPr>
          <w:rFonts w:ascii="Arial" w:cs="Arial" w:eastAsia="Arial" w:hAnsi="Arial"/>
          <w:sz w:val="18"/>
          <w:szCs w:val="18"/>
          <w:color w:val="auto"/>
        </w:rPr>
      </w:pPr>
    </w:p>
    <w:p>
      <w:pPr>
        <w:ind w:left="1020" w:right="400" w:hanging="331"/>
        <w:spacing w:after="0" w:line="301" w:lineRule="auto"/>
        <w:tabs>
          <w:tab w:leader="none" w:pos="10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Supreme Court of the U.S., other U.S. federal courts, Congress, the USPTO or similar foreign authorities may change the standards of patentability and any such changes could narrow or invalidate, or change the scope of, our or our licensors’ patents;</w:t>
      </w:r>
    </w:p>
    <w:p>
      <w:pPr>
        <w:spacing w:after="0" w:line="151" w:lineRule="exact"/>
        <w:rPr>
          <w:rFonts w:ascii="Arial" w:cs="Arial" w:eastAsia="Arial" w:hAnsi="Arial"/>
          <w:sz w:val="17"/>
          <w:szCs w:val="17"/>
          <w:color w:val="auto"/>
        </w:rPr>
      </w:pPr>
    </w:p>
    <w:p>
      <w:pPr>
        <w:ind w:left="1000" w:hanging="311"/>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20" w:lineRule="exact"/>
        <w:rPr>
          <w:rFonts w:ascii="Arial" w:cs="Arial" w:eastAsia="Arial" w:hAnsi="Arial"/>
          <w:sz w:val="18"/>
          <w:szCs w:val="18"/>
          <w:color w:val="auto"/>
        </w:rPr>
      </w:pPr>
    </w:p>
    <w:p>
      <w:pPr>
        <w:ind w:left="1020" w:right="420" w:hanging="331"/>
        <w:spacing w:after="0" w:line="271"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360" w:hanging="331"/>
        <w:spacing w:after="0" w:line="271" w:lineRule="auto"/>
        <w:tabs>
          <w:tab w:leader="none" w:pos="10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on our product candidates and preclinical programs for an adequate amount of time.</w:t>
      </w:r>
    </w:p>
    <w:p>
      <w:pPr>
        <w:spacing w:after="0" w:line="280" w:lineRule="exact"/>
        <w:rPr>
          <w:sz w:val="20"/>
          <w:szCs w:val="20"/>
          <w:color w:val="auto"/>
        </w:rPr>
      </w:pPr>
    </w:p>
    <w:p>
      <w:pPr>
        <w:ind w:right="40" w:firstLine="873"/>
        <w:spacing w:after="0" w:line="249" w:lineRule="auto"/>
        <w:rPr>
          <w:sz w:val="20"/>
          <w:szCs w:val="20"/>
          <w:color w:val="auto"/>
        </w:rPr>
      </w:pPr>
      <w:r>
        <w:rPr>
          <w:rFonts w:ascii="Arial" w:cs="Arial" w:eastAsia="Arial" w:hAnsi="Arial"/>
          <w:sz w:val="17"/>
          <w:szCs w:val="17"/>
          <w:color w:val="auto"/>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38"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79" w:lineRule="exact"/>
        <w:rPr>
          <w:sz w:val="20"/>
          <w:szCs w:val="20"/>
          <w:color w:val="auto"/>
        </w:rPr>
      </w:pPr>
    </w:p>
    <w:p>
      <w:pPr>
        <w:ind w:right="60" w:firstLine="873"/>
        <w:spacing w:after="0" w:line="267" w:lineRule="auto"/>
        <w:rPr>
          <w:sz w:val="20"/>
          <w:szCs w:val="20"/>
          <w:color w:val="auto"/>
        </w:rPr>
      </w:pPr>
      <w:r>
        <w:rPr>
          <w:rFonts w:ascii="Arial" w:cs="Arial" w:eastAsia="Arial" w:hAnsi="Arial"/>
          <w:sz w:val="16"/>
          <w:szCs w:val="16"/>
          <w:color w:val="auto"/>
        </w:rPr>
        <w:t>Any product candidates we develop and the activities associated with their development and commercialization, including their design, testing, manufacture,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3" w:lineRule="exact"/>
        <w:rPr>
          <w:sz w:val="20"/>
          <w:szCs w:val="20"/>
          <w:color w:val="auto"/>
        </w:rPr>
      </w:pPr>
    </w:p>
    <w:p>
      <w:pPr>
        <w:ind w:left="1020" w:right="140" w:hanging="331"/>
        <w:spacing w:after="0" w:line="255" w:lineRule="auto"/>
        <w:tabs>
          <w:tab w:leader="none" w:pos="10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preclinical study or clinical trial may fail to produce safety and efficacy results satisfactory to the FDA or comparable foreign regulatory authorities;</w:t>
      </w:r>
    </w:p>
    <w:p>
      <w:pPr>
        <w:spacing w:after="0" w:line="175" w:lineRule="exact"/>
        <w:rPr>
          <w:rFonts w:ascii="Arial" w:cs="Arial" w:eastAsia="Arial" w:hAnsi="Arial"/>
          <w:sz w:val="18"/>
          <w:szCs w:val="18"/>
          <w:color w:val="auto"/>
        </w:rPr>
      </w:pPr>
    </w:p>
    <w:p>
      <w:pPr>
        <w:ind w:left="1000" w:hanging="311"/>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0" w:lineRule="exact"/>
        <w:rPr>
          <w:rFonts w:ascii="Arial" w:cs="Arial" w:eastAsia="Arial" w:hAnsi="Arial"/>
          <w:sz w:val="18"/>
          <w:szCs w:val="18"/>
          <w:color w:val="auto"/>
        </w:rPr>
      </w:pPr>
    </w:p>
    <w:p>
      <w:pPr>
        <w:ind w:left="1020" w:right="40" w:hanging="331"/>
        <w:spacing w:after="0" w:line="259" w:lineRule="auto"/>
        <w:tabs>
          <w:tab w:leader="none" w:pos="10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100" w:hanging="331"/>
        <w:spacing w:after="0" w:line="271" w:lineRule="auto"/>
        <w:tabs>
          <w:tab w:leader="none" w:pos="10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4" w:lineRule="exact"/>
        <w:rPr>
          <w:rFonts w:ascii="Arial" w:cs="Arial" w:eastAsia="Arial" w:hAnsi="Arial"/>
          <w:sz w:val="18"/>
          <w:szCs w:val="18"/>
          <w:color w:val="auto"/>
        </w:rPr>
      </w:pPr>
    </w:p>
    <w:p>
      <w:pPr>
        <w:ind w:left="1020" w:right="20" w:hanging="331"/>
        <w:spacing w:after="0" w:line="259" w:lineRule="auto"/>
        <w:tabs>
          <w:tab w:leader="none" w:pos="10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5" w:lineRule="exact"/>
        <w:rPr>
          <w:rFonts w:ascii="Arial" w:cs="Arial" w:eastAsia="Arial" w:hAnsi="Arial"/>
          <w:sz w:val="18"/>
          <w:szCs w:val="18"/>
          <w:color w:val="auto"/>
        </w:rPr>
      </w:pPr>
    </w:p>
    <w:p>
      <w:pPr>
        <w:jc w:val="both"/>
        <w:ind w:left="1020" w:right="160" w:hanging="331"/>
        <w:spacing w:after="0" w:line="259" w:lineRule="auto"/>
        <w:tabs>
          <w:tab w:leader="none" w:pos="10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213" w:lineRule="exact"/>
        <w:rPr>
          <w:sz w:val="20"/>
          <w:szCs w:val="20"/>
          <w:color w:val="auto"/>
        </w:rPr>
      </w:pPr>
    </w:p>
    <w:p>
      <w:pPr>
        <w:ind w:right="400" w:firstLine="883"/>
        <w:spacing w:after="0" w:line="255" w:lineRule="auto"/>
        <w:rPr>
          <w:sz w:val="20"/>
          <w:szCs w:val="20"/>
          <w:color w:val="auto"/>
        </w:rPr>
      </w:pPr>
      <w:r>
        <w:rPr>
          <w:rFonts w:ascii="Arial" w:cs="Arial" w:eastAsia="Arial" w:hAnsi="Arial"/>
          <w:sz w:val="18"/>
          <w:szCs w:val="18"/>
          <w:color w:val="auto"/>
        </w:rPr>
        <w:t>In addition, information generated during the clinical trial process is susceptible to varying interpretations that could delay, limit, or prevent marketing approval at any stage of the approval process.</w:t>
      </w:r>
    </w:p>
    <w:p>
      <w:pPr>
        <w:spacing w:after="0" w:line="202" w:lineRule="exact"/>
        <w:rPr>
          <w:sz w:val="20"/>
          <w:szCs w:val="20"/>
          <w:color w:val="auto"/>
        </w:rPr>
      </w:pPr>
    </w:p>
    <w:p>
      <w:pPr>
        <w:ind w:right="20" w:firstLine="883"/>
        <w:spacing w:after="0" w:line="251" w:lineRule="auto"/>
        <w:rPr>
          <w:sz w:val="20"/>
          <w:szCs w:val="20"/>
          <w:color w:val="auto"/>
        </w:rPr>
      </w:pPr>
      <w:r>
        <w:rPr>
          <w:rFonts w:ascii="Arial" w:cs="Arial" w:eastAsia="Arial" w:hAnsi="Arial"/>
          <w:sz w:val="17"/>
          <w:szCs w:val="17"/>
          <w:color w:val="auto"/>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210"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202" w:lineRule="exact"/>
        <w:rPr>
          <w:sz w:val="20"/>
          <w:szCs w:val="20"/>
          <w:color w:val="auto"/>
        </w:rPr>
      </w:pPr>
    </w:p>
    <w:p>
      <w:pPr>
        <w:ind w:right="20" w:firstLine="873"/>
        <w:spacing w:after="0" w:line="254" w:lineRule="auto"/>
        <w:rPr>
          <w:sz w:val="20"/>
          <w:szCs w:val="20"/>
          <w:color w:val="auto"/>
        </w:rPr>
      </w:pPr>
      <w:r>
        <w:rPr>
          <w:rFonts w:ascii="Arial" w:cs="Arial" w:eastAsia="Arial" w:hAnsi="Arial"/>
          <w:sz w:val="17"/>
          <w:szCs w:val="17"/>
          <w:color w:val="auto"/>
        </w:rPr>
        <w:t>In the U.S.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 and on the state level in the U.S. and elsewhere, including in the European Union,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203" w:lineRule="exact"/>
        <w:rPr>
          <w:sz w:val="20"/>
          <w:szCs w:val="20"/>
          <w:color w:val="auto"/>
        </w:rPr>
      </w:pPr>
    </w:p>
    <w:p>
      <w:pPr>
        <w:ind w:firstLine="873"/>
        <w:spacing w:after="0" w:line="266" w:lineRule="auto"/>
        <w:rPr>
          <w:sz w:val="20"/>
          <w:szCs w:val="20"/>
          <w:color w:val="auto"/>
        </w:rPr>
      </w:pPr>
      <w:r>
        <w:rPr>
          <w:rFonts w:ascii="Arial" w:cs="Arial" w:eastAsia="Arial" w:hAnsi="Arial"/>
          <w:sz w:val="16"/>
          <w:szCs w:val="16"/>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CMS to test innovative payment and service delivery models to lower Medicare and Medicaid spending, potentially including prescription drug spending.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40" w:firstLine="873"/>
        <w:spacing w:after="0" w:line="250" w:lineRule="auto"/>
        <w:rPr>
          <w:sz w:val="20"/>
          <w:szCs w:val="20"/>
          <w:color w:val="auto"/>
        </w:rPr>
      </w:pPr>
      <w:r>
        <w:rPr>
          <w:rFonts w:ascii="Arial" w:cs="Arial" w:eastAsia="Arial" w:hAnsi="Arial"/>
          <w:sz w:val="17"/>
          <w:szCs w:val="17"/>
          <w:color w:val="auto"/>
        </w:rPr>
        <w:t>Since its enactment, there have been judicial challenges to certain aspects of the Affordable Care Act, as well as efforts by Congress to modify, and agencies to alter the implementation of, certain aspects of the Affordable Care Act. For example, Congress eliminated, starting January 1, 2019, the tax penalty for not complying with the Affordable Care Act’s individual mandate to carry health insurance Congress eliminated, starting January 1, 2019, the tax penalty for not complying with the Affordable Care Act’s individual mandate to carry health insurance. Further, the Bipartisan Budget Act of 2018, among other things, amended the Affordable Care Act, effective January 1, 2019, to increase from 50 percent to 70 percent the point-of-sale discount that is owed by pharmaceutical manufacturers who participate in Medicare Part D to close the coverage gap in most Medicare drug plans, commonly referred to as the “donut hole.” In the future, Congress may consider other legislation to modify elements of the Affordable Care Act or other health care reform measures, agencies may further alter their implementation of elements of the Affordable Care Act or such other measures, and other judicial challenges to elements of the Affordable Care Act or such other measures may be brought. The extent to which any such changes may impact our business or financial condition is uncertain.</w:t>
      </w:r>
    </w:p>
    <w:p>
      <w:pPr>
        <w:spacing w:after="0" w:line="197" w:lineRule="exact"/>
        <w:rPr>
          <w:sz w:val="20"/>
          <w:szCs w:val="20"/>
          <w:color w:val="auto"/>
        </w:rPr>
      </w:pPr>
    </w:p>
    <w:p>
      <w:pPr>
        <w:ind w:firstLine="873"/>
        <w:spacing w:after="0" w:line="233"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with the exception of a temporary suspension of the 2% cut in Medicare payments from May 1, 2020, through March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It is unclear how the introduction of the Medicare quality payment program will impact our business.</w:t>
      </w:r>
    </w:p>
    <w:p>
      <w:pPr>
        <w:spacing w:after="0" w:line="221" w:lineRule="exact"/>
        <w:rPr>
          <w:sz w:val="20"/>
          <w:szCs w:val="20"/>
          <w:color w:val="auto"/>
        </w:rPr>
      </w:pPr>
    </w:p>
    <w:p>
      <w:pPr>
        <w:ind w:right="20" w:firstLine="873"/>
        <w:spacing w:after="0" w:line="254" w:lineRule="auto"/>
        <w:rPr>
          <w:sz w:val="20"/>
          <w:szCs w:val="20"/>
          <w:color w:val="auto"/>
        </w:rPr>
      </w:pPr>
      <w:r>
        <w:rPr>
          <w:rFonts w:ascii="Arial" w:cs="Arial" w:eastAsia="Arial" w:hAnsi="Arial"/>
          <w:sz w:val="17"/>
          <w:szCs w:val="17"/>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203" w:lineRule="exact"/>
        <w:rPr>
          <w:sz w:val="20"/>
          <w:szCs w:val="20"/>
          <w:color w:val="auto"/>
        </w:rPr>
      </w:pPr>
    </w:p>
    <w:p>
      <w:pPr>
        <w:ind w:right="40" w:firstLine="873"/>
        <w:spacing w:after="0" w:line="280" w:lineRule="auto"/>
        <w:rPr>
          <w:sz w:val="20"/>
          <w:szCs w:val="20"/>
          <w:color w:val="auto"/>
        </w:rPr>
      </w:pPr>
      <w:r>
        <w:rPr>
          <w:rFonts w:ascii="Arial" w:cs="Arial" w:eastAsia="Arial" w:hAnsi="Arial"/>
          <w:sz w:val="16"/>
          <w:szCs w:val="16"/>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185" w:lineRule="exact"/>
        <w:rPr>
          <w:sz w:val="20"/>
          <w:szCs w:val="20"/>
          <w:color w:val="auto"/>
        </w:rPr>
      </w:pPr>
    </w:p>
    <w:p>
      <w:pPr>
        <w:ind w:right="100" w:firstLine="873"/>
        <w:spacing w:after="0" w:line="238" w:lineRule="auto"/>
        <w:rPr>
          <w:sz w:val="20"/>
          <w:szCs w:val="20"/>
          <w:color w:val="auto"/>
        </w:rPr>
      </w:pPr>
      <w:r>
        <w:rPr>
          <w:rFonts w:ascii="Arial" w:cs="Arial" w:eastAsia="Arial" w:hAnsi="Arial"/>
          <w:sz w:val="18"/>
          <w:szCs w:val="18"/>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217" w:lineRule="exact"/>
        <w:rPr>
          <w:sz w:val="20"/>
          <w:szCs w:val="20"/>
          <w:color w:val="auto"/>
        </w:rPr>
      </w:pPr>
    </w:p>
    <w:p>
      <w:pPr>
        <w:ind w:right="80" w:firstLine="873"/>
        <w:spacing w:after="0" w:line="25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99" w:lineRule="exact"/>
        <w:rPr>
          <w:sz w:val="20"/>
          <w:szCs w:val="20"/>
          <w:color w:val="auto"/>
        </w:rPr>
      </w:pPr>
    </w:p>
    <w:p>
      <w:pPr>
        <w:ind w:right="200"/>
        <w:spacing w:after="0" w:line="317" w:lineRule="auto"/>
        <w:rPr>
          <w:sz w:val="20"/>
          <w:szCs w:val="20"/>
          <w:color w:val="auto"/>
        </w:rPr>
      </w:pPr>
      <w:r>
        <w:rPr>
          <w:rFonts w:ascii="Arial" w:cs="Arial" w:eastAsia="Arial" w:hAnsi="Arial"/>
          <w:sz w:val="16"/>
          <w:szCs w:val="16"/>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firstLine="873"/>
        <w:spacing w:after="0" w:line="264" w:lineRule="auto"/>
        <w:rPr>
          <w:sz w:val="20"/>
          <w:szCs w:val="20"/>
          <w:color w:val="auto"/>
        </w:rPr>
      </w:pPr>
      <w:r>
        <w:rPr>
          <w:rFonts w:ascii="Arial" w:cs="Arial" w:eastAsia="Arial" w:hAnsi="Arial"/>
          <w:sz w:val="16"/>
          <w:szCs w:val="16"/>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02" w:lineRule="exact"/>
        <w:rPr>
          <w:sz w:val="20"/>
          <w:szCs w:val="20"/>
          <w:color w:val="auto"/>
        </w:rPr>
      </w:pPr>
    </w:p>
    <w:p>
      <w:pPr>
        <w:ind w:right="120" w:firstLine="873"/>
        <w:spacing w:after="0" w:line="252" w:lineRule="auto"/>
        <w:rPr>
          <w:sz w:val="20"/>
          <w:szCs w:val="20"/>
          <w:color w:val="auto"/>
        </w:rPr>
      </w:pPr>
      <w:r>
        <w:rPr>
          <w:rFonts w:ascii="Arial" w:cs="Arial" w:eastAsia="Arial" w:hAnsi="Arial"/>
          <w:sz w:val="17"/>
          <w:szCs w:val="17"/>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208" w:lineRule="exact"/>
        <w:rPr>
          <w:sz w:val="20"/>
          <w:szCs w:val="20"/>
          <w:color w:val="auto"/>
        </w:rPr>
      </w:pPr>
    </w:p>
    <w:p>
      <w:pPr>
        <w:ind w:right="40" w:firstLine="873"/>
        <w:spacing w:after="0"/>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15" w:lineRule="exact"/>
        <w:rPr>
          <w:sz w:val="20"/>
          <w:szCs w:val="20"/>
          <w:color w:val="auto"/>
        </w:rPr>
      </w:pPr>
    </w:p>
    <w:p>
      <w:pPr>
        <w:ind w:right="80" w:firstLine="873"/>
        <w:spacing w:after="0" w:line="24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211" w:lineRule="exact"/>
        <w:rPr>
          <w:sz w:val="20"/>
          <w:szCs w:val="20"/>
          <w:color w:val="auto"/>
        </w:rPr>
      </w:pPr>
    </w:p>
    <w:p>
      <w:pPr>
        <w:ind w:right="40" w:firstLine="873"/>
        <w:spacing w:after="0" w:line="270" w:lineRule="auto"/>
        <w:rPr>
          <w:sz w:val="20"/>
          <w:szCs w:val="20"/>
          <w:color w:val="auto"/>
        </w:rPr>
      </w:pPr>
      <w:r>
        <w:rPr>
          <w:rFonts w:ascii="Arial" w:cs="Arial" w:eastAsia="Arial" w:hAnsi="Arial"/>
          <w:sz w:val="16"/>
          <w:szCs w:val="16"/>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TP-03, lotilaner, from Elanco, who sources through a single source supplier. If such manufacturers become subject to such injunctions or sanctions due to non-compliance, it could delay, prevent or impair our development or commercialization efforts,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198" w:lineRule="exact"/>
        <w:rPr>
          <w:sz w:val="20"/>
          <w:szCs w:val="20"/>
          <w:color w:val="auto"/>
        </w:rPr>
      </w:pPr>
    </w:p>
    <w:p>
      <w:pPr>
        <w:ind w:firstLine="873"/>
        <w:spacing w:after="0" w:line="224" w:lineRule="auto"/>
        <w:rPr>
          <w:sz w:val="20"/>
          <w:szCs w:val="20"/>
          <w:color w:val="auto"/>
        </w:rPr>
      </w:pPr>
      <w:r>
        <w:rPr>
          <w:rFonts w:ascii="Arial" w:cs="Arial" w:eastAsia="Arial" w:hAnsi="Arial"/>
          <w:sz w:val="18"/>
          <w:szCs w:val="18"/>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are further described in the section titled “Business - Government Regulation - Other Regulatory Matters.”</w:t>
      </w:r>
    </w:p>
    <w:p>
      <w:pPr>
        <w:spacing w:after="0" w:line="218" w:lineRule="exact"/>
        <w:rPr>
          <w:sz w:val="20"/>
          <w:szCs w:val="20"/>
          <w:color w:val="auto"/>
        </w:rPr>
      </w:pPr>
    </w:p>
    <w:p>
      <w:pPr>
        <w:ind w:right="120" w:firstLine="883"/>
        <w:spacing w:after="0" w:line="238" w:lineRule="auto"/>
        <w:rPr>
          <w:sz w:val="20"/>
          <w:szCs w:val="20"/>
          <w:color w:val="auto"/>
        </w:rPr>
      </w:pPr>
      <w:r>
        <w:rPr>
          <w:rFonts w:ascii="Arial" w:cs="Arial" w:eastAsia="Arial" w:hAnsi="Arial"/>
          <w:sz w:val="18"/>
          <w:szCs w:val="18"/>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w:t>
      </w:r>
    </w:p>
    <w:p>
      <w:pPr>
        <w:spacing w:after="0" w:line="217" w:lineRule="exact"/>
        <w:rPr>
          <w:sz w:val="20"/>
          <w:szCs w:val="20"/>
          <w:color w:val="auto"/>
        </w:rPr>
      </w:pPr>
    </w:p>
    <w:p>
      <w:pPr>
        <w:ind w:right="220" w:firstLine="873"/>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218" w:lineRule="exact"/>
        <w:rPr>
          <w:sz w:val="20"/>
          <w:szCs w:val="20"/>
          <w:color w:val="auto"/>
        </w:rPr>
      </w:pPr>
    </w:p>
    <w:p>
      <w:pPr>
        <w:ind w:right="200" w:firstLine="873"/>
        <w:spacing w:after="0" w:line="269" w:lineRule="auto"/>
        <w:rPr>
          <w:sz w:val="20"/>
          <w:szCs w:val="20"/>
          <w:color w:val="auto"/>
        </w:rPr>
      </w:pPr>
      <w:r>
        <w:rPr>
          <w:rFonts w:ascii="Arial" w:cs="Arial" w:eastAsia="Arial" w:hAnsi="Arial"/>
          <w:sz w:val="16"/>
          <w:szCs w:val="16"/>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9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8" w:lineRule="exact"/>
        <w:rPr>
          <w:sz w:val="20"/>
          <w:szCs w:val="20"/>
          <w:color w:val="auto"/>
        </w:rPr>
      </w:pPr>
    </w:p>
    <w:p>
      <w:pPr>
        <w:ind w:right="20" w:firstLine="873"/>
        <w:spacing w:after="0" w:line="280"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5" w:lineRule="exact"/>
        <w:rPr>
          <w:sz w:val="20"/>
          <w:szCs w:val="20"/>
          <w:color w:val="auto"/>
        </w:rPr>
      </w:pPr>
    </w:p>
    <w:p>
      <w:pPr>
        <w:ind w:right="20" w:firstLine="873"/>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80" w:firstLine="873"/>
        <w:spacing w:after="0" w:line="268" w:lineRule="auto"/>
        <w:rPr>
          <w:sz w:val="20"/>
          <w:szCs w:val="20"/>
          <w:color w:val="auto"/>
        </w:rPr>
      </w:pPr>
      <w:r>
        <w:rPr>
          <w:rFonts w:ascii="Arial" w:cs="Arial" w:eastAsia="Arial" w:hAnsi="Arial"/>
          <w:sz w:val="16"/>
          <w:szCs w:val="16"/>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97" w:lineRule="exact"/>
        <w:rPr>
          <w:sz w:val="20"/>
          <w:szCs w:val="20"/>
          <w:color w:val="auto"/>
        </w:rPr>
      </w:pPr>
    </w:p>
    <w:p>
      <w:pPr>
        <w:ind w:right="300"/>
        <w:spacing w:after="0" w:line="348" w:lineRule="auto"/>
        <w:rPr>
          <w:sz w:val="20"/>
          <w:szCs w:val="20"/>
          <w:color w:val="auto"/>
        </w:rPr>
      </w:pPr>
      <w:r>
        <w:rPr>
          <w:rFonts w:ascii="Arial" w:cs="Arial" w:eastAsia="Arial" w:hAnsi="Arial"/>
          <w:sz w:val="14"/>
          <w:szCs w:val="14"/>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42" w:lineRule="exact"/>
        <w:rPr>
          <w:sz w:val="20"/>
          <w:szCs w:val="20"/>
          <w:color w:val="auto"/>
        </w:rPr>
      </w:pPr>
    </w:p>
    <w:p>
      <w:pPr>
        <w:ind w:right="180" w:firstLine="873"/>
        <w:spacing w:after="0" w:line="267"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U.S.</w:t>
      </w:r>
    </w:p>
    <w:p>
      <w:pPr>
        <w:spacing w:after="0" w:line="200" w:lineRule="exact"/>
        <w:rPr>
          <w:sz w:val="20"/>
          <w:szCs w:val="20"/>
          <w:color w:val="auto"/>
        </w:rPr>
      </w:pPr>
    </w:p>
    <w:p>
      <w:pPr>
        <w:jc w:val="both"/>
        <w:ind w:right="40" w:firstLine="873"/>
        <w:spacing w:after="0" w:line="24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211" w:lineRule="exact"/>
        <w:rPr>
          <w:sz w:val="20"/>
          <w:szCs w:val="20"/>
          <w:color w:val="auto"/>
        </w:rPr>
      </w:pPr>
    </w:p>
    <w:p>
      <w:pPr>
        <w:ind w:right="140" w:firstLine="873"/>
        <w:spacing w:after="0" w:line="255"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75" w:lineRule="exact"/>
        <w:rPr>
          <w:sz w:val="20"/>
          <w:szCs w:val="20"/>
          <w:color w:val="auto"/>
        </w:rPr>
      </w:pPr>
    </w:p>
    <w:p>
      <w:pPr>
        <w:ind w:left="1000" w:hanging="31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48" w:lineRule="exact"/>
        <w:rPr>
          <w:sz w:val="20"/>
          <w:szCs w:val="20"/>
          <w:color w:val="auto"/>
        </w:rPr>
      </w:pPr>
    </w:p>
    <w:p>
      <w:pPr>
        <w:ind w:right="40" w:firstLine="883"/>
        <w:spacing w:after="0" w:line="275" w:lineRule="auto"/>
        <w:rPr>
          <w:sz w:val="20"/>
          <w:szCs w:val="20"/>
          <w:color w:val="auto"/>
        </w:rPr>
      </w:pPr>
      <w:r>
        <w:rPr>
          <w:rFonts w:ascii="Arial" w:cs="Arial" w:eastAsia="Arial" w:hAnsi="Arial"/>
          <w:sz w:val="16"/>
          <w:szCs w:val="16"/>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0" w:lineRule="exact"/>
        <w:rPr>
          <w:sz w:val="20"/>
          <w:szCs w:val="20"/>
          <w:color w:val="auto"/>
        </w:rPr>
      </w:pPr>
    </w:p>
    <w:p>
      <w:pPr>
        <w:ind w:firstLine="873"/>
        <w:spacing w:after="0"/>
        <w:rPr>
          <w:sz w:val="20"/>
          <w:szCs w:val="20"/>
          <w:color w:val="auto"/>
        </w:rPr>
      </w:pPr>
      <w:r>
        <w:rPr>
          <w:rFonts w:ascii="Arial" w:cs="Arial" w:eastAsia="Arial" w:hAnsi="Arial"/>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215" w:lineRule="exact"/>
        <w:rPr>
          <w:sz w:val="20"/>
          <w:szCs w:val="20"/>
          <w:color w:val="auto"/>
        </w:rPr>
      </w:pPr>
    </w:p>
    <w:p>
      <w:pPr>
        <w:ind w:firstLine="873"/>
        <w:spacing w:after="0" w:line="275" w:lineRule="auto"/>
        <w:rPr>
          <w:sz w:val="20"/>
          <w:szCs w:val="20"/>
          <w:color w:val="auto"/>
        </w:rPr>
      </w:pPr>
      <w:r>
        <w:rPr>
          <w:rFonts w:ascii="Arial" w:cs="Arial" w:eastAsia="Arial" w:hAnsi="Arial"/>
          <w:sz w:val="16"/>
          <w:szCs w:val="16"/>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90" w:lineRule="exact"/>
        <w:rPr>
          <w:sz w:val="20"/>
          <w:szCs w:val="20"/>
          <w:color w:val="auto"/>
        </w:rPr>
      </w:pPr>
    </w:p>
    <w:p>
      <w:pPr>
        <w:ind w:right="20" w:firstLine="873"/>
        <w:spacing w:after="0" w:line="270" w:lineRule="auto"/>
        <w:rPr>
          <w:sz w:val="20"/>
          <w:szCs w:val="20"/>
          <w:color w:val="auto"/>
        </w:rPr>
      </w:pPr>
      <w:r>
        <w:rPr>
          <w:rFonts w:ascii="Arial" w:cs="Arial" w:eastAsia="Arial" w:hAnsi="Arial"/>
          <w:sz w:val="16"/>
          <w:szCs w:val="16"/>
          <w:color w:val="auto"/>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211" w:lineRule="exact"/>
        <w:rPr>
          <w:sz w:val="20"/>
          <w:szCs w:val="20"/>
          <w:color w:val="auto"/>
        </w:rPr>
      </w:pPr>
    </w:p>
    <w:p>
      <w:pPr>
        <w:ind w:firstLine="873"/>
        <w:spacing w:after="0" w:line="251"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spacing w:after="0" w:line="193" w:lineRule="exact"/>
        <w:rPr>
          <w:sz w:val="20"/>
          <w:szCs w:val="20"/>
          <w:color w:val="auto"/>
        </w:rPr>
      </w:pPr>
    </w:p>
    <w:p>
      <w:pPr>
        <w:ind w:right="20" w:firstLine="873"/>
        <w:spacing w:after="0" w:line="254" w:lineRule="auto"/>
        <w:rPr>
          <w:sz w:val="20"/>
          <w:szCs w:val="20"/>
          <w:color w:val="auto"/>
        </w:rPr>
      </w:pPr>
      <w:r>
        <w:rPr>
          <w:rFonts w:ascii="Arial" w:cs="Arial" w:eastAsia="Arial" w:hAnsi="Arial"/>
          <w:sz w:val="16"/>
          <w:szCs w:val="16"/>
          <w:color w:val="auto"/>
        </w:rPr>
        <w:t>Furthermore, states are constantly adopting new laws or amending existing laws, requiring attention to frequently changing regulatory requirements. For example, California has enacted the CCPA, which created new transparency requirements, granted to California consumers (as that term is broadly defined) several new rights with regard their personal information, and placed increased privacy and security obligations on entities handling personal data of consumers or households. The CCPA requires covered companies to provide new disclosures to California consumers, and provides such consumers new ways to opt-out of certain sales of personal information, and allows for a new cause of action for certain data breaches. In addition, in</w:t>
      </w:r>
    </w:p>
    <w:p>
      <w:pPr>
        <w:spacing w:after="0" w:line="3"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November 2020, California voters approved the CPRA which introduced significant amendments to the CCPA and established and funded the CPPA. The amendments introduced by the CPRA go into effect on January 1, 2023, and new implementing regulations are expected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The CCPA could impact our business activities depending on how it is interpreted and exemplifies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spacing w:after="0" w:line="220" w:lineRule="exact"/>
        <w:rPr>
          <w:sz w:val="20"/>
          <w:szCs w:val="20"/>
          <w:color w:val="auto"/>
        </w:rPr>
      </w:pPr>
    </w:p>
    <w:p>
      <w:pPr>
        <w:ind w:right="160" w:firstLine="873"/>
        <w:spacing w:after="0"/>
        <w:rPr>
          <w:sz w:val="20"/>
          <w:szCs w:val="20"/>
          <w:color w:val="auto"/>
        </w:rPr>
      </w:pPr>
      <w:r>
        <w:rPr>
          <w:rFonts w:ascii="Arial" w:cs="Arial" w:eastAsia="Arial" w:hAnsi="Arial"/>
          <w:sz w:val="18"/>
          <w:szCs w:val="18"/>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w:t>
      </w:r>
    </w:p>
    <w:p>
      <w:pPr>
        <w:spacing w:after="0" w:line="195" w:lineRule="exact"/>
        <w:rPr>
          <w:sz w:val="20"/>
          <w:szCs w:val="20"/>
          <w:color w:val="auto"/>
        </w:rPr>
      </w:pPr>
    </w:p>
    <w:p>
      <w:pPr>
        <w:ind w:right="40" w:firstLine="883"/>
        <w:spacing w:after="0" w:line="245" w:lineRule="auto"/>
        <w:rPr>
          <w:sz w:val="20"/>
          <w:szCs w:val="20"/>
          <w:color w:val="auto"/>
        </w:rPr>
      </w:pPr>
      <w:r>
        <w:rPr>
          <w:rFonts w:ascii="Arial" w:cs="Arial" w:eastAsia="Arial" w:hAnsi="Arial"/>
          <w:sz w:val="16"/>
          <w:szCs w:val="16"/>
          <w:color w:val="auto"/>
        </w:rPr>
        <w:t>Activities outside of the U.S. implicate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strict obligations and restrictions on the ability to collect, analyze and transfer personal data, including to health-related information from clinical trials. In particular, these obligations and restrictions concern the consent of the individuals to whom the personal data relates, the processing details disclosed to the individuals, the sharing of personal data with third parties, the transfer of personal data out of the EU, contracting requirements (such as with clinical trial sites and vendors), and security breach notifications. Failure to comply with the GDPR may result in substantial fines (up to EUR 20 million or 4% of the annual global revenue of a noncompliant company, whichever is greater) and other administrative penalties.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Enforcement by EU and UK regulators is active, and failure to comply with the GDPR or applicable Member State law may result in substantial fines. Additionally, on July 16, 2020, the Court of Justice of the European Union, in the case of Data Protection Commissioner v. Facebook Ireland Limited, Maximillian Schrems (Case C-311/18) (“Schrems II”), ruled the Privacy Shield to be an invalid data transfer mechanism and confirmed that the Standard Contractual Clauses remain valid.</w:t>
      </w:r>
    </w:p>
    <w:p>
      <w:pPr>
        <w:spacing w:after="0" w:line="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During June 2021, the European Commission published updated versions of the Model Clauses, which must be incorporated into new and existing agreements within prescribed timeframes in order to continue to lawfully transfer personal data outside of the EU. Compliance with data transfer obligations involves documenting detailed analyses of data access and protection laws in the countries in which data importers are located, which can be costly and time-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consuming. Data importers must also expend resources in analyzing their ability to comply with transfer obligations, including implementing new safeguards and controls to further protect personal data.</w:t>
      </w:r>
    </w:p>
    <w:p>
      <w:pPr>
        <w:spacing w:after="0" w:line="201" w:lineRule="exact"/>
        <w:rPr>
          <w:sz w:val="20"/>
          <w:szCs w:val="20"/>
          <w:color w:val="auto"/>
        </w:rPr>
      </w:pPr>
    </w:p>
    <w:p>
      <w:pPr>
        <w:ind w:right="60" w:firstLine="873"/>
        <w:spacing w:after="0" w:line="255" w:lineRule="auto"/>
        <w:rPr>
          <w:sz w:val="20"/>
          <w:szCs w:val="20"/>
          <w:color w:val="auto"/>
        </w:rPr>
      </w:pPr>
      <w:r>
        <w:rPr>
          <w:rFonts w:ascii="Arial" w:cs="Arial" w:eastAsia="Arial" w:hAnsi="Arial"/>
          <w:sz w:val="16"/>
          <w:szCs w:val="16"/>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However, the United Kingdom has transposed the GDPR into domestic law with the Data Protection Act 2018, which remains in force following the United Kingdom’s departure from the EU. In June 2021, the European Commission adopted an adequacy decision, pursuant to which personal data can flow freely between the EU and the UK. We may incur liabilities, expenses, costs, and other operational losses under GDPR and applicable EU Member States and the United Kingdom privacy laws in connection with any measures we take to comply with them.</w:t>
      </w:r>
    </w:p>
    <w:p>
      <w:pPr>
        <w:spacing w:after="0" w:line="191" w:lineRule="exact"/>
        <w:rPr>
          <w:sz w:val="20"/>
          <w:szCs w:val="20"/>
          <w:color w:val="auto"/>
        </w:rPr>
      </w:pPr>
    </w:p>
    <w:p>
      <w:pPr>
        <w:ind w:firstLine="873"/>
        <w:spacing w:after="0" w:line="234" w:lineRule="auto"/>
        <w:rPr>
          <w:sz w:val="20"/>
          <w:szCs w:val="20"/>
          <w:color w:val="auto"/>
        </w:rPr>
      </w:pPr>
      <w:r>
        <w:rPr>
          <w:rFonts w:ascii="Arial" w:cs="Arial" w:eastAsia="Arial" w:hAnsi="Arial"/>
          <w:sz w:val="17"/>
          <w:szCs w:val="17"/>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 related safeguards will protect us from the risks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associated with the third-party processing, storage and transmission of such information. Furthermore, the laws are not consistent, and compliance in the event of a widespread data breach is costly.</w:t>
      </w:r>
    </w:p>
    <w:p>
      <w:pPr>
        <w:spacing w:after="0" w:line="215" w:lineRule="exact"/>
        <w:rPr>
          <w:sz w:val="20"/>
          <w:szCs w:val="20"/>
          <w:color w:val="auto"/>
        </w:rPr>
      </w:pPr>
    </w:p>
    <w:p>
      <w:pPr>
        <w:ind w:right="100"/>
        <w:spacing w:after="0" w:line="348" w:lineRule="auto"/>
        <w:rPr>
          <w:sz w:val="20"/>
          <w:szCs w:val="20"/>
          <w:color w:val="auto"/>
        </w:rPr>
      </w:pPr>
      <w:r>
        <w:rPr>
          <w:rFonts w:ascii="Arial" w:cs="Arial" w:eastAsia="Arial" w:hAnsi="Arial"/>
          <w:sz w:val="14"/>
          <w:szCs w:val="14"/>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29" w:lineRule="exact"/>
        <w:rPr>
          <w:sz w:val="20"/>
          <w:szCs w:val="20"/>
          <w:color w:val="auto"/>
        </w:rPr>
      </w:pPr>
    </w:p>
    <w:p>
      <w:pPr>
        <w:ind w:right="80" w:firstLine="873"/>
        <w:spacing w:after="0" w:line="232" w:lineRule="auto"/>
        <w:rPr>
          <w:sz w:val="20"/>
          <w:szCs w:val="20"/>
          <w:color w:val="auto"/>
        </w:rPr>
      </w:pPr>
      <w:r>
        <w:rPr>
          <w:rFonts w:ascii="Arial" w:cs="Arial" w:eastAsia="Arial" w:hAnsi="Arial"/>
          <w:sz w:val="18"/>
          <w:szCs w:val="18"/>
          <w:color w:val="auto"/>
        </w:rPr>
        <w:t>If we successfully commercialize any of our product candidates, we may participate in the Medicaid Drug Rebate Program, the 340B Program, and the VA/FSS program. More details about these programs are included in the section titled “Business - Government Regulatory – Coverage and Reimbursement”.</w:t>
      </w:r>
    </w:p>
    <w:p>
      <w:pPr>
        <w:spacing w:after="0" w:line="216" w:lineRule="exact"/>
        <w:rPr>
          <w:sz w:val="20"/>
          <w:szCs w:val="20"/>
          <w:color w:val="auto"/>
        </w:rPr>
      </w:pPr>
    </w:p>
    <w:p>
      <w:pPr>
        <w:ind w:firstLine="873"/>
        <w:spacing w:after="0" w:line="244" w:lineRule="auto"/>
        <w:rPr>
          <w:sz w:val="20"/>
          <w:szCs w:val="20"/>
          <w:color w:val="auto"/>
        </w:rPr>
      </w:pPr>
      <w:r>
        <w:rPr>
          <w:rFonts w:ascii="Arial" w:cs="Arial" w:eastAsia="Arial" w:hAnsi="Arial"/>
          <w:sz w:val="18"/>
          <w:szCs w:val="18"/>
          <w:color w:val="auto"/>
        </w:rPr>
        <w:t>If we fail to comply with any applicable obligations under governmental pricing programs that we participate in, we could be subject to significant civil monetary penalties, or other adverse consequences and those could negatively impact our business, financial condition, results of operations and growth prospects.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3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b w:val="1"/>
          <w:bCs w:val="1"/>
          <w:i w:val="1"/>
          <w:iCs w:val="1"/>
          <w:color w:val="auto"/>
        </w:rPr>
        <w:t>The stock price of our common stock may be volatile or may decline regardless of our operating performance and you could lose all or part of your investment.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92" w:lineRule="exact"/>
        <w:rPr>
          <w:sz w:val="20"/>
          <w:szCs w:val="20"/>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07"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results from our ongoing clinical trials and future clinical trials with our current and future product candidates or of our competitors;</w:t>
      </w:r>
    </w:p>
    <w:p>
      <w:pPr>
        <w:spacing w:after="0" w:line="232" w:lineRule="exact"/>
        <w:rPr>
          <w:rFonts w:ascii="Arial" w:cs="Arial" w:eastAsia="Arial" w:hAnsi="Arial"/>
          <w:sz w:val="17"/>
          <w:szCs w:val="17"/>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delays in the commencement, enrollment and the ultimate completion of clinical trials;</w:t>
      </w:r>
    </w:p>
    <w:p>
      <w:pPr>
        <w:spacing w:after="0" w:line="220" w:lineRule="exact"/>
        <w:rPr>
          <w:rFonts w:ascii="Arial" w:cs="Arial" w:eastAsia="Arial" w:hAnsi="Arial"/>
          <w:sz w:val="18"/>
          <w:szCs w:val="18"/>
          <w:color w:val="auto"/>
        </w:rPr>
      </w:pPr>
    </w:p>
    <w:p>
      <w:pPr>
        <w:ind w:left="1020" w:right="120" w:hanging="331"/>
        <w:spacing w:after="0" w:line="271"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level of expenses related to future product candidates or clinical development programs;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failure to achieve product development or commercialization goals or regulatory approval milestones in the timeframe we announce;</w:t>
      </w:r>
    </w:p>
    <w:p>
      <w:pPr>
        <w:spacing w:after="0" w:line="243" w:lineRule="exact"/>
        <w:rPr>
          <w:rFonts w:ascii="Arial" w:cs="Arial" w:eastAsia="Arial" w:hAnsi="Arial"/>
          <w:sz w:val="16"/>
          <w:szCs w:val="16"/>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hospital or ECP practices;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COVID-19;</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hanging="31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factors discussed in this report.</w:t>
      </w:r>
    </w:p>
    <w:p>
      <w:pPr>
        <w:spacing w:after="0" w:line="248" w:lineRule="exact"/>
        <w:rPr>
          <w:sz w:val="20"/>
          <w:szCs w:val="20"/>
          <w:color w:val="auto"/>
        </w:rPr>
      </w:pPr>
    </w:p>
    <w:p>
      <w:pPr>
        <w:ind w:right="40" w:firstLine="883"/>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202" w:lineRule="exact"/>
        <w:rPr>
          <w:sz w:val="20"/>
          <w:szCs w:val="20"/>
          <w:color w:val="auto"/>
        </w:rPr>
      </w:pPr>
    </w:p>
    <w:p>
      <w:pPr>
        <w:ind w:firstLine="873"/>
        <w:spacing w:after="0" w:line="254"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we cannot be certain if the reduced reporting requirements applicable to emerging growth companies will make our common stock less attractive to investors.</w:t>
      </w:r>
    </w:p>
    <w:p>
      <w:pPr>
        <w:spacing w:after="0" w:line="202" w:lineRule="exact"/>
        <w:rPr>
          <w:sz w:val="20"/>
          <w:szCs w:val="20"/>
          <w:color w:val="auto"/>
        </w:rPr>
      </w:pPr>
    </w:p>
    <w:p>
      <w:pPr>
        <w:ind w:right="80" w:firstLine="873"/>
        <w:spacing w:after="0" w:line="244"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(the “JOBS Act”) and we intend to take advantage of some of the exemptions from reporting requirements that are applicable to other public companies that are not emerging growth companies, including:</w:t>
      </w:r>
    </w:p>
    <w:p>
      <w:pPr>
        <w:spacing w:after="0" w:line="185" w:lineRule="exact"/>
        <w:rPr>
          <w:sz w:val="20"/>
          <w:szCs w:val="20"/>
          <w:color w:val="auto"/>
        </w:rPr>
      </w:pPr>
    </w:p>
    <w:p>
      <w:pPr>
        <w:ind w:left="1020" w:right="240" w:hanging="331"/>
        <w:spacing w:after="0" w:line="317" w:lineRule="auto"/>
        <w:tabs>
          <w:tab w:leader="none" w:pos="10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6"/>
          <w:szCs w:val="16"/>
          <w:color w:val="auto"/>
        </w:rPr>
      </w:pPr>
    </w:p>
    <w:p>
      <w:pPr>
        <w:ind w:left="1020" w:right="120" w:hanging="331"/>
        <w:spacing w:after="0" w:line="271" w:lineRule="auto"/>
        <w:tabs>
          <w:tab w:leader="none" w:pos="10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 Oxley Act of 2002, as amended (the "Sarbanes Oxley Act");</w:t>
      </w:r>
    </w:p>
    <w:p>
      <w:pPr>
        <w:spacing w:after="0" w:line="174" w:lineRule="exact"/>
        <w:rPr>
          <w:rFonts w:ascii="Arial" w:cs="Arial" w:eastAsia="Arial" w:hAnsi="Arial"/>
          <w:sz w:val="18"/>
          <w:szCs w:val="18"/>
          <w:color w:val="auto"/>
        </w:rPr>
      </w:pPr>
    </w:p>
    <w:p>
      <w:pPr>
        <w:ind w:left="1020" w:right="500" w:hanging="331"/>
        <w:spacing w:after="0" w:line="259" w:lineRule="auto"/>
        <w:tabs>
          <w:tab w:leader="none" w:pos="10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5" w:lineRule="exact"/>
        <w:rPr>
          <w:rFonts w:ascii="Arial" w:cs="Arial" w:eastAsia="Arial" w:hAnsi="Arial"/>
          <w:sz w:val="18"/>
          <w:szCs w:val="18"/>
          <w:color w:val="auto"/>
        </w:rPr>
      </w:pPr>
    </w:p>
    <w:p>
      <w:pPr>
        <w:ind w:left="1020" w:right="460" w:hanging="331"/>
        <w:spacing w:after="0" w:line="335" w:lineRule="auto"/>
        <w:tabs>
          <w:tab w:leader="none" w:pos="10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28" w:lineRule="exact"/>
        <w:rPr>
          <w:rFonts w:ascii="Arial" w:cs="Arial" w:eastAsia="Arial" w:hAnsi="Arial"/>
          <w:sz w:val="16"/>
          <w:szCs w:val="16"/>
          <w:color w:val="auto"/>
        </w:rPr>
      </w:pPr>
    </w:p>
    <w:p>
      <w:pPr>
        <w:ind w:left="1020" w:right="40" w:hanging="331"/>
        <w:spacing w:after="0" w:line="271" w:lineRule="auto"/>
        <w:tabs>
          <w:tab w:leader="none" w:pos="10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w:t>
      </w:r>
    </w:p>
    <w:p>
      <w:pPr>
        <w:spacing w:after="0" w:line="201" w:lineRule="exact"/>
        <w:rPr>
          <w:sz w:val="20"/>
          <w:szCs w:val="20"/>
          <w:color w:val="auto"/>
        </w:rPr>
      </w:pPr>
    </w:p>
    <w:p>
      <w:pPr>
        <w:ind w:right="140" w:firstLine="883"/>
        <w:spacing w:after="0" w:line="244"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211" w:lineRule="exact"/>
        <w:rPr>
          <w:sz w:val="20"/>
          <w:szCs w:val="20"/>
          <w:color w:val="auto"/>
        </w:rPr>
      </w:pPr>
    </w:p>
    <w:p>
      <w:pPr>
        <w:ind w:right="180" w:firstLine="873"/>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initial public offering, (b)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ind w:right="140" w:firstLine="873"/>
        <w:spacing w:after="0" w:line="244"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the price of our common stock to fall.</w:t>
      </w:r>
    </w:p>
    <w:p>
      <w:pPr>
        <w:spacing w:after="0" w:line="232" w:lineRule="exact"/>
        <w:rPr>
          <w:sz w:val="20"/>
          <w:szCs w:val="20"/>
          <w:color w:val="auto"/>
        </w:rPr>
      </w:pPr>
    </w:p>
    <w:p>
      <w:pPr>
        <w:ind w:right="160" w:firstLine="873"/>
        <w:spacing w:after="0" w:line="226" w:lineRule="auto"/>
        <w:rPr>
          <w:sz w:val="20"/>
          <w:szCs w:val="20"/>
          <w:color w:val="auto"/>
        </w:rPr>
      </w:pPr>
      <w:r>
        <w:rPr>
          <w:rFonts w:ascii="Arial" w:cs="Arial" w:eastAsia="Arial" w:hAnsi="Arial"/>
          <w:sz w:val="18"/>
          <w:szCs w:val="18"/>
          <w:color w:val="auto"/>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March 9, 2022, we had 20,708,946 shares of common stock outstanding. Shares held by directors, executive officers and other affiliates will be subject to volume limitations under Rule 144 under the Securities Act and various vesting agreements.</w:t>
      </w:r>
    </w:p>
    <w:p>
      <w:pPr>
        <w:spacing w:after="0" w:line="202" w:lineRule="exact"/>
        <w:rPr>
          <w:sz w:val="20"/>
          <w:szCs w:val="20"/>
          <w:color w:val="auto"/>
        </w:rPr>
      </w:pPr>
    </w:p>
    <w:p>
      <w:pPr>
        <w:ind w:firstLine="873"/>
        <w:spacing w:after="0" w:line="249" w:lineRule="auto"/>
        <w:rPr>
          <w:sz w:val="20"/>
          <w:szCs w:val="20"/>
          <w:color w:val="auto"/>
        </w:rPr>
      </w:pPr>
      <w:r>
        <w:rPr>
          <w:rFonts w:ascii="Arial" w:cs="Arial" w:eastAsia="Arial" w:hAnsi="Arial"/>
          <w:sz w:val="16"/>
          <w:szCs w:val="16"/>
          <w:color w:val="auto"/>
        </w:rPr>
        <w:t>Moreover, holders of approximately 11.1 million shares of our common stock have rights, subject to certain conditions, under our registration rights agreement covering their shares and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1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202" w:lineRule="exact"/>
        <w:rPr>
          <w:sz w:val="20"/>
          <w:szCs w:val="20"/>
          <w:color w:val="auto"/>
        </w:rPr>
      </w:pPr>
    </w:p>
    <w:p>
      <w:pPr>
        <w:ind w:right="80" w:firstLine="873"/>
        <w:spacing w:after="0" w:line="238" w:lineRule="auto"/>
        <w:rPr>
          <w:sz w:val="20"/>
          <w:szCs w:val="20"/>
          <w:color w:val="auto"/>
        </w:rPr>
      </w:pPr>
      <w:r>
        <w:rPr>
          <w:rFonts w:ascii="Arial" w:cs="Arial" w:eastAsia="Arial" w:hAnsi="Arial"/>
          <w:sz w:val="18"/>
          <w:szCs w:val="18"/>
          <w:color w:val="auto"/>
        </w:rPr>
        <w:t>As of December 31, 2021, our officers, directors and the holders of more than 5% of our outstanding stock collectively beneficially own approximately 65%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217" w:lineRule="exact"/>
        <w:rPr>
          <w:sz w:val="20"/>
          <w:szCs w:val="20"/>
          <w:color w:val="auto"/>
        </w:rPr>
      </w:pPr>
    </w:p>
    <w:p>
      <w:pPr>
        <w:ind w:right="760"/>
        <w:spacing w:after="0" w:line="255" w:lineRule="auto"/>
        <w:rPr>
          <w:sz w:val="20"/>
          <w:szCs w:val="20"/>
          <w:color w:val="auto"/>
        </w:rPr>
      </w:pPr>
      <w:r>
        <w:rPr>
          <w:rFonts w:ascii="Arial" w:cs="Arial" w:eastAsia="Arial" w:hAnsi="Arial"/>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202" w:lineRule="exact"/>
        <w:rPr>
          <w:sz w:val="20"/>
          <w:szCs w:val="20"/>
          <w:color w:val="auto"/>
        </w:rPr>
      </w:pPr>
    </w:p>
    <w:p>
      <w:pPr>
        <w:jc w:val="both"/>
        <w:ind w:right="80" w:firstLine="873"/>
        <w:spacing w:after="0" w:line="267" w:lineRule="auto"/>
        <w:rPr>
          <w:sz w:val="20"/>
          <w:szCs w:val="20"/>
          <w:color w:val="auto"/>
        </w:rPr>
      </w:pPr>
      <w:r>
        <w:rPr>
          <w:rFonts w:ascii="Arial" w:cs="Arial" w:eastAsia="Arial" w:hAnsi="Arial"/>
          <w:sz w:val="18"/>
          <w:szCs w:val="18"/>
          <w:color w:val="auto"/>
        </w:rPr>
        <w:t>As a public company, we are subject to the reporting requirements of the Exchange Act, or the other rules and regulations of the Securities and Exchange Commission (the “SEC”), or any securities exchange relating to public companies. Compliance with the various reporting and other requirements applicable to public companies requires considerable time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attention of management and we will incur significant legal, accounting and other expenses. We cannot assure you that we will satisfy our obligations as a public company on a timely basis.</w:t>
      </w:r>
    </w:p>
    <w:p>
      <w:pPr>
        <w:spacing w:after="0" w:line="202" w:lineRule="exact"/>
        <w:rPr>
          <w:sz w:val="20"/>
          <w:szCs w:val="20"/>
          <w:color w:val="auto"/>
        </w:rPr>
      </w:pPr>
    </w:p>
    <w:p>
      <w:pPr>
        <w:ind w:right="360" w:firstLine="873"/>
        <w:spacing w:after="0"/>
        <w:rPr>
          <w:sz w:val="20"/>
          <w:szCs w:val="20"/>
          <w:color w:val="auto"/>
        </w:rPr>
      </w:pPr>
      <w:r>
        <w:rPr>
          <w:rFonts w:ascii="Arial" w:cs="Arial" w:eastAsia="Arial" w:hAnsi="Arial"/>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21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202" w:lineRule="exact"/>
        <w:rPr>
          <w:sz w:val="20"/>
          <w:szCs w:val="20"/>
          <w:color w:val="auto"/>
        </w:rPr>
      </w:pPr>
    </w:p>
    <w:p>
      <w:pPr>
        <w:ind w:firstLine="873"/>
        <w:spacing w:after="0" w:line="249" w:lineRule="auto"/>
        <w:rPr>
          <w:sz w:val="20"/>
          <w:szCs w:val="20"/>
          <w:color w:val="auto"/>
        </w:rPr>
      </w:pPr>
      <w:r>
        <w:rPr>
          <w:rFonts w:ascii="Arial" w:cs="Arial" w:eastAsia="Arial" w:hAnsi="Arial"/>
          <w:sz w:val="17"/>
          <w:szCs w:val="17"/>
          <w:color w:val="auto"/>
        </w:rPr>
        <w:t>We are subject to the reporting requirements of the Exchange Act, the Sarbanes-Oxley Act and the rules and regulations of the Nasdaq Stock Market (“Nasdaq”). The Sarbanes-Oxley Act requires, among other things, that we maintain effective disclosure controls and procedures and internal controls over financial reporting. Commencing in the fiscal year ending December 31, 2021,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212" w:lineRule="exact"/>
        <w:rPr>
          <w:sz w:val="20"/>
          <w:szCs w:val="20"/>
          <w:color w:val="auto"/>
        </w:rPr>
      </w:pPr>
    </w:p>
    <w:p>
      <w:pPr>
        <w:ind w:right="40" w:firstLine="873"/>
        <w:spacing w:after="0" w:line="238"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7" w:lineRule="exact"/>
        <w:rPr>
          <w:sz w:val="20"/>
          <w:szCs w:val="20"/>
          <w:color w:val="auto"/>
        </w:rPr>
      </w:pPr>
    </w:p>
    <w:p>
      <w:pPr>
        <w:ind w:right="40" w:firstLine="873"/>
        <w:spacing w:after="0" w:line="259"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1" w:lineRule="exact"/>
        <w:rPr>
          <w:sz w:val="20"/>
          <w:szCs w:val="20"/>
          <w:color w:val="auto"/>
        </w:rPr>
      </w:pPr>
    </w:p>
    <w:p>
      <w:pPr>
        <w:jc w:val="both"/>
        <w:ind w:right="160" w:firstLine="873"/>
        <w:spacing w:after="0" w:line="242"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Our Credit Facility also contains a negative covenant that prohibits us from paying dividends subject to limited exceptions. Consequently, stockholders must rely on sales of their common stock after price appreciation, which may never occur, as the only way to realize any future gains on their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34" w:lineRule="exact"/>
        <w:rPr>
          <w:sz w:val="20"/>
          <w:szCs w:val="20"/>
          <w:color w:val="auto"/>
        </w:rPr>
      </w:pPr>
    </w:p>
    <w:p>
      <w:pPr>
        <w:jc w:val="both"/>
        <w:ind w:right="240" w:firstLine="873"/>
        <w:spacing w:after="0" w:line="289"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both"/>
        <w:ind w:right="20" w:firstLine="873"/>
        <w:spacing w:after="0" w:line="244"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185" w:lineRule="exact"/>
        <w:rPr>
          <w:sz w:val="20"/>
          <w:szCs w:val="20"/>
          <w:color w:val="auto"/>
        </w:rPr>
      </w:pPr>
    </w:p>
    <w:p>
      <w:pPr>
        <w:ind w:left="1020" w:right="500" w:hanging="331"/>
        <w:spacing w:after="0" w:line="255"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75" w:lineRule="exact"/>
        <w:rPr>
          <w:rFonts w:ascii="Arial" w:cs="Arial" w:eastAsia="Arial" w:hAnsi="Arial"/>
          <w:sz w:val="18"/>
          <w:szCs w:val="18"/>
          <w:color w:val="auto"/>
        </w:rPr>
      </w:pPr>
    </w:p>
    <w:p>
      <w:pPr>
        <w:ind w:left="1020" w:right="280" w:hanging="331"/>
        <w:spacing w:after="0" w:line="271"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successfully recruit patients for preclinical studies and clinical trials, and any delays caused by difficulties in such recruitment efforts;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232" w:lineRule="exact"/>
        <w:rPr>
          <w:rFonts w:ascii="Arial" w:cs="Arial" w:eastAsia="Arial" w:hAnsi="Arial"/>
          <w:sz w:val="17"/>
          <w:szCs w:val="17"/>
          <w:color w:val="auto"/>
        </w:rPr>
      </w:pPr>
    </w:p>
    <w:p>
      <w:pPr>
        <w:ind w:left="1020" w:right="220" w:hanging="331"/>
        <w:spacing w:after="0" w:line="271"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74" w:lineRule="exact"/>
        <w:rPr>
          <w:rFonts w:ascii="Arial" w:cs="Arial" w:eastAsia="Arial" w:hAnsi="Arial"/>
          <w:sz w:val="18"/>
          <w:szCs w:val="18"/>
          <w:color w:val="auto"/>
        </w:rPr>
      </w:pPr>
    </w:p>
    <w:p>
      <w:pPr>
        <w:ind w:left="1020" w:right="240" w:hanging="331"/>
        <w:spacing w:after="0" w:line="271"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manufacturers;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220" w:lineRule="exact"/>
        <w:rPr>
          <w:rFonts w:ascii="Arial" w:cs="Arial" w:eastAsia="Arial" w:hAnsi="Arial"/>
          <w:sz w:val="18"/>
          <w:szCs w:val="18"/>
          <w:color w:val="auto"/>
        </w:rPr>
      </w:pPr>
    </w:p>
    <w:p>
      <w:pPr>
        <w:ind w:left="1020" w:right="160" w:hanging="331"/>
        <w:spacing w:after="0" w:line="271"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drugs that compete with our product candidates;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changing and volatile U.S., European and global economic environments, including impact of COVID-19;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48" w:lineRule="exact"/>
        <w:rPr>
          <w:sz w:val="20"/>
          <w:szCs w:val="20"/>
          <w:color w:val="auto"/>
        </w:rPr>
      </w:pPr>
    </w:p>
    <w:p>
      <w:pPr>
        <w:ind w:right="20" w:firstLine="883"/>
        <w:spacing w:after="0" w:line="237"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202" w:lineRule="exact"/>
        <w:rPr>
          <w:sz w:val="20"/>
          <w:szCs w:val="20"/>
          <w:color w:val="auto"/>
        </w:rPr>
      </w:pPr>
    </w:p>
    <w:p>
      <w:pPr>
        <w:ind w:firstLine="873"/>
        <w:spacing w:after="0" w:line="238"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91" w:lineRule="exact"/>
        <w:rPr>
          <w:sz w:val="20"/>
          <w:szCs w:val="20"/>
          <w:color w:val="auto"/>
        </w:rPr>
      </w:pPr>
    </w:p>
    <w:p>
      <w:pPr>
        <w:ind w:left="1020" w:right="280" w:hanging="331"/>
        <w:spacing w:after="0" w:line="255" w:lineRule="auto"/>
        <w:tabs>
          <w:tab w:leader="none" w:pos="10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5" w:lineRule="exact"/>
        <w:rPr>
          <w:rFonts w:ascii="Arial" w:cs="Arial" w:eastAsia="Arial" w:hAnsi="Arial"/>
          <w:sz w:val="18"/>
          <w:szCs w:val="18"/>
          <w:color w:val="auto"/>
        </w:rPr>
      </w:pPr>
    </w:p>
    <w:p>
      <w:pPr>
        <w:ind w:left="1020" w:right="260" w:hanging="331"/>
        <w:spacing w:after="0" w:line="335" w:lineRule="auto"/>
        <w:tabs>
          <w:tab w:leader="none" w:pos="101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560" w:hanging="331"/>
        <w:spacing w:after="0" w:line="335" w:lineRule="auto"/>
        <w:tabs>
          <w:tab w:leader="none" w:pos="10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8" w:lineRule="exact"/>
        <w:rPr>
          <w:rFonts w:ascii="Arial" w:cs="Arial" w:eastAsia="Arial" w:hAnsi="Arial"/>
          <w:sz w:val="16"/>
          <w:szCs w:val="16"/>
          <w:color w:val="auto"/>
        </w:rPr>
      </w:pPr>
    </w:p>
    <w:p>
      <w:pPr>
        <w:ind w:left="1020" w:right="420" w:hanging="331"/>
        <w:spacing w:after="0" w:line="271" w:lineRule="auto"/>
        <w:tabs>
          <w:tab w:leader="none" w:pos="10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4" w:lineRule="exact"/>
        <w:rPr>
          <w:rFonts w:ascii="Arial" w:cs="Arial" w:eastAsia="Arial" w:hAnsi="Arial"/>
          <w:sz w:val="18"/>
          <w:szCs w:val="18"/>
          <w:color w:val="auto"/>
        </w:rPr>
      </w:pPr>
    </w:p>
    <w:p>
      <w:pPr>
        <w:ind w:left="1020" w:hanging="331"/>
        <w:spacing w:after="0" w:line="259" w:lineRule="auto"/>
        <w:tabs>
          <w:tab w:leader="none" w:pos="10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85" w:lineRule="exact"/>
        <w:rPr>
          <w:rFonts w:ascii="Arial" w:cs="Arial" w:eastAsia="Arial" w:hAnsi="Arial"/>
          <w:sz w:val="18"/>
          <w:szCs w:val="18"/>
          <w:color w:val="auto"/>
        </w:rPr>
      </w:pPr>
    </w:p>
    <w:p>
      <w:pPr>
        <w:jc w:val="both"/>
        <w:ind w:left="1020" w:right="180" w:hanging="331"/>
        <w:spacing w:after="0" w:line="307" w:lineRule="auto"/>
        <w:tabs>
          <w:tab w:leader="none" w:pos="10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9" w:lineRule="exact"/>
        <w:rPr>
          <w:rFonts w:ascii="Arial" w:cs="Arial" w:eastAsia="Arial" w:hAnsi="Arial"/>
          <w:sz w:val="16"/>
          <w:szCs w:val="16"/>
          <w:color w:val="auto"/>
        </w:rPr>
      </w:pPr>
    </w:p>
    <w:p>
      <w:pPr>
        <w:ind w:left="1020" w:hanging="331"/>
        <w:spacing w:after="0" w:line="259" w:lineRule="auto"/>
        <w:tabs>
          <w:tab w:leader="none" w:pos="10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13" w:lineRule="exact"/>
        <w:rPr>
          <w:sz w:val="20"/>
          <w:szCs w:val="20"/>
          <w:color w:val="auto"/>
        </w:rPr>
      </w:pPr>
    </w:p>
    <w:p>
      <w:pPr>
        <w:ind w:right="60" w:firstLine="873"/>
        <w:spacing w:after="0" w:line="259" w:lineRule="auto"/>
        <w:rPr>
          <w:sz w:val="20"/>
          <w:szCs w:val="20"/>
          <w:color w:val="auto"/>
        </w:rPr>
      </w:pPr>
      <w:r>
        <w:rPr>
          <w:rFonts w:ascii="Arial" w:cs="Arial" w:eastAsia="Arial" w:hAnsi="Arial"/>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99" w:lineRule="exact"/>
        <w:rPr>
          <w:sz w:val="20"/>
          <w:szCs w:val="20"/>
          <w:color w:val="auto"/>
        </w:rPr>
      </w:pPr>
    </w:p>
    <w:p>
      <w:pPr>
        <w:ind w:firstLine="873"/>
        <w:spacing w:after="0" w:line="25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99" w:lineRule="exact"/>
        <w:rPr>
          <w:sz w:val="20"/>
          <w:szCs w:val="20"/>
          <w:color w:val="auto"/>
        </w:rPr>
      </w:pPr>
    </w:p>
    <w:p>
      <w:pPr>
        <w:jc w:val="both"/>
        <w:ind w:right="80"/>
        <w:spacing w:after="0" w:line="24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211" w:lineRule="exact"/>
        <w:rPr>
          <w:sz w:val="20"/>
          <w:szCs w:val="20"/>
          <w:color w:val="auto"/>
        </w:rPr>
      </w:pPr>
    </w:p>
    <w:p>
      <w:pPr>
        <w:ind w:right="80" w:firstLine="873"/>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spacing w:after="0" w:line="215" w:lineRule="exact"/>
        <w:rPr>
          <w:sz w:val="20"/>
          <w:szCs w:val="20"/>
          <w:color w:val="auto"/>
        </w:rPr>
      </w:pPr>
    </w:p>
    <w:p>
      <w:pPr>
        <w:ind w:right="20" w:firstLine="873"/>
        <w:spacing w:after="0" w:line="251"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6" w:lineRule="exact"/>
        <w:rPr>
          <w:sz w:val="20"/>
          <w:szCs w:val="20"/>
          <w:color w:val="auto"/>
        </w:rPr>
      </w:pPr>
    </w:p>
    <w:p>
      <w:pPr>
        <w:ind w:firstLine="873"/>
        <w:spacing w:after="0" w:line="244"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ind w:firstLine="883"/>
        <w:spacing w:after="0" w:line="259" w:lineRule="auto"/>
        <w:rPr>
          <w:sz w:val="20"/>
          <w:szCs w:val="20"/>
          <w:color w:val="auto"/>
        </w:rPr>
      </w:pPr>
      <w:r>
        <w:rPr>
          <w:rFonts w:ascii="Arial" w:cs="Arial" w:eastAsia="Arial" w:hAnsi="Arial"/>
          <w:sz w:val="18"/>
          <w:szCs w:val="18"/>
          <w:color w:val="auto"/>
        </w:rPr>
        <w:t>We currently lease approximately 28,000 square feet of office and laboratory space in Irvine, California under certain leases that expire in January 2024. We believe that this space will be sufficient to meet our needs for the foreseeable future and that any additional space we may require will be available on commercially reasonable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ind w:right="60" w:firstLine="883"/>
        <w:spacing w:after="0" w:line="259"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common stock has been publicly traded on the Nasdaq Global Select Market under the symbol “TARS” since our IPO on October 15,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Prior to this date, there was no public market for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52" w:lineRule="exact"/>
        <w:rPr>
          <w:sz w:val="20"/>
          <w:szCs w:val="20"/>
          <w:color w:val="auto"/>
        </w:rPr>
      </w:pPr>
    </w:p>
    <w:p>
      <w:pPr>
        <w:ind w:firstLine="642"/>
        <w:spacing w:after="0"/>
        <w:rPr>
          <w:sz w:val="20"/>
          <w:szCs w:val="20"/>
          <w:color w:val="auto"/>
        </w:rPr>
      </w:pPr>
      <w:r>
        <w:rPr>
          <w:rFonts w:ascii="Arial" w:cs="Arial" w:eastAsia="Arial" w:hAnsi="Arial"/>
          <w:sz w:val="18"/>
          <w:szCs w:val="18"/>
          <w:color w:val="auto"/>
        </w:rPr>
        <w:t>As of March 9, 2022, the closing price of our common stock on the Nasdaq Global Select Market was $19.59 per share, and there were approximately 24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cash dividends in the foreseeable future.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8" w:lineRule="exact"/>
        <w:rPr>
          <w:sz w:val="20"/>
          <w:szCs w:val="20"/>
          <w:color w:val="auto"/>
        </w:rPr>
      </w:pPr>
    </w:p>
    <w:p>
      <w:pPr>
        <w:ind w:right="200" w:firstLine="642"/>
        <w:spacing w:after="0" w:line="268" w:lineRule="auto"/>
        <w:rPr>
          <w:sz w:val="20"/>
          <w:szCs w:val="20"/>
          <w:color w:val="auto"/>
        </w:rPr>
      </w:pPr>
      <w:r>
        <w:rPr>
          <w:rFonts w:ascii="Arial" w:cs="Arial" w:eastAsia="Arial" w:hAnsi="Arial"/>
          <w:sz w:val="17"/>
          <w:szCs w:val="17"/>
          <w:color w:val="auto"/>
        </w:rPr>
        <w:t>The information required by this item will be contained in our definitive proxy statement to be filed with the SEC in connection with our Annual Meeting of Stockholders within 120 days after December 31, 2021 and is incorporated in this Annual Report on Form 10-K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52" w:lineRule="exact"/>
        <w:rPr>
          <w:sz w:val="20"/>
          <w:szCs w:val="20"/>
          <w:color w:val="auto"/>
        </w:rPr>
      </w:pPr>
    </w:p>
    <w:p>
      <w:pPr>
        <w:ind w:firstLine="883"/>
        <w:spacing w:after="0" w:line="251" w:lineRule="auto"/>
        <w:rPr>
          <w:sz w:val="20"/>
          <w:szCs w:val="20"/>
          <w:color w:val="auto"/>
        </w:rPr>
      </w:pPr>
      <w:r>
        <w:rPr>
          <w:rFonts w:ascii="Arial" w:cs="Arial" w:eastAsia="Arial" w:hAnsi="Arial"/>
          <w:sz w:val="17"/>
          <w:szCs w:val="17"/>
          <w:color w:val="auto"/>
        </w:rPr>
        <w:t>On October 16, 2020, our Registration Statement on Form S-1 (File No. 333-249076) (the "Registration Statement") relating to the initial public offering of our common stock was declared effective by the SEC. Pursuant to such Registration Statement, we sold an aggregate of 6,325,000 shares of our common stock, which included 825,000 shares sold pursuant to the underwriters’ full exercise of their option to purchase additional shares, at a price of $16.00 per share. The aggregate offering price for shares sold in the offering was $101.2 million. On October 20, 2020, we closed the sale of such shares, resulting in aggregate cash proceeds to us of $91.7 million, net of underwriting discounts, commissions and offering expenses paid or payable by us. No offering expenses were paid or are payable, directly or indirectly, to our directors or officers, to persons owning 10% or more of any class of our equity securities or to any of our affiliates. BofA Securities, Inc., Jefferies LLC and Raymond James &amp; Associates, Inc., LifeSci Capital LLC and Ledenburg Thalman &amp; Co. Inc., acted as the joint book-running managers of the offering.</w:t>
      </w:r>
    </w:p>
    <w:p>
      <w:pPr>
        <w:spacing w:after="0" w:line="183" w:lineRule="exact"/>
        <w:rPr>
          <w:sz w:val="20"/>
          <w:szCs w:val="20"/>
          <w:color w:val="auto"/>
        </w:rPr>
      </w:pPr>
    </w:p>
    <w:p>
      <w:pPr>
        <w:ind w:right="340" w:firstLine="883"/>
        <w:spacing w:after="0" w:line="271"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the final prospectus, dated October 15, 2020, filed with the SEC on October 16, 2020, pursuant to Rule 424(b) of the Securities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right="100" w:firstLine="883"/>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Annual Report on 10-K. See the section titled “Special Note Regarding Forward-Looking Statements” elsewhere in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34" w:lineRule="exact"/>
        <w:rPr>
          <w:sz w:val="20"/>
          <w:szCs w:val="20"/>
          <w:color w:val="auto"/>
        </w:rPr>
      </w:pPr>
    </w:p>
    <w:p>
      <w:pPr>
        <w:ind w:right="120" w:firstLine="883"/>
        <w:spacing w:after="0" w:line="237" w:lineRule="auto"/>
        <w:rPr>
          <w:sz w:val="20"/>
          <w:szCs w:val="20"/>
          <w:color w:val="auto"/>
        </w:rPr>
      </w:pPr>
      <w:r>
        <w:rPr>
          <w:rFonts w:ascii="Arial" w:cs="Arial" w:eastAsia="Arial" w:hAnsi="Arial"/>
          <w:sz w:val="17"/>
          <w:szCs w:val="17"/>
          <w:color w:val="auto"/>
        </w:rPr>
        <w:t>We are a biopharmaceutical company focused on the development and commercialization of therapeutics, starting with eye care. Our lead product candidate, TP-03, is a novel investigational eye drop in Phase 3 to treat blepharitis caused by the infestation of Demodex mites, which is referred to as Demodex blepharitis. Blepharitis (“Blephar” is a reference to eyelid and “itis” is a reference to inflammation) is a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w:t>
      </w:r>
    </w:p>
    <w:p>
      <w:pPr>
        <w:spacing w:after="0" w:line="179" w:lineRule="exact"/>
        <w:rPr>
          <w:sz w:val="20"/>
          <w:szCs w:val="20"/>
          <w:color w:val="auto"/>
        </w:rPr>
      </w:pPr>
    </w:p>
    <w:p>
      <w:pPr>
        <w:ind w:right="340" w:firstLine="883"/>
        <w:spacing w:after="0" w:line="232" w:lineRule="auto"/>
        <w:rPr>
          <w:sz w:val="20"/>
          <w:szCs w:val="20"/>
          <w:color w:val="auto"/>
        </w:rPr>
      </w:pPr>
      <w:r>
        <w:rPr>
          <w:rFonts w:ascii="Arial" w:cs="Arial" w:eastAsia="Arial" w:hAnsi="Arial"/>
          <w:sz w:val="18"/>
          <w:szCs w:val="18"/>
          <w:color w:val="auto"/>
        </w:rPr>
        <w:t>We designed TP-03 to target and eradicate the root cause of Demodex blepharitis – Demodex mite infestation. The active pharmaceutical ingredient ("API") of TP-03, lotilaner, paralyzes and eradicates mites and other parasites through the inhibition of parasite-specific gamma-aminobutyric acid-gated chloride ("GABA-Cl") channels.</w:t>
      </w:r>
    </w:p>
    <w:p>
      <w:pPr>
        <w:spacing w:after="0" w:line="202" w:lineRule="exact"/>
        <w:rPr>
          <w:sz w:val="20"/>
          <w:szCs w:val="20"/>
          <w:color w:val="auto"/>
        </w:rPr>
      </w:pPr>
    </w:p>
    <w:p>
      <w:pPr>
        <w:ind w:firstLine="802"/>
        <w:spacing w:after="0" w:line="226" w:lineRule="auto"/>
        <w:rPr>
          <w:sz w:val="20"/>
          <w:szCs w:val="20"/>
          <w:color w:val="auto"/>
        </w:rPr>
      </w:pPr>
      <w:r>
        <w:rPr>
          <w:rFonts w:ascii="Arial" w:cs="Arial" w:eastAsia="Arial" w:hAnsi="Arial"/>
          <w:sz w:val="18"/>
          <w:szCs w:val="18"/>
          <w:color w:val="auto"/>
        </w:rPr>
        <w:t>To date, we have completed four Phase 2 trials and the Phase 2b/3 Saturn-1 trial for TP-03 in Demodex blepharitis, all of which met their primary, secondary and/or exploratory endpoints, and was well tolerated. In February 2022, we completed enrollment in our Saturn-2 trial, which is similar in design and size to Saturn-1. We expect to report topline data results in April 2022 and if Saturn-2 results are positive, to use the data from the Saturn-1 and Saturn-2 trials to support our submission of an NDA in 2022. We believe that TP-03 has the potential to be the first therapeutic approved by the FDA for the treatment of Demodex blepharitis and become the standard of care.</w:t>
      </w:r>
    </w:p>
    <w:p>
      <w:pPr>
        <w:spacing w:after="0" w:line="202" w:lineRule="exact"/>
        <w:rPr>
          <w:sz w:val="20"/>
          <w:szCs w:val="20"/>
          <w:color w:val="auto"/>
        </w:rPr>
      </w:pPr>
    </w:p>
    <w:p>
      <w:pPr>
        <w:ind w:right="440" w:firstLine="802"/>
        <w:spacing w:after="0" w:line="228" w:lineRule="auto"/>
        <w:rPr>
          <w:sz w:val="20"/>
          <w:szCs w:val="20"/>
          <w:color w:val="auto"/>
        </w:rPr>
      </w:pPr>
      <w:r>
        <w:rPr>
          <w:rFonts w:ascii="Arial" w:cs="Arial" w:eastAsia="Arial" w:hAnsi="Arial"/>
          <w:sz w:val="18"/>
          <w:szCs w:val="18"/>
          <w:color w:val="auto"/>
        </w:rPr>
        <w:t>We intend to further advance our pipeline with lotilaner API to address several diseases across therapeutic categories in human medicine, including eye care, dermatology, and other diseases. We are developing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Business and Clinical Highlights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TP-03 Demodex Blepharitis Pivotal Trials, Saturn-1 &amp; Saturn-2</w:t>
      </w:r>
      <w:r>
        <w:rPr>
          <w:rFonts w:ascii="Arial" w:cs="Arial" w:eastAsia="Arial" w:hAnsi="Arial"/>
          <w:sz w:val="18"/>
          <w:szCs w:val="18"/>
          <w:color w:val="auto"/>
        </w:rPr>
        <w:t>:</w:t>
      </w:r>
    </w:p>
    <w:p>
      <w:pPr>
        <w:spacing w:after="0" w:line="225" w:lineRule="exact"/>
        <w:rPr>
          <w:sz w:val="20"/>
          <w:szCs w:val="20"/>
          <w:color w:val="auto"/>
        </w:rPr>
      </w:pPr>
    </w:p>
    <w:p>
      <w:pPr>
        <w:ind w:right="80" w:firstLine="642"/>
        <w:spacing w:after="0" w:line="232" w:lineRule="auto"/>
        <w:rPr>
          <w:sz w:val="20"/>
          <w:szCs w:val="20"/>
          <w:color w:val="auto"/>
        </w:rPr>
      </w:pPr>
      <w:r>
        <w:rPr>
          <w:rFonts w:ascii="Arial" w:cs="Arial" w:eastAsia="Arial" w:hAnsi="Arial"/>
          <w:sz w:val="18"/>
          <w:szCs w:val="18"/>
          <w:color w:val="auto"/>
        </w:rPr>
        <w:t>In February 2022, we announced that the Saturn-2 trial completed enrollment of 412 patients. This Phase 3 pivotal trial is similar in design and size to Saturn-1 and we are on track to report topline data results in April 2022. If Saturn-2 results are positive, we expect to use the data from the Saturn-1 and Saturn-2 trials to support our submission of an NDA in 2022.</w:t>
      </w:r>
    </w:p>
    <w:p>
      <w:pPr>
        <w:spacing w:after="0" w:line="202" w:lineRule="exact"/>
        <w:rPr>
          <w:sz w:val="20"/>
          <w:szCs w:val="20"/>
          <w:color w:val="auto"/>
        </w:rPr>
      </w:pPr>
    </w:p>
    <w:p>
      <w:pPr>
        <w:ind w:right="40" w:firstLine="642"/>
        <w:spacing w:after="0" w:line="352" w:lineRule="auto"/>
        <w:rPr>
          <w:sz w:val="20"/>
          <w:szCs w:val="20"/>
          <w:color w:val="auto"/>
        </w:rPr>
      </w:pPr>
      <w:r>
        <w:rPr>
          <w:rFonts w:ascii="Arial" w:cs="Arial" w:eastAsia="Arial" w:hAnsi="Arial"/>
          <w:sz w:val="16"/>
          <w:szCs w:val="16"/>
          <w:color w:val="auto"/>
        </w:rPr>
        <w:t>In July 2021, we presented additional data from the Saturn-1 trial at the American Society of Cataract and Refractive Surgery 2021 Annual Meeting demonstrating high treatment response rates, and reinforcing the potential of TP-03 to be the standard of care for Demodex blepharitis patients.</w:t>
      </w:r>
    </w:p>
    <w:p>
      <w:pPr>
        <w:spacing w:after="0" w:line="141" w:lineRule="exact"/>
        <w:rPr>
          <w:sz w:val="20"/>
          <w:szCs w:val="20"/>
          <w:color w:val="auto"/>
        </w:rPr>
      </w:pPr>
    </w:p>
    <w:p>
      <w:pPr>
        <w:ind w:left="1280" w:hanging="310"/>
        <w:spacing w:after="0"/>
        <w:tabs>
          <w:tab w:leader="none" w:pos="1280" w:val="left"/>
        </w:tabs>
        <w:numPr>
          <w:ilvl w:val="0"/>
          <w:numId w:val="65"/>
        </w:numPr>
        <w:rPr>
          <w:rFonts w:ascii="Arial" w:cs="Arial" w:eastAsia="Arial" w:hAnsi="Arial"/>
          <w:sz w:val="21"/>
          <w:szCs w:val="21"/>
          <w:color w:val="auto"/>
        </w:rPr>
      </w:pPr>
      <w:r>
        <w:rPr>
          <w:rFonts w:ascii="Arial" w:cs="Arial" w:eastAsia="Arial" w:hAnsi="Arial"/>
          <w:sz w:val="18"/>
          <w:szCs w:val="18"/>
          <w:color w:val="auto"/>
        </w:rPr>
        <w:t>95% of TP-03 patients showed a significant improvement in mite count, achieving ≤0.5 mites per lash</w:t>
      </w:r>
    </w:p>
    <w:p>
      <w:pPr>
        <w:spacing w:after="0" w:line="12" w:lineRule="exact"/>
        <w:rPr>
          <w:rFonts w:ascii="Arial" w:cs="Arial" w:eastAsia="Arial" w:hAnsi="Arial"/>
          <w:sz w:val="21"/>
          <w:szCs w:val="21"/>
          <w:color w:val="auto"/>
        </w:rPr>
      </w:pPr>
    </w:p>
    <w:p>
      <w:pPr>
        <w:ind w:left="1280" w:hanging="310"/>
        <w:spacing w:after="0" w:line="227" w:lineRule="auto"/>
        <w:tabs>
          <w:tab w:leader="none" w:pos="1280" w:val="left"/>
        </w:tabs>
        <w:numPr>
          <w:ilvl w:val="0"/>
          <w:numId w:val="65"/>
        </w:numPr>
        <w:rPr>
          <w:rFonts w:ascii="Arial" w:cs="Arial" w:eastAsia="Arial" w:hAnsi="Arial"/>
          <w:sz w:val="21"/>
          <w:szCs w:val="21"/>
          <w:color w:val="auto"/>
        </w:rPr>
      </w:pPr>
      <w:r>
        <w:rPr>
          <w:rFonts w:ascii="Arial" w:cs="Arial" w:eastAsia="Arial" w:hAnsi="Arial"/>
          <w:sz w:val="18"/>
          <w:szCs w:val="18"/>
          <w:color w:val="auto"/>
        </w:rPr>
        <w:t>93% of TP-03 patients improved by at least one collarette grade</w:t>
      </w:r>
    </w:p>
    <w:p>
      <w:pPr>
        <w:spacing w:after="0" w:line="228" w:lineRule="exact"/>
        <w:rPr>
          <w:sz w:val="20"/>
          <w:szCs w:val="20"/>
          <w:color w:val="auto"/>
        </w:rPr>
      </w:pPr>
    </w:p>
    <w:p>
      <w:pPr>
        <w:ind w:right="80" w:firstLine="883"/>
        <w:spacing w:after="0" w:line="272" w:lineRule="auto"/>
        <w:rPr>
          <w:sz w:val="20"/>
          <w:szCs w:val="20"/>
          <w:color w:val="auto"/>
        </w:rPr>
      </w:pPr>
      <w:r>
        <w:rPr>
          <w:rFonts w:ascii="Arial" w:cs="Arial" w:eastAsia="Arial" w:hAnsi="Arial"/>
          <w:sz w:val="17"/>
          <w:szCs w:val="17"/>
          <w:color w:val="auto"/>
        </w:rPr>
        <w:t>We also announced results from additional Saturn-1 safety analysis, which reinforced TP-03’s positive safety profile, revealing that TP-03 had no clinically significant adverse effect on multiple safety measures including Corrected Distance Visual Acuity ("CDVA"), corneal staining, and intraocular pressure ("IOP"), and no significant findings from slit lamp biomicroscopy or fundus exam. In addition, no impact to endothelial cell density ("ECD") was seen in a subset of 21 patients. ECD will be further evaluated as part of the Saturn-2 trial plan. We believe that the results from our Saturn-1 trial, along with previously announced data, reinforce that TP-03 is potentially safe to use in a broad patient population.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20" w:firstLine="883"/>
        <w:spacing w:after="0" w:line="301" w:lineRule="auto"/>
        <w:rPr>
          <w:sz w:val="20"/>
          <w:szCs w:val="20"/>
          <w:color w:val="auto"/>
        </w:rPr>
      </w:pPr>
      <w:r>
        <w:rPr>
          <w:rFonts w:ascii="Arial" w:cs="Arial" w:eastAsia="Arial" w:hAnsi="Arial"/>
          <w:sz w:val="17"/>
          <w:szCs w:val="17"/>
          <w:color w:val="auto"/>
        </w:rPr>
        <w:t>In June 2021, we announced positive results of the Saturn-1 trial. The pre-specified primary and secondary endpoints were met, and complete resolution of Demodex blepharitis signs was demonstrated in patients treated with TP-03 (lotilaner ophthalmic solution, 0.25%).</w:t>
      </w:r>
    </w:p>
    <w:p>
      <w:pPr>
        <w:spacing w:after="0" w:line="205" w:lineRule="exact"/>
        <w:rPr>
          <w:sz w:val="20"/>
          <w:szCs w:val="20"/>
          <w:color w:val="auto"/>
        </w:rPr>
      </w:pPr>
    </w:p>
    <w:p>
      <w:pPr>
        <w:ind w:left="1300" w:right="60" w:hanging="330"/>
        <w:spacing w:after="0" w:line="221" w:lineRule="auto"/>
        <w:tabs>
          <w:tab w:leader="none" w:pos="1295" w:val="left"/>
        </w:tabs>
        <w:numPr>
          <w:ilvl w:val="0"/>
          <w:numId w:val="66"/>
        </w:numPr>
        <w:rPr>
          <w:rFonts w:ascii="Arial" w:cs="Arial" w:eastAsia="Arial" w:hAnsi="Arial"/>
          <w:sz w:val="21"/>
          <w:szCs w:val="21"/>
          <w:color w:val="auto"/>
        </w:rPr>
      </w:pPr>
      <w:r>
        <w:rPr>
          <w:rFonts w:ascii="Arial" w:cs="Arial" w:eastAsia="Arial" w:hAnsi="Arial"/>
          <w:sz w:val="18"/>
          <w:szCs w:val="18"/>
          <w:color w:val="auto"/>
        </w:rPr>
        <w:t>44% of patients on TP-03 achieved the primary endpoint of complete collarette cure, defined as 0-2 collarettes per lid at day 43, compared to 7% on vehicle (p&lt;0.0001).</w:t>
      </w:r>
    </w:p>
    <w:p>
      <w:pPr>
        <w:spacing w:after="0" w:line="1" w:lineRule="exact"/>
        <w:rPr>
          <w:rFonts w:ascii="Arial" w:cs="Arial" w:eastAsia="Arial" w:hAnsi="Arial"/>
          <w:sz w:val="21"/>
          <w:szCs w:val="21"/>
          <w:color w:val="auto"/>
        </w:rPr>
      </w:pPr>
    </w:p>
    <w:p>
      <w:pPr>
        <w:ind w:left="1300" w:right="20" w:hanging="330"/>
        <w:spacing w:after="0" w:line="221" w:lineRule="auto"/>
        <w:tabs>
          <w:tab w:leader="none" w:pos="1295" w:val="left"/>
        </w:tabs>
        <w:numPr>
          <w:ilvl w:val="0"/>
          <w:numId w:val="66"/>
        </w:numPr>
        <w:rPr>
          <w:rFonts w:ascii="Arial" w:cs="Arial" w:eastAsia="Arial" w:hAnsi="Arial"/>
          <w:sz w:val="21"/>
          <w:szCs w:val="21"/>
          <w:color w:val="auto"/>
        </w:rPr>
      </w:pPr>
      <w:r>
        <w:rPr>
          <w:rFonts w:ascii="Arial" w:cs="Arial" w:eastAsia="Arial" w:hAnsi="Arial"/>
          <w:sz w:val="18"/>
          <w:szCs w:val="18"/>
          <w:color w:val="auto"/>
        </w:rPr>
        <w:t>81% of patients on TP-03 achieved a clinically meaningful collarette cure, defined as 0-10 collarettes per lid at day 43 compared to 23% of those on vehicle (p&lt;0.0001).</w:t>
      </w:r>
    </w:p>
    <w:p>
      <w:pPr>
        <w:spacing w:after="0" w:line="1" w:lineRule="exact"/>
        <w:rPr>
          <w:rFonts w:ascii="Arial" w:cs="Arial" w:eastAsia="Arial" w:hAnsi="Arial"/>
          <w:sz w:val="21"/>
          <w:szCs w:val="21"/>
          <w:color w:val="auto"/>
        </w:rPr>
      </w:pPr>
    </w:p>
    <w:p>
      <w:pPr>
        <w:ind w:left="1280" w:hanging="310"/>
        <w:spacing w:after="0" w:line="237" w:lineRule="auto"/>
        <w:tabs>
          <w:tab w:leader="none" w:pos="1280" w:val="left"/>
        </w:tabs>
        <w:numPr>
          <w:ilvl w:val="0"/>
          <w:numId w:val="66"/>
        </w:numPr>
        <w:rPr>
          <w:rFonts w:ascii="Arial" w:cs="Arial" w:eastAsia="Arial" w:hAnsi="Arial"/>
          <w:sz w:val="20"/>
          <w:szCs w:val="20"/>
          <w:color w:val="auto"/>
        </w:rPr>
      </w:pPr>
      <w:r>
        <w:rPr>
          <w:rFonts w:ascii="Arial" w:cs="Arial" w:eastAsia="Arial" w:hAnsi="Arial"/>
          <w:sz w:val="17"/>
          <w:szCs w:val="17"/>
          <w:color w:val="auto"/>
        </w:rPr>
        <w:t>68% of patients on TP-03 achieved mite eradication defined as 0 mites per lash at day 43, compared to 18% on vehicle (p&lt;0.0001).</w:t>
      </w:r>
    </w:p>
    <w:p>
      <w:pPr>
        <w:spacing w:after="0" w:line="12" w:lineRule="exact"/>
        <w:rPr>
          <w:rFonts w:ascii="Arial" w:cs="Arial" w:eastAsia="Arial" w:hAnsi="Arial"/>
          <w:sz w:val="20"/>
          <w:szCs w:val="20"/>
          <w:color w:val="auto"/>
        </w:rPr>
      </w:pPr>
    </w:p>
    <w:p>
      <w:pPr>
        <w:ind w:left="1300" w:hanging="330"/>
        <w:spacing w:after="0" w:line="216" w:lineRule="auto"/>
        <w:tabs>
          <w:tab w:leader="none" w:pos="1295" w:val="left"/>
        </w:tabs>
        <w:numPr>
          <w:ilvl w:val="0"/>
          <w:numId w:val="66"/>
        </w:numPr>
        <w:rPr>
          <w:rFonts w:ascii="Arial" w:cs="Arial" w:eastAsia="Arial" w:hAnsi="Arial"/>
          <w:sz w:val="21"/>
          <w:szCs w:val="21"/>
          <w:color w:val="auto"/>
        </w:rPr>
      </w:pPr>
      <w:r>
        <w:rPr>
          <w:rFonts w:ascii="Arial" w:cs="Arial" w:eastAsia="Arial" w:hAnsi="Arial"/>
          <w:sz w:val="18"/>
          <w:szCs w:val="18"/>
          <w:color w:val="auto"/>
        </w:rPr>
        <w:t>Additionally, significant efficacy in lid erythema (redness) was demonstrated across multiple measures including complete and clinically meaningful composite cures, and in erythema alone. Results showed 45% of patients improved erythema by one (1) grade or more (compared to 28% of patients on vehicle, p=0.0002) and 19% of patients on TP-03 achieved a complete erythema cure (compared to 7% of patients on vehicle, p&lt;0.0001).</w:t>
      </w:r>
    </w:p>
    <w:p>
      <w:pPr>
        <w:spacing w:after="0" w:line="1" w:lineRule="exact"/>
        <w:rPr>
          <w:rFonts w:ascii="Arial" w:cs="Arial" w:eastAsia="Arial" w:hAnsi="Arial"/>
          <w:sz w:val="21"/>
          <w:szCs w:val="21"/>
          <w:color w:val="auto"/>
        </w:rPr>
      </w:pPr>
    </w:p>
    <w:p>
      <w:pPr>
        <w:ind w:left="1300" w:right="100" w:hanging="330"/>
        <w:spacing w:after="0" w:line="220" w:lineRule="auto"/>
        <w:tabs>
          <w:tab w:leader="none" w:pos="1295" w:val="left"/>
        </w:tabs>
        <w:numPr>
          <w:ilvl w:val="0"/>
          <w:numId w:val="66"/>
        </w:numPr>
        <w:rPr>
          <w:rFonts w:ascii="Arial" w:cs="Arial" w:eastAsia="Arial" w:hAnsi="Arial"/>
          <w:sz w:val="21"/>
          <w:szCs w:val="21"/>
          <w:color w:val="auto"/>
        </w:rPr>
      </w:pPr>
      <w:r>
        <w:rPr>
          <w:rFonts w:ascii="Arial" w:cs="Arial" w:eastAsia="Arial" w:hAnsi="Arial"/>
          <w:sz w:val="18"/>
          <w:szCs w:val="18"/>
          <w:color w:val="auto"/>
        </w:rPr>
        <w:t>TP-03 was well tolerated with a safety profile similar to the vehicle group. Additionally, 92% of TP-03 patients reported that the drop comfort was neutral to very comfortable. There were no serious treatment-related adverse events nor any treatment-related adverse events leading to treatment discontinuation.</w:t>
      </w:r>
    </w:p>
    <w:p>
      <w:pPr>
        <w:spacing w:after="0" w:line="198" w:lineRule="exact"/>
        <w:rPr>
          <w:sz w:val="20"/>
          <w:szCs w:val="20"/>
          <w:color w:val="auto"/>
        </w:rPr>
      </w:pPr>
    </w:p>
    <w:p>
      <w:pPr>
        <w:ind w:right="100" w:firstLine="883"/>
        <w:spacing w:after="0" w:line="244" w:lineRule="auto"/>
        <w:rPr>
          <w:sz w:val="20"/>
          <w:szCs w:val="20"/>
          <w:color w:val="auto"/>
        </w:rPr>
      </w:pPr>
      <w:r>
        <w:rPr>
          <w:rFonts w:ascii="Arial" w:cs="Arial" w:eastAsia="Arial" w:hAnsi="Arial"/>
          <w:sz w:val="18"/>
          <w:szCs w:val="18"/>
          <w:b w:val="1"/>
          <w:bCs w:val="1"/>
          <w:u w:val="single" w:color="auto"/>
          <w:color w:val="auto"/>
        </w:rPr>
        <w:t>TP-03 Demodex Blepharitis Studies, Titan and Atlas</w:t>
      </w:r>
      <w:r>
        <w:rPr>
          <w:rFonts w:ascii="Arial" w:cs="Arial" w:eastAsia="Arial" w:hAnsi="Arial"/>
          <w:sz w:val="18"/>
          <w:szCs w:val="18"/>
          <w:color w:val="auto"/>
        </w:rPr>
        <w:t>: On November 4, 2021, data from two pioneering studies on the prevalence and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Demodex blepharitis were presented at the American Academy of Optometry ("AAO") 2021 Annual Meeting:</w:t>
      </w:r>
    </w:p>
    <w:p>
      <w:pPr>
        <w:spacing w:after="0" w:line="238" w:lineRule="exact"/>
        <w:rPr>
          <w:sz w:val="20"/>
          <w:szCs w:val="20"/>
          <w:color w:val="auto"/>
        </w:rPr>
      </w:pPr>
    </w:p>
    <w:p>
      <w:pPr>
        <w:jc w:val="both"/>
        <w:ind w:left="640" w:right="320" w:hanging="312"/>
        <w:spacing w:after="0" w:line="220" w:lineRule="auto"/>
        <w:tabs>
          <w:tab w:leader="none" w:pos="635" w:val="left"/>
        </w:tabs>
        <w:numPr>
          <w:ilvl w:val="0"/>
          <w:numId w:val="67"/>
        </w:numPr>
        <w:rPr>
          <w:rFonts w:ascii="Arial" w:cs="Arial" w:eastAsia="Arial" w:hAnsi="Arial"/>
          <w:sz w:val="21"/>
          <w:szCs w:val="21"/>
          <w:color w:val="auto"/>
        </w:rPr>
      </w:pPr>
      <w:r>
        <w:rPr>
          <w:rFonts w:ascii="Arial" w:cs="Arial" w:eastAsia="Arial" w:hAnsi="Arial"/>
          <w:sz w:val="18"/>
          <w:szCs w:val="18"/>
          <w:color w:val="auto"/>
        </w:rPr>
        <w:t>Titan, a real-world prevalence study, revealed that Demodex blepharitis accounts for 69% of blepharitis cases and is present in many commonly seen patient groups. Additionally, 75% of patients using tea tree oil and 57% of those using lid wipes still had collarettes, showing these current management tools are ineffective at treating Demodex blepharitis.</w:t>
      </w:r>
    </w:p>
    <w:p>
      <w:pPr>
        <w:ind w:left="640" w:right="680" w:hanging="312"/>
        <w:spacing w:after="0" w:line="233" w:lineRule="auto"/>
        <w:tabs>
          <w:tab w:leader="none" w:pos="635" w:val="left"/>
        </w:tabs>
        <w:numPr>
          <w:ilvl w:val="0"/>
          <w:numId w:val="67"/>
        </w:numPr>
        <w:rPr>
          <w:rFonts w:ascii="Arial" w:cs="Arial" w:eastAsia="Arial" w:hAnsi="Arial"/>
          <w:sz w:val="20"/>
          <w:szCs w:val="20"/>
          <w:color w:val="auto"/>
        </w:rPr>
      </w:pPr>
      <w:r>
        <w:rPr>
          <w:rFonts w:ascii="Arial" w:cs="Arial" w:eastAsia="Arial" w:hAnsi="Arial"/>
          <w:sz w:val="17"/>
          <w:szCs w:val="17"/>
          <w:color w:val="auto"/>
        </w:rPr>
        <w:t>Atlas is the first multi-centered observational study to evaluate the impact of Demodex blepharitis and showed that Demodex blepharitis is associated with a significant symptomatic and psychosocial burden, negatively affecting daily life in 80% of patients.</w:t>
      </w:r>
    </w:p>
    <w:p>
      <w:pPr>
        <w:spacing w:after="0" w:line="212" w:lineRule="exact"/>
        <w:rPr>
          <w:sz w:val="20"/>
          <w:szCs w:val="20"/>
          <w:color w:val="auto"/>
        </w:rPr>
      </w:pPr>
    </w:p>
    <w:p>
      <w:pPr>
        <w:ind w:right="20" w:firstLine="883"/>
        <w:spacing w:after="0" w:line="284" w:lineRule="auto"/>
        <w:rPr>
          <w:sz w:val="20"/>
          <w:szCs w:val="20"/>
          <w:color w:val="auto"/>
        </w:rPr>
      </w:pPr>
      <w:r>
        <w:rPr>
          <w:rFonts w:ascii="Arial" w:cs="Arial" w:eastAsia="Arial" w:hAnsi="Arial"/>
          <w:sz w:val="17"/>
          <w:szCs w:val="17"/>
          <w:b w:val="1"/>
          <w:bCs w:val="1"/>
          <w:u w:val="single" w:color="auto"/>
          <w:color w:val="auto"/>
        </w:rPr>
        <w:t>TP-03 China Territory Out-License</w:t>
      </w:r>
      <w:r>
        <w:rPr>
          <w:rFonts w:ascii="Arial" w:cs="Arial" w:eastAsia="Arial" w:hAnsi="Arial"/>
          <w:sz w:val="17"/>
          <w:szCs w:val="17"/>
          <w:color w:val="auto"/>
        </w:rPr>
        <w:t>: In March 2021, we executed the China Out-License with LianBio, granting exclusive commercial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to TP-03 for the treatment of Demodex blepharitis and MGD within the China Territory. LianBio has recently communicated to us that they expect to initiate a TP-03 Phase 3 pivotal trial in China for the treatment of Demodex blepharitis in the second half of 2022.</w:t>
      </w:r>
    </w:p>
    <w:p>
      <w:pPr>
        <w:spacing w:after="0" w:line="193" w:lineRule="exact"/>
        <w:rPr>
          <w:sz w:val="20"/>
          <w:szCs w:val="20"/>
          <w:color w:val="auto"/>
        </w:rPr>
      </w:pPr>
    </w:p>
    <w:p>
      <w:pPr>
        <w:jc w:val="both"/>
        <w:ind w:right="100" w:firstLine="963"/>
        <w:spacing w:after="0" w:line="244" w:lineRule="auto"/>
        <w:rPr>
          <w:sz w:val="20"/>
          <w:szCs w:val="20"/>
          <w:color w:val="auto"/>
        </w:rPr>
      </w:pPr>
      <w:r>
        <w:rPr>
          <w:rFonts w:ascii="Arial" w:cs="Arial" w:eastAsia="Arial" w:hAnsi="Arial"/>
          <w:sz w:val="18"/>
          <w:szCs w:val="18"/>
          <w:color w:val="auto"/>
        </w:rPr>
        <w:t>We received payments from LianBio totaling $25 million in April and May 2021 as initial consideration for this out-license, and a total of $30 million in June and August 2021 for the achievement of two clinical development milestones. We also received equity warrants in LianBio in March 2021, with two of three tranches remaining subject to clinical and regulatory vesting provisions.</w:t>
      </w:r>
    </w:p>
    <w:p>
      <w:pPr>
        <w:spacing w:after="0" w:line="211" w:lineRule="exact"/>
        <w:rPr>
          <w:sz w:val="20"/>
          <w:szCs w:val="20"/>
          <w:color w:val="auto"/>
        </w:rPr>
      </w:pPr>
    </w:p>
    <w:p>
      <w:pPr>
        <w:ind w:right="20" w:firstLine="883"/>
        <w:spacing w:after="0" w:line="255" w:lineRule="auto"/>
        <w:rPr>
          <w:sz w:val="20"/>
          <w:szCs w:val="20"/>
          <w:color w:val="auto"/>
        </w:rPr>
      </w:pPr>
      <w:r>
        <w:rPr>
          <w:rFonts w:ascii="Arial" w:cs="Arial" w:eastAsia="Arial" w:hAnsi="Arial"/>
          <w:sz w:val="18"/>
          <w:szCs w:val="18"/>
          <w:color w:val="auto"/>
        </w:rPr>
        <w:t>We are further eligible to receive (i) a Saturn-2 clinical milestone of $15 million (expected to be achieved during the first half of 2022), (ii) China-based clinical and regulatory milestones and a supply agreement milestone totaling $30 million ($15 million of which we expect to be achieved by the second half of 2022), and (iii) sales threshold milestones in the China Territory totaling $100 million. We are also entitled to receive tiered mid-to-high teen royalties on the net sales of TP-03 within the China Territory.</w:t>
      </w:r>
    </w:p>
    <w:p>
      <w:pPr>
        <w:spacing w:after="0" w:line="213" w:lineRule="exact"/>
        <w:rPr>
          <w:sz w:val="20"/>
          <w:szCs w:val="20"/>
          <w:color w:val="auto"/>
        </w:rPr>
      </w:pPr>
    </w:p>
    <w:p>
      <w:pPr>
        <w:ind w:right="40" w:firstLine="883"/>
        <w:spacing w:after="0" w:line="255" w:lineRule="auto"/>
        <w:rPr>
          <w:sz w:val="20"/>
          <w:szCs w:val="20"/>
          <w:color w:val="auto"/>
        </w:rPr>
      </w:pPr>
      <w:r>
        <w:rPr>
          <w:rFonts w:ascii="Arial" w:cs="Arial" w:eastAsia="Arial" w:hAnsi="Arial"/>
          <w:sz w:val="18"/>
          <w:szCs w:val="18"/>
          <w:b w:val="1"/>
          <w:bCs w:val="1"/>
          <w:u w:val="single" w:color="auto"/>
          <w:color w:val="auto"/>
        </w:rPr>
        <w:t>TP-05 Initiation of Phase 1 Trial, Callisto</w:t>
      </w:r>
      <w:r>
        <w:rPr>
          <w:rFonts w:ascii="Arial" w:cs="Arial" w:eastAsia="Arial" w:hAnsi="Arial"/>
          <w:sz w:val="18"/>
          <w:szCs w:val="18"/>
          <w:color w:val="auto"/>
        </w:rPr>
        <w:t>: We continued to advance our Phase 1 Callisto trial, evaluating TP-05, a novel, oral, non-vaccine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for the prevention of Lyme disease with data expected in the second half of 2022. In June 2021, we initiated the Callisto trial, a single ascending dose and multiple ascending dose trial to evaluate the safety, tolerability and PK of TP-05 in healthy volunteers. There are currently no FDA-approved pharmacological prophylactic options for Lyme disease, which is the most common vector-borne disease in the U.S., transmitted to humans via Borrelia burgdorferi bacterium infection following the bite of a tick vector.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right="80" w:firstLine="883"/>
        <w:spacing w:after="0" w:line="244" w:lineRule="auto"/>
        <w:rPr>
          <w:sz w:val="20"/>
          <w:szCs w:val="20"/>
          <w:color w:val="auto"/>
        </w:rPr>
      </w:pPr>
      <w:r>
        <w:rPr>
          <w:rFonts w:ascii="Arial" w:cs="Arial" w:eastAsia="Arial" w:hAnsi="Arial"/>
          <w:sz w:val="18"/>
          <w:szCs w:val="18"/>
          <w:color w:val="auto"/>
        </w:rPr>
        <w:t>We believe TP-05 is currently the only non-vaccine, drug-based,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207" w:lineRule="exact"/>
        <w:rPr>
          <w:sz w:val="20"/>
          <w:szCs w:val="20"/>
          <w:color w:val="auto"/>
        </w:rPr>
      </w:pPr>
    </w:p>
    <w:p>
      <w:pPr>
        <w:ind w:right="60" w:firstLine="883"/>
        <w:spacing w:after="0" w:line="276" w:lineRule="auto"/>
        <w:rPr>
          <w:sz w:val="20"/>
          <w:szCs w:val="20"/>
          <w:color w:val="auto"/>
        </w:rPr>
      </w:pPr>
      <w:r>
        <w:rPr>
          <w:rFonts w:ascii="Arial" w:cs="Arial" w:eastAsia="Arial" w:hAnsi="Arial"/>
          <w:sz w:val="16"/>
          <w:szCs w:val="16"/>
          <w:b w:val="1"/>
          <w:bCs w:val="1"/>
          <w:u w:val="single" w:color="auto"/>
          <w:color w:val="auto"/>
        </w:rPr>
        <w:t>Credit Facility with Hercules Capital and Silicon Valley Bank</w:t>
      </w:r>
      <w:r>
        <w:rPr>
          <w:rFonts w:ascii="Arial" w:cs="Arial" w:eastAsia="Arial" w:hAnsi="Arial"/>
          <w:sz w:val="16"/>
          <w:szCs w:val="16"/>
          <w:color w:val="auto"/>
        </w:rPr>
        <w:t>: On February 2, 2022 we executed a loan and security agreement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Hercules Capital and Silicon Valley Bank (the "Credit Facility). This $175 million Credit Facility has tranched availability as follows: $40 million at closing ($20 million drawn in February 2022), $25 million upon NDA submission of TP-03, $35 million upon FDA approval of TP-03, and $75 million upon achievement of certain revenue thresholds and other conditions. Capital draws, at our election, are in $5 million increments. This credit facility includes a four-year interest only period and is extendable to five years upon meeting certain conditions. There is no warrant coverage to the lenders.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 Overview</w:t>
      </w:r>
    </w:p>
    <w:p>
      <w:pPr>
        <w:spacing w:after="0" w:line="225" w:lineRule="exact"/>
        <w:rPr>
          <w:sz w:val="20"/>
          <w:szCs w:val="20"/>
          <w:color w:val="auto"/>
        </w:rPr>
      </w:pPr>
    </w:p>
    <w:p>
      <w:pPr>
        <w:ind w:right="180" w:firstLine="883"/>
        <w:spacing w:after="0" w:line="307" w:lineRule="auto"/>
        <w:rPr>
          <w:sz w:val="20"/>
          <w:szCs w:val="20"/>
          <w:color w:val="auto"/>
        </w:rPr>
      </w:pPr>
      <w:r>
        <w:rPr>
          <w:rFonts w:ascii="Arial" w:cs="Arial" w:eastAsia="Arial" w:hAnsi="Arial"/>
          <w:sz w:val="16"/>
          <w:szCs w:val="16"/>
          <w:color w:val="auto"/>
        </w:rPr>
        <w:t>We were incorporated as a Delaware corporation in November 2016, and our headquarters is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50" w:lineRule="exact"/>
        <w:rPr>
          <w:sz w:val="20"/>
          <w:szCs w:val="20"/>
          <w:color w:val="auto"/>
        </w:rPr>
      </w:pPr>
    </w:p>
    <w:p>
      <w:pPr>
        <w:ind w:right="120" w:firstLine="883"/>
        <w:spacing w:after="0" w:line="270" w:lineRule="auto"/>
        <w:rPr>
          <w:sz w:val="20"/>
          <w:szCs w:val="20"/>
          <w:color w:val="auto"/>
        </w:rPr>
      </w:pPr>
      <w:r>
        <w:rPr>
          <w:rFonts w:ascii="Arial" w:cs="Arial" w:eastAsia="Arial" w:hAnsi="Arial"/>
          <w:sz w:val="17"/>
          <w:szCs w:val="17"/>
          <w:color w:val="auto"/>
        </w:rPr>
        <w:t>To date we have financed our operations through private placements of preferred stock, convertible promissory notes, out-licensing arrangements, and the net proceeds from our Initial Public Offering ("IPO"), cash proceeds from our out-licensing arrangements, and draw-downs from our Credit Facility. From inception through December 31, 2021, we have raised net proceeds of approximately $103.2 million through private placements of preferred stock. In February 2022, we received $20 million from the initial draw down under the executed Credit Facility.</w:t>
      </w:r>
    </w:p>
    <w:p>
      <w:pPr>
        <w:spacing w:after="0" w:line="3" w:lineRule="exact"/>
        <w:rPr>
          <w:sz w:val="20"/>
          <w:szCs w:val="20"/>
          <w:color w:val="auto"/>
        </w:rPr>
      </w:pPr>
    </w:p>
    <w:p>
      <w:pPr>
        <w:ind w:right="60" w:firstLine="883"/>
        <w:spacing w:after="0" w:line="224" w:lineRule="auto"/>
        <w:rPr>
          <w:sz w:val="20"/>
          <w:szCs w:val="20"/>
          <w:color w:val="auto"/>
        </w:rPr>
      </w:pPr>
      <w:r>
        <w:rPr>
          <w:rFonts w:ascii="Arial" w:cs="Arial" w:eastAsia="Arial" w:hAnsi="Arial"/>
          <w:sz w:val="18"/>
          <w:szCs w:val="18"/>
          <w:color w:val="auto"/>
        </w:rPr>
        <w:t>In advance of our IPO, on October 8, 2020, our board of directors approved a 1-for-7.4276 reverse stock split of our capital stock. All share and per share information was adjusted to reflect this reverse stock split. On October 20, 2020, we completed our IPO through an underwritten sale of 6,325,000 shares of our common stock at a price of $16.00 per share, inclusive of 825,000 shares of common stock sold upon the full exercise of the underwriters’ purchase option. The aggregate net proceeds from the offering after deducting underwriting discounts and commissions and other offering expenses were $91.7 million. Concurrent with the IPO, all then-outstanding shares of our convertible preferred stock automatically converted into an aggregate of 11,107,018 issued shares of common stock.</w:t>
      </w:r>
    </w:p>
    <w:p>
      <w:pPr>
        <w:spacing w:after="0" w:line="218" w:lineRule="exact"/>
        <w:rPr>
          <w:sz w:val="20"/>
          <w:szCs w:val="20"/>
          <w:color w:val="auto"/>
        </w:rPr>
      </w:pPr>
    </w:p>
    <w:p>
      <w:pPr>
        <w:ind w:right="420" w:firstLine="883"/>
        <w:spacing w:after="0" w:line="244" w:lineRule="auto"/>
        <w:rPr>
          <w:sz w:val="20"/>
          <w:szCs w:val="20"/>
          <w:color w:val="auto"/>
        </w:rPr>
      </w:pPr>
      <w:r>
        <w:rPr>
          <w:rFonts w:ascii="Arial" w:cs="Arial" w:eastAsia="Arial" w:hAnsi="Arial"/>
          <w:sz w:val="18"/>
          <w:szCs w:val="18"/>
          <w:color w:val="auto"/>
        </w:rPr>
        <w:t xml:space="preserve">In March 2021, we executed an out-license of TP-03 for the China Territory (see </w:t>
      </w:r>
      <w:r>
        <w:rPr>
          <w:rFonts w:ascii="Arial" w:cs="Arial" w:eastAsia="Arial" w:hAnsi="Arial"/>
          <w:sz w:val="18"/>
          <w:szCs w:val="18"/>
          <w:i w:val="1"/>
          <w:iCs w:val="1"/>
          <w:color w:val="auto"/>
        </w:rPr>
        <w:t>Note 9</w:t>
      </w:r>
      <w:r>
        <w:rPr>
          <w:rFonts w:ascii="Arial" w:cs="Arial" w:eastAsia="Arial" w:hAnsi="Arial"/>
          <w:sz w:val="18"/>
          <w:szCs w:val="18"/>
          <w:color w:val="auto"/>
        </w:rPr>
        <w:t>). During the year ended December 31, 2021, we received cash proceeds of $55.0 million from our licensee. We expect to receive additional cash proceeds of $20.0 million in the first half of 2022 upon achievement of our Saturn-2 clinical milestone.</w:t>
      </w:r>
    </w:p>
    <w:p>
      <w:pPr>
        <w:spacing w:after="0" w:line="198" w:lineRule="exact"/>
        <w:rPr>
          <w:sz w:val="20"/>
          <w:szCs w:val="20"/>
          <w:color w:val="auto"/>
        </w:rPr>
      </w:pPr>
    </w:p>
    <w:p>
      <w:pPr>
        <w:ind w:firstLine="883"/>
        <w:spacing w:after="0" w:line="224" w:lineRule="auto"/>
        <w:rPr>
          <w:sz w:val="20"/>
          <w:szCs w:val="20"/>
          <w:color w:val="auto"/>
        </w:rPr>
      </w:pPr>
      <w:r>
        <w:rPr>
          <w:rFonts w:ascii="Arial" w:cs="Arial" w:eastAsia="Arial" w:hAnsi="Arial"/>
          <w:sz w:val="18"/>
          <w:szCs w:val="18"/>
          <w:color w:val="auto"/>
        </w:rPr>
        <w:t>We have incurred significant net operating losses in every year since our inception and expect to continue to incur significant operating expenses and, other than the effect of license fee revenue from the China Out-License, increasing operating losses for the foreseeable future. Our net losses were $13.8 million and $26.8 million for the years ended December 31, 2021 and 2020, respectively. Our net losses may fluctuate significantly from quarter to quarter and year to year and could be substantial. As of December 31, 2021 and 2020, we had an accumulated deficit of $46.7 million and $32.8 million, respectively, from research and development and general and administrative activities since our inception. We anticipate that our operating expenses will increase significantly as we:</w:t>
      </w:r>
    </w:p>
    <w:p>
      <w:pPr>
        <w:spacing w:after="0" w:line="244" w:lineRule="exact"/>
        <w:rPr>
          <w:sz w:val="20"/>
          <w:szCs w:val="20"/>
          <w:color w:val="auto"/>
        </w:rPr>
      </w:pPr>
    </w:p>
    <w:p>
      <w:pPr>
        <w:ind w:left="1000" w:hanging="311"/>
        <w:spacing w:after="0"/>
        <w:tabs>
          <w:tab w:leader="none" w:pos="1000" w:val="left"/>
        </w:tabs>
        <w:numPr>
          <w:ilvl w:val="0"/>
          <w:numId w:val="68"/>
        </w:numPr>
        <w:rPr>
          <w:rFonts w:ascii="Arial" w:cs="Arial" w:eastAsia="Arial" w:hAnsi="Arial"/>
          <w:sz w:val="21"/>
          <w:szCs w:val="21"/>
          <w:color w:val="auto"/>
        </w:rPr>
      </w:pPr>
      <w:r>
        <w:rPr>
          <w:rFonts w:ascii="Arial" w:cs="Arial" w:eastAsia="Arial" w:hAnsi="Arial"/>
          <w:sz w:val="18"/>
          <w:szCs w:val="18"/>
          <w:color w:val="auto"/>
        </w:rPr>
        <w:t>conduct additional clinical activities of our lead product candidate, TP-03, for the treatment of Demodex blepharitis;</w:t>
      </w:r>
    </w:p>
    <w:p>
      <w:pPr>
        <w:spacing w:after="0" w:line="201" w:lineRule="exact"/>
        <w:rPr>
          <w:rFonts w:ascii="Arial" w:cs="Arial" w:eastAsia="Arial" w:hAnsi="Arial"/>
          <w:sz w:val="21"/>
          <w:szCs w:val="21"/>
          <w:color w:val="auto"/>
        </w:rPr>
      </w:pPr>
    </w:p>
    <w:p>
      <w:pPr>
        <w:ind w:left="1020" w:right="340" w:hanging="331"/>
        <w:spacing w:after="0" w:line="271" w:lineRule="auto"/>
        <w:tabs>
          <w:tab w:leader="none" w:pos="10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advance the clinical development of TP-03 for the treatment of MGD, TP-04 for the potential treatment of rosacea and TP-05 for potential Lyme prophylaxis and community malaria reduction;</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development, if any;</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our own sales force in the U.S. to commercialize our products for which we obtain regulatory approval;</w:t>
      </w:r>
    </w:p>
    <w:p>
      <w:pPr>
        <w:spacing w:after="0" w:line="220" w:lineRule="exact"/>
        <w:rPr>
          <w:rFonts w:ascii="Arial" w:cs="Arial" w:eastAsia="Arial" w:hAnsi="Arial"/>
          <w:sz w:val="18"/>
          <w:szCs w:val="18"/>
          <w:color w:val="auto"/>
        </w:rPr>
      </w:pPr>
    </w:p>
    <w:p>
      <w:pPr>
        <w:ind w:left="1020" w:right="20" w:hanging="331"/>
        <w:spacing w:after="0" w:line="271" w:lineRule="auto"/>
        <w:tabs>
          <w:tab w:leader="none" w:pos="10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engage with contract manufacturers to ensure a sufficient supply chain capacity to provide commercial quantities of any products for which we may obtain marketing approval;</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hanging="311"/>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0" w:lineRule="exact"/>
        <w:rPr>
          <w:rFonts w:ascii="Arial" w:cs="Arial" w:eastAsia="Arial" w:hAnsi="Arial"/>
          <w:sz w:val="18"/>
          <w:szCs w:val="18"/>
          <w:color w:val="auto"/>
        </w:rPr>
      </w:pPr>
    </w:p>
    <w:p>
      <w:pPr>
        <w:ind w:left="1020" w:right="560" w:hanging="331"/>
        <w:spacing w:after="0" w:line="271" w:lineRule="auto"/>
        <w:tabs>
          <w:tab w:leader="none" w:pos="1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marketing, operations, financial, and other support personnel, to execute our business plan; and</w:t>
      </w:r>
    </w:p>
    <w:p>
      <w:pPr>
        <w:spacing w:after="0" w:line="174" w:lineRule="exact"/>
        <w:rPr>
          <w:rFonts w:ascii="Arial" w:cs="Arial" w:eastAsia="Arial" w:hAnsi="Arial"/>
          <w:sz w:val="18"/>
          <w:szCs w:val="18"/>
          <w:color w:val="auto"/>
        </w:rPr>
      </w:pPr>
    </w:p>
    <w:p>
      <w:pPr>
        <w:ind w:left="1020" w:right="100" w:hanging="331"/>
        <w:spacing w:after="0" w:line="271" w:lineRule="auto"/>
        <w:tabs>
          <w:tab w:leader="none" w:pos="1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add information systems and personnel to support our product development and potential future commercialization efforts, and to enable us to operate as a public company.</w:t>
      </w:r>
    </w:p>
    <w:p>
      <w:pPr>
        <w:spacing w:after="0" w:line="201" w:lineRule="exact"/>
        <w:rPr>
          <w:sz w:val="20"/>
          <w:szCs w:val="20"/>
          <w:color w:val="auto"/>
        </w:rPr>
      </w:pPr>
    </w:p>
    <w:p>
      <w:pPr>
        <w:ind w:right="40" w:firstLine="883"/>
        <w:spacing w:after="0" w:line="307" w:lineRule="auto"/>
        <w:rPr>
          <w:sz w:val="20"/>
          <w:szCs w:val="20"/>
          <w:color w:val="auto"/>
        </w:rPr>
      </w:pPr>
      <w:r>
        <w:rPr>
          <w:rFonts w:ascii="Arial" w:cs="Arial" w:eastAsia="Arial" w:hAnsi="Arial"/>
          <w:sz w:val="16"/>
          <w:szCs w:val="16"/>
          <w:color w:val="auto"/>
        </w:rPr>
        <w:t xml:space="preserve">We do not have any products approved for sale and we have not yet generated any revenue from product sales. However, we recognized "license fees" and "collaboration revenue" from our China Out-License for the year ended December 31, 2021 of an aggregate $53.1 million and $4.0 million, respectively (see </w:t>
      </w:r>
      <w:r>
        <w:rPr>
          <w:rFonts w:ascii="Arial" w:cs="Arial" w:eastAsia="Arial" w:hAnsi="Arial"/>
          <w:sz w:val="16"/>
          <w:szCs w:val="16"/>
          <w:i w:val="1"/>
          <w:iCs w:val="1"/>
          <w:color w:val="auto"/>
        </w:rPr>
        <w:t>Note 9)</w:t>
      </w:r>
      <w:r>
        <w:rPr>
          <w:rFonts w:ascii="Arial" w:cs="Arial" w:eastAsia="Arial" w:hAnsi="Arial"/>
          <w:sz w:val="16"/>
          <w:szCs w:val="16"/>
          <w:color w:val="auto"/>
        </w:rPr>
        <w:t>, and expect to recognize additional revenue under these captions from this arrangement in future periods.</w:t>
      </w:r>
    </w:p>
    <w:p>
      <w:pPr>
        <w:spacing w:after="0" w:line="150" w:lineRule="exact"/>
        <w:rPr>
          <w:sz w:val="20"/>
          <w:szCs w:val="20"/>
          <w:color w:val="auto"/>
        </w:rPr>
      </w:pPr>
    </w:p>
    <w:p>
      <w:pPr>
        <w:ind w:firstLine="883"/>
        <w:spacing w:after="0" w:line="268" w:lineRule="auto"/>
        <w:rPr>
          <w:sz w:val="20"/>
          <w:szCs w:val="20"/>
          <w:color w:val="auto"/>
        </w:rPr>
      </w:pPr>
      <w:r>
        <w:rPr>
          <w:rFonts w:ascii="Arial" w:cs="Arial" w:eastAsia="Arial" w:hAnsi="Arial"/>
          <w:sz w:val="17"/>
          <w:szCs w:val="17"/>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0" w:lineRule="exact"/>
        <w:rPr>
          <w:sz w:val="20"/>
          <w:szCs w:val="20"/>
          <w:color w:val="auto"/>
        </w:rPr>
      </w:pPr>
    </w:p>
    <w:p>
      <w:pPr>
        <w:ind w:right="80" w:firstLine="883"/>
        <w:spacing w:after="0" w:line="255" w:lineRule="auto"/>
        <w:rPr>
          <w:sz w:val="20"/>
          <w:szCs w:val="20"/>
          <w:color w:val="auto"/>
        </w:rPr>
      </w:pPr>
      <w:r>
        <w:rPr>
          <w:rFonts w:ascii="Arial" w:cs="Arial" w:eastAsia="Arial" w:hAnsi="Arial"/>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As of December 31, 2021, our aggregate cash and cash equivalents was $171.3 million –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Operations</w:t>
      </w:r>
    </w:p>
    <w:p>
      <w:pPr>
        <w:spacing w:after="0" w:line="225" w:lineRule="exact"/>
        <w:rPr>
          <w:sz w:val="20"/>
          <w:szCs w:val="20"/>
          <w:color w:val="auto"/>
        </w:rPr>
      </w:pPr>
    </w:p>
    <w:p>
      <w:pPr>
        <w:ind w:right="300" w:firstLine="883"/>
        <w:spacing w:after="0" w:line="259" w:lineRule="auto"/>
        <w:rPr>
          <w:sz w:val="20"/>
          <w:szCs w:val="20"/>
          <w:color w:val="auto"/>
        </w:rPr>
      </w:pPr>
      <w:r>
        <w:rPr>
          <w:rFonts w:ascii="Arial" w:cs="Arial" w:eastAsia="Arial" w:hAnsi="Arial"/>
          <w:sz w:val="18"/>
          <w:szCs w:val="18"/>
          <w:color w:val="auto"/>
        </w:rPr>
        <w:t>Efforts to contain the spread of COVID-19 in the U.S.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99" w:lineRule="exact"/>
        <w:rPr>
          <w:sz w:val="20"/>
          <w:szCs w:val="20"/>
          <w:color w:val="auto"/>
        </w:rPr>
      </w:pPr>
    </w:p>
    <w:p>
      <w:pPr>
        <w:ind w:right="100" w:firstLine="883"/>
        <w:spacing w:after="0" w:line="272" w:lineRule="auto"/>
        <w:rPr>
          <w:sz w:val="20"/>
          <w:szCs w:val="20"/>
          <w:color w:val="auto"/>
        </w:rPr>
      </w:pPr>
      <w:r>
        <w:rPr>
          <w:rFonts w:ascii="Arial" w:cs="Arial" w:eastAsia="Arial" w:hAnsi="Arial"/>
          <w:sz w:val="16"/>
          <w:szCs w:val="16"/>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 vaccination policy and we may take further actions as may be required by federal, state or local authorities.</w:t>
      </w:r>
    </w:p>
    <w:p>
      <w:pPr>
        <w:spacing w:after="0" w:line="190" w:lineRule="exact"/>
        <w:rPr>
          <w:sz w:val="20"/>
          <w:szCs w:val="20"/>
          <w:color w:val="auto"/>
        </w:rPr>
      </w:pPr>
    </w:p>
    <w:p>
      <w:pPr>
        <w:ind w:right="40" w:firstLine="883"/>
        <w:spacing w:after="0" w:line="237" w:lineRule="auto"/>
        <w:rPr>
          <w:sz w:val="20"/>
          <w:szCs w:val="20"/>
          <w:color w:val="auto"/>
        </w:rPr>
      </w:pPr>
      <w:r>
        <w:rPr>
          <w:rFonts w:ascii="Arial" w:cs="Arial" w:eastAsia="Arial" w:hAnsi="Arial"/>
          <w:sz w:val="18"/>
          <w:szCs w:val="18"/>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Specifically, for our Phase 3 Saturn-2 trial, we have instituted various protocols for our sites, including increasing health screening of individuals and providing enhanced communication and training to staff regarding COVID-19. However, the ultimate effect from this pandemic on our development timelines for TP-03 and our other product candidates is inherently uncertain.</w:t>
      </w:r>
    </w:p>
    <w:p>
      <w:pPr>
        <w:spacing w:after="0" w:line="191" w:lineRule="exact"/>
        <w:rPr>
          <w:sz w:val="20"/>
          <w:szCs w:val="20"/>
          <w:color w:val="auto"/>
        </w:rPr>
      </w:pPr>
    </w:p>
    <w:p>
      <w:pPr>
        <w:ind w:right="80" w:firstLine="883"/>
        <w:spacing w:after="0" w:line="271" w:lineRule="auto"/>
        <w:rPr>
          <w:sz w:val="20"/>
          <w:szCs w:val="20"/>
          <w:color w:val="auto"/>
        </w:rPr>
      </w:pPr>
      <w:r>
        <w:rPr>
          <w:rFonts w:ascii="Arial" w:cs="Arial" w:eastAsia="Arial" w:hAnsi="Arial"/>
          <w:sz w:val="18"/>
          <w:szCs w:val="18"/>
          <w:color w:val="auto"/>
        </w:rPr>
        <w:t xml:space="preserve">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report for a further discussion of the potential adverse impact of COVID-19 on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 and Collaboration Revenue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recognize "license fee and collaboration revenue" as identified performance obligations are satisfied or other events occur, specifically related to</w:t>
      </w:r>
    </w:p>
    <w:p>
      <w:pPr>
        <w:spacing w:after="0" w:line="43" w:lineRule="exact"/>
        <w:rPr>
          <w:sz w:val="20"/>
          <w:szCs w:val="20"/>
          <w:color w:val="auto"/>
        </w:rPr>
      </w:pPr>
    </w:p>
    <w:p>
      <w:pPr>
        <w:ind w:right="220" w:firstLine="7"/>
        <w:spacing w:after="0" w:line="256" w:lineRule="auto"/>
        <w:tabs>
          <w:tab w:leader="none" w:pos="2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TP-03 pivotal trial completion and the delivery of associated clinical data and reports to our licensee, (ii) achievement of certain clinical and regulatory events in China, and (iii) sales by our licensee of TP-03 in the China Territory.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ind w:right="820" w:firstLine="883"/>
        <w:spacing w:after="0" w:line="271" w:lineRule="auto"/>
        <w:rPr>
          <w:sz w:val="20"/>
          <w:szCs w:val="20"/>
          <w:color w:val="auto"/>
        </w:rPr>
      </w:pPr>
      <w:r>
        <w:rPr>
          <w:rFonts w:ascii="Arial" w:cs="Arial" w:eastAsia="Arial" w:hAnsi="Arial"/>
          <w:sz w:val="18"/>
          <w:szCs w:val="18"/>
          <w:color w:val="auto"/>
        </w:rPr>
        <w:t>Our operating expenses consist of cost of license fees and collaboration revenue, research and development expenses and general and administrative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Fees and Collaboration Revenue</w:t>
      </w:r>
    </w:p>
    <w:p>
      <w:pPr>
        <w:spacing w:after="0" w:line="234" w:lineRule="exact"/>
        <w:rPr>
          <w:sz w:val="20"/>
          <w:szCs w:val="20"/>
          <w:color w:val="auto"/>
        </w:rPr>
      </w:pPr>
    </w:p>
    <w:p>
      <w:pPr>
        <w:ind w:right="280" w:firstLine="642"/>
        <w:spacing w:after="0" w:line="232" w:lineRule="auto"/>
        <w:rPr>
          <w:sz w:val="20"/>
          <w:szCs w:val="20"/>
          <w:color w:val="auto"/>
        </w:rPr>
      </w:pPr>
      <w:r>
        <w:rPr>
          <w:rFonts w:ascii="Arial" w:cs="Arial" w:eastAsia="Arial" w:hAnsi="Arial"/>
          <w:sz w:val="18"/>
          <w:szCs w:val="18"/>
          <w:color w:val="auto"/>
        </w:rPr>
        <w:t>Our cost of license fees and collaboration revenue includes (i) the proportion of expense recognized under the terms of the China Out-License payable under the terms of our in-license agreement for lotilaner, and (ii) valuation adjustments to the equity warrants and LianBio common stock for the portion contractually due under our January 2019 in-license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research and development expenses consist of expenses incurred in connection with the development of our product candidates, including:</w:t>
      </w:r>
    </w:p>
    <w:p>
      <w:pPr>
        <w:spacing w:after="0" w:line="244" w:lineRule="exact"/>
        <w:rPr>
          <w:sz w:val="20"/>
          <w:szCs w:val="20"/>
          <w:color w:val="auto"/>
        </w:rPr>
      </w:pPr>
    </w:p>
    <w:p>
      <w:pPr>
        <w:ind w:left="1000" w:hanging="311"/>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fees paid to third parties to conduct certain research and development activities on our behalf, including under agreements with CROs;</w:t>
      </w:r>
    </w:p>
    <w:p>
      <w:pPr>
        <w:spacing w:after="0" w:line="232" w:lineRule="exact"/>
        <w:rPr>
          <w:rFonts w:ascii="Arial" w:cs="Arial" w:eastAsia="Arial" w:hAnsi="Arial"/>
          <w:sz w:val="17"/>
          <w:szCs w:val="17"/>
          <w:color w:val="auto"/>
        </w:rPr>
      </w:pPr>
    </w:p>
    <w:p>
      <w:pPr>
        <w:ind w:left="1000" w:hanging="311"/>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payments under licensing agreements, such as our upfront in-license fee for lotilaner;</w:t>
      </w:r>
    </w:p>
    <w:p>
      <w:pPr>
        <w:spacing w:after="0" w:line="220" w:lineRule="exact"/>
        <w:rPr>
          <w:rFonts w:ascii="Arial" w:cs="Arial" w:eastAsia="Arial" w:hAnsi="Arial"/>
          <w:sz w:val="18"/>
          <w:szCs w:val="18"/>
          <w:color w:val="auto"/>
        </w:rPr>
      </w:pPr>
    </w:p>
    <w:p>
      <w:pPr>
        <w:ind w:left="1020" w:right="100" w:hanging="331"/>
        <w:spacing w:after="0" w:line="271" w:lineRule="auto"/>
        <w:tabs>
          <w:tab w:leader="none" w:pos="10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consulting costs and certain allocated payroll and employee-related expenses (including stock-based compensation and salaries) for personnel engaged in research and development functions;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related to compliance with clinical regulatory requirements;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of procuring drug products for use in our preclinical studies and clinical trials;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facilities expenses, which include direct and allocated expenses for rent of our laboratory.</w:t>
      </w:r>
    </w:p>
    <w:p>
      <w:pPr>
        <w:spacing w:after="0" w:line="221" w:lineRule="exact"/>
        <w:rPr>
          <w:sz w:val="20"/>
          <w:szCs w:val="20"/>
          <w:color w:val="auto"/>
        </w:rPr>
      </w:pPr>
    </w:p>
    <w:p>
      <w:pPr>
        <w:ind w:right="120" w:firstLine="883"/>
        <w:spacing w:after="0" w:line="253" w:lineRule="auto"/>
        <w:rPr>
          <w:sz w:val="20"/>
          <w:szCs w:val="20"/>
          <w:color w:val="auto"/>
        </w:rPr>
      </w:pPr>
      <w:r>
        <w:rPr>
          <w:rFonts w:ascii="Arial" w:cs="Arial" w:eastAsia="Arial" w:hAnsi="Arial"/>
          <w:sz w:val="18"/>
          <w:szCs w:val="18"/>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progress-to-completion of (i) specific tasks performed or deliverables provided by CROs and contract manufacturing organizations ("CMOs") and (ii) patient visits for dosing or other follow-up. To estimate period expense for recognition, we use information provided to us by our service providers and we then apply the corresponding fee schedule.</w:t>
      </w:r>
    </w:p>
    <w:p>
      <w:pPr>
        <w:spacing w:after="0" w:line="193" w:lineRule="exact"/>
        <w:rPr>
          <w:sz w:val="20"/>
          <w:szCs w:val="20"/>
          <w:color w:val="auto"/>
        </w:rPr>
      </w:pPr>
    </w:p>
    <w:p>
      <w:pPr>
        <w:ind w:right="120" w:firstLine="883"/>
        <w:spacing w:after="0" w:line="275" w:lineRule="auto"/>
        <w:rPr>
          <w:sz w:val="20"/>
          <w:szCs w:val="20"/>
          <w:color w:val="auto"/>
        </w:rPr>
      </w:pPr>
      <w:r>
        <w:rPr>
          <w:rFonts w:ascii="Arial" w:cs="Arial" w:eastAsia="Arial" w:hAnsi="Arial"/>
          <w:sz w:val="17"/>
          <w:szCs w:val="17"/>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currently track employee time on a program-by-program basis. For the years ended December 31, 2021 and 2020, substantially all of our external and internal research and development expenses are attributable to our TP-03 program for Demodex blepharitis.</w:t>
      </w:r>
    </w:p>
    <w:p>
      <w:pPr>
        <w:spacing w:after="0" w:line="174" w:lineRule="exact"/>
        <w:rPr>
          <w:sz w:val="20"/>
          <w:szCs w:val="20"/>
          <w:color w:val="auto"/>
        </w:rPr>
      </w:pPr>
    </w:p>
    <w:p>
      <w:pPr>
        <w:jc w:val="both"/>
        <w:ind w:right="160" w:firstLine="883"/>
        <w:spacing w:after="0" w:line="255" w:lineRule="auto"/>
        <w:rPr>
          <w:sz w:val="20"/>
          <w:szCs w:val="20"/>
          <w:color w:val="auto"/>
        </w:rPr>
      </w:pPr>
      <w:r>
        <w:rPr>
          <w:rFonts w:ascii="Arial" w:cs="Arial" w:eastAsia="Arial" w:hAnsi="Arial"/>
          <w:sz w:val="18"/>
          <w:szCs w:val="18"/>
          <w:color w:val="auto"/>
        </w:rPr>
        <w:t>We expect our research and development expenses to increase substantially in the future, as we seek to initiate and progress additional clinical trials for our product candidates, including TP-03 for the potential treatment of MGD, TP-04 for the potential treatment of rosacea, and TP-05 for potential Lyme prophylaxis and community malaria reduction. We expect to complete our clinical programs for these product candidates, and as appropriate, pursue regulatory approval and prepare for the possible commercialization for each.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1" w:lineRule="exact"/>
        <w:rPr>
          <w:sz w:val="20"/>
          <w:szCs w:val="20"/>
          <w:color w:val="auto"/>
        </w:rPr>
      </w:pPr>
    </w:p>
    <w:p>
      <w:pPr>
        <w:ind w:right="300" w:firstLine="883"/>
        <w:spacing w:after="0" w:line="271" w:lineRule="auto"/>
        <w:rPr>
          <w:sz w:val="20"/>
          <w:szCs w:val="20"/>
          <w:color w:val="auto"/>
        </w:rPr>
      </w:pPr>
      <w:r>
        <w:rPr>
          <w:rFonts w:ascii="Arial" w:cs="Arial" w:eastAsia="Arial" w:hAnsi="Arial"/>
          <w:sz w:val="18"/>
          <w:szCs w:val="18"/>
          <w:color w:val="auto"/>
        </w:rPr>
        <w:t>Our general and administrative expenses consist of personnel-related costs including payroll, benefits, and stock-based compensation for our executive, finance, and other administrative functions. Other general and administrative expenses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include consulting fees, legal services, rent and other facilities costs, and other general operating expenses not otherwise classified as research and development expenses.</w:t>
      </w:r>
    </w:p>
    <w:p>
      <w:pPr>
        <w:spacing w:after="0" w:line="175" w:lineRule="exact"/>
        <w:rPr>
          <w:sz w:val="20"/>
          <w:szCs w:val="20"/>
          <w:color w:val="auto"/>
        </w:rPr>
      </w:pPr>
    </w:p>
    <w:p>
      <w:pPr>
        <w:ind w:firstLine="883"/>
        <w:spacing w:after="0" w:line="253" w:lineRule="auto"/>
        <w:rPr>
          <w:sz w:val="20"/>
          <w:szCs w:val="20"/>
          <w:color w:val="auto"/>
        </w:rPr>
      </w:pPr>
      <w:r>
        <w:rPr>
          <w:rFonts w:ascii="Arial" w:cs="Arial" w:eastAsia="Arial" w:hAnsi="Arial"/>
          <w:sz w:val="18"/>
          <w:szCs w:val="18"/>
          <w:color w:val="auto"/>
        </w:rPr>
        <w:t>We expect that our general and administrative expenses will increase substantially in the future as a result of expanding our operations, including hiring personnel,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25" w:lineRule="exact"/>
        <w:rPr>
          <w:sz w:val="20"/>
          <w:szCs w:val="20"/>
          <w:color w:val="auto"/>
        </w:rPr>
      </w:pPr>
    </w:p>
    <w:p>
      <w:pPr>
        <w:ind w:right="3040" w:firstLine="883"/>
        <w:spacing w:after="0" w:line="301" w:lineRule="auto"/>
        <w:rPr>
          <w:sz w:val="20"/>
          <w:szCs w:val="20"/>
          <w:color w:val="auto"/>
        </w:rPr>
      </w:pPr>
      <w:r>
        <w:rPr>
          <w:rFonts w:ascii="Arial" w:cs="Arial" w:eastAsia="Arial" w:hAnsi="Arial"/>
          <w:sz w:val="17"/>
          <w:szCs w:val="17"/>
          <w:color w:val="auto"/>
        </w:rPr>
        <w:t>The change in other (expense) income, net was primarily due to a change in estimated fair value of the equity warrants and LianBio common stock related to our China Out-License executed in March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5" w:lineRule="exact"/>
        <w:rPr>
          <w:sz w:val="20"/>
          <w:szCs w:val="20"/>
          <w:color w:val="auto"/>
        </w:rPr>
      </w:pPr>
    </w:p>
    <w:p>
      <w:pPr>
        <w:ind w:right="180" w:firstLine="883"/>
        <w:spacing w:after="0" w:line="270" w:lineRule="auto"/>
        <w:rPr>
          <w:sz w:val="20"/>
          <w:szCs w:val="20"/>
          <w:color w:val="auto"/>
        </w:rPr>
      </w:pPr>
      <w:r>
        <w:rPr>
          <w:rFonts w:ascii="Arial" w:cs="Arial" w:eastAsia="Arial" w:hAnsi="Arial"/>
          <w:sz w:val="17"/>
          <w:szCs w:val="17"/>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a result of the Tax Cuts and Jobs Act of 2017, net operating losses (for U.S. income tax purposes) generated prior to December 31, 2017 can be carried forward for up to 20 years, while net operating losses generated after December 31, 2017 can be carried forward indefinitely, but are limited to 80% utilization against taxable income. Our California net operating losses will begin to expire in 2037. The federal research and development tax credits begin to expire in 2040 unless previously utilized, and the California credit carryforwards are available indefinitely.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3"/>
          </w:tcPr>
          <w:p>
            <w:pPr>
              <w:jc w:val="center"/>
              <w:ind w:right="223"/>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6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03"/>
              <w:spacing w:after="0"/>
              <w:rPr>
                <w:sz w:val="20"/>
                <w:szCs w:val="20"/>
                <w:color w:val="auto"/>
              </w:rPr>
            </w:pPr>
            <w:r>
              <w:rPr>
                <w:rFonts w:ascii="Arial" w:cs="Arial" w:eastAsia="Arial" w:hAnsi="Arial"/>
                <w:sz w:val="14"/>
                <w:szCs w:val="14"/>
                <w:b w:val="1"/>
                <w:bCs w:val="1"/>
                <w:color w:val="auto"/>
                <w:w w:val="90"/>
              </w:rPr>
              <w:t>December 31,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2"/>
        </w:trPr>
        <w:tc>
          <w:tcPr>
            <w:tcW w:w="67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181"/>
        </w:trPr>
        <w:tc>
          <w:tcPr>
            <w:tcW w:w="6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gridSpan w:val="3"/>
          </w:tcPr>
          <w:p>
            <w:pPr>
              <w:jc w:val="center"/>
              <w:ind w:right="203"/>
              <w:spacing w:after="0"/>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1"/>
        </w:trPr>
        <w:tc>
          <w:tcPr>
            <w:tcW w:w="6700" w:type="dxa"/>
            <w:vAlign w:val="bottom"/>
          </w:tcPr>
          <w:p>
            <w:pPr>
              <w:ind w:left="20"/>
              <w:spacing w:after="0"/>
              <w:rPr>
                <w:sz w:val="20"/>
                <w:szCs w:val="20"/>
                <w:color w:val="auto"/>
              </w:rPr>
            </w:pPr>
            <w:r>
              <w:rPr>
                <w:rFonts w:ascii="Arial" w:cs="Arial" w:eastAsia="Arial" w:hAnsi="Arial"/>
                <w:sz w:val="16"/>
                <w:szCs w:val="16"/>
                <w:color w:val="auto"/>
              </w:rPr>
              <w:t>License fees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53,067</w:t>
            </w:r>
          </w:p>
        </w:tc>
        <w:tc>
          <w:tcPr>
            <w:tcW w:w="100" w:type="dxa"/>
            <w:vAlign w:val="bottom"/>
          </w:tcPr>
          <w:p>
            <w:pPr>
              <w:spacing w:after="0"/>
              <w:rPr>
                <w:sz w:val="18"/>
                <w:szCs w:val="18"/>
                <w:color w:val="auto"/>
              </w:rPr>
            </w:pP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53,067</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205"/>
        </w:trPr>
        <w:tc>
          <w:tcPr>
            <w:tcW w:w="670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8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57,027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57,027</w:t>
            </w:r>
          </w:p>
        </w:tc>
      </w:tr>
      <w:tr>
        <w:trPr>
          <w:trHeight w:val="197"/>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1"/>
        </w:trPr>
        <w:tc>
          <w:tcPr>
            <w:tcW w:w="6700" w:type="dxa"/>
            <w:vAlign w:val="bottom"/>
          </w:tcPr>
          <w:p>
            <w:pPr>
              <w:ind w:left="240"/>
              <w:spacing w:after="0"/>
              <w:rPr>
                <w:sz w:val="20"/>
                <w:szCs w:val="20"/>
                <w:color w:val="auto"/>
              </w:rPr>
            </w:pPr>
            <w:r>
              <w:rPr>
                <w:rFonts w:ascii="Arial" w:cs="Arial" w:eastAsia="Arial" w:hAnsi="Arial"/>
                <w:sz w:val="16"/>
                <w:szCs w:val="16"/>
                <w:color w:val="auto"/>
              </w:rPr>
              <w:t>Cost of license fees and collaboration revenue</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2,075</w:t>
            </w:r>
          </w:p>
        </w:tc>
      </w:tr>
      <w:tr>
        <w:trPr>
          <w:trHeight w:val="217"/>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41,712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18,826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22,886</w:t>
            </w:r>
          </w:p>
        </w:tc>
      </w:tr>
      <w:tr>
        <w:trPr>
          <w:trHeight w:val="211"/>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8"/>
              </w:rPr>
              <w:t>25,397</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17,225</w:t>
            </w:r>
          </w:p>
        </w:tc>
      </w:tr>
      <w:tr>
        <w:trPr>
          <w:trHeight w:val="210"/>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69,184</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26,998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42,186</w:t>
            </w:r>
          </w:p>
        </w:tc>
      </w:tr>
      <w:tr>
        <w:trPr>
          <w:trHeight w:val="20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 before other (expense) income and income taxes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(12,157)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(26,998)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14,841</w:t>
            </w:r>
          </w:p>
        </w:tc>
      </w:tr>
      <w:tr>
        <w:trPr>
          <w:trHeight w:val="19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1"/>
        </w:trPr>
        <w:tc>
          <w:tcPr>
            <w:tcW w:w="670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expense,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1"/>
        </w:trPr>
        <w:tc>
          <w:tcPr>
            <w:tcW w:w="6700" w:type="dxa"/>
            <w:vAlign w:val="bottom"/>
          </w:tcPr>
          <w:p>
            <w:pPr>
              <w:ind w:left="240"/>
              <w:spacing w:after="0"/>
              <w:rPr>
                <w:sz w:val="20"/>
                <w:szCs w:val="20"/>
                <w:color w:val="auto"/>
              </w:rPr>
            </w:pPr>
            <w:r>
              <w:rPr>
                <w:rFonts w:ascii="Arial" w:cs="Arial" w:eastAsia="Arial" w:hAnsi="Arial"/>
                <w:sz w:val="16"/>
                <w:szCs w:val="16"/>
                <w:color w:val="auto"/>
              </w:rPr>
              <w:t>Unrealized loss on equity securities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17"/>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equity warrants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05"/>
        </w:trPr>
        <w:tc>
          <w:tcPr>
            <w:tcW w:w="67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 income, net</w:t>
            </w:r>
          </w:p>
        </w:tc>
        <w:tc>
          <w:tcPr>
            <w:tcW w:w="8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(1,803)</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(13,772)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(26,810)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13,038</w:t>
            </w:r>
          </w:p>
        </w:tc>
      </w:tr>
      <w:tr>
        <w:trPr>
          <w:trHeight w:val="211"/>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(13,827)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(26,811)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 and Collaboration Revenue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83"/>
        <w:spacing w:after="0" w:line="281" w:lineRule="auto"/>
        <w:rPr>
          <w:sz w:val="20"/>
          <w:szCs w:val="20"/>
          <w:color w:val="auto"/>
        </w:rPr>
      </w:pPr>
      <w:r>
        <w:rPr>
          <w:rFonts w:ascii="Arial" w:cs="Arial" w:eastAsia="Arial" w:hAnsi="Arial"/>
          <w:sz w:val="17"/>
          <w:szCs w:val="17"/>
          <w:color w:val="auto"/>
        </w:rPr>
        <w:t>License fees and collaboration revenue was $57.0 million for the year ended December 31, 2021. This amount was attributable to the contractual milestones under the China Out-License that have been fully or partially completed by December 31, 2021. These amounts represent the satisfaction of the transfer of TP-03 license rights to LianBio and the partial completion of clinical-related "performance obligations".</w:t>
      </w:r>
    </w:p>
    <w:p>
      <w:pPr>
        <w:spacing w:after="0" w:line="196" w:lineRule="exact"/>
        <w:rPr>
          <w:sz w:val="20"/>
          <w:szCs w:val="20"/>
          <w:color w:val="auto"/>
        </w:rPr>
      </w:pPr>
    </w:p>
    <w:p>
      <w:pPr>
        <w:jc w:val="both"/>
        <w:ind w:firstLine="883"/>
        <w:spacing w:after="0" w:line="307" w:lineRule="auto"/>
        <w:rPr>
          <w:sz w:val="20"/>
          <w:szCs w:val="20"/>
          <w:color w:val="auto"/>
        </w:rPr>
      </w:pPr>
      <w:r>
        <w:rPr>
          <w:rFonts w:ascii="Arial" w:cs="Arial" w:eastAsia="Arial" w:hAnsi="Arial"/>
          <w:sz w:val="16"/>
          <w:szCs w:val="16"/>
          <w:color w:val="auto"/>
        </w:rPr>
        <w:t>We will recognize additional "license fee and collaboration revenue" to the extent the contractual performance obligations are further satisfied or other events occur, specifically related to (i) milestone payments upon TP-03 pivotal trial completion and the delivery of associated clinical data and reports to our licensee, (ii) achievement of regulatory events that trigger milestone payments, and (iii) our licensee's product sales of TP-03 in the China Territory.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Fees and Collaboration Revenue</w:t>
      </w:r>
    </w:p>
    <w:p>
      <w:pPr>
        <w:spacing w:after="0" w:line="248" w:lineRule="exact"/>
        <w:rPr>
          <w:sz w:val="20"/>
          <w:szCs w:val="20"/>
          <w:color w:val="auto"/>
        </w:rPr>
      </w:pPr>
    </w:p>
    <w:p>
      <w:pPr>
        <w:ind w:right="260" w:firstLine="883"/>
        <w:spacing w:after="0" w:line="307" w:lineRule="auto"/>
        <w:rPr>
          <w:sz w:val="20"/>
          <w:szCs w:val="20"/>
          <w:color w:val="auto"/>
        </w:rPr>
      </w:pPr>
      <w:r>
        <w:rPr>
          <w:rFonts w:ascii="Arial" w:cs="Arial" w:eastAsia="Arial" w:hAnsi="Arial"/>
          <w:sz w:val="16"/>
          <w:szCs w:val="16"/>
          <w:color w:val="auto"/>
        </w:rPr>
        <w:t>Cost of license fees and collaboration revenue was $2.1 million for the year ended December 31, 2021. This amount relates to (i) a portion of our contractual payment obligations attached to our China Out-License proceeds as part of our January 2019 in-license agreement for lotilaner, and (ii) valuation adjustments to the equity warrants and LianBio common stock for the portion contractually due under our January 2019 in-license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8" w:lineRule="exact"/>
        <w:rPr>
          <w:sz w:val="20"/>
          <w:szCs w:val="20"/>
          <w:color w:val="auto"/>
        </w:rPr>
      </w:pPr>
    </w:p>
    <w:p>
      <w:pPr>
        <w:ind w:right="60" w:firstLine="883"/>
        <w:spacing w:after="0" w:line="268" w:lineRule="auto"/>
        <w:rPr>
          <w:sz w:val="20"/>
          <w:szCs w:val="20"/>
          <w:color w:val="auto"/>
        </w:rPr>
      </w:pPr>
      <w:r>
        <w:rPr>
          <w:rFonts w:ascii="Arial" w:cs="Arial" w:eastAsia="Arial" w:hAnsi="Arial"/>
          <w:sz w:val="17"/>
          <w:szCs w:val="17"/>
          <w:color w:val="auto"/>
        </w:rPr>
        <w:t>Research and development expenses increased by $22.9 million for the year ended December 31, 2021. The increase was primarily due to (i) contractual payment in March 2021 in the form of 187,500 shares of our common stock (valued at $5.5 million) to extend the period of our September 2020 in-license agreement, (ii) contractual payment of $2.0 million under our January 2019 in-license agreement for the commencement of our Saturn-2 trial, (iii) increased clinical and preclinical study costs of $9.6 million, (iv) increased manufacturing and formulation costs of $4.6 million, and (v) increased payroll and personnel-related costs, including stock-based compensation, of $4.4 million for 10 employee additions in 2021 to drive our product development initiatives. These increases were partially offset by non-recurring costs for the year ended December 31, 2020, including (i) upfront contractual payment under our January 2019 in-license in the form of 222,460 shares of our common stock (valued at $3.1 million), and (ii) $1.0 million contractual payment under our January 2019 in-license for our Saturn-1 trial commencement in September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8" w:lineRule="exact"/>
        <w:rPr>
          <w:sz w:val="20"/>
          <w:szCs w:val="20"/>
          <w:color w:val="auto"/>
        </w:rPr>
      </w:pPr>
    </w:p>
    <w:p>
      <w:pPr>
        <w:ind w:right="140" w:firstLine="883"/>
        <w:spacing w:after="0" w:line="275" w:lineRule="auto"/>
        <w:rPr>
          <w:sz w:val="20"/>
          <w:szCs w:val="20"/>
          <w:color w:val="auto"/>
        </w:rPr>
      </w:pPr>
      <w:r>
        <w:rPr>
          <w:rFonts w:ascii="Arial" w:cs="Arial" w:eastAsia="Arial" w:hAnsi="Arial"/>
          <w:sz w:val="17"/>
          <w:szCs w:val="17"/>
          <w:color w:val="auto"/>
        </w:rPr>
        <w:t>General and administrative expenses increased by $17.2 million for the year ended December 31, 2021. The increase was primarily due to (i) $10.2 million increase in payroll and personnel-related costs (including stock-based compensation) for 16 employee additions in 2021 to support our business growth, (ii) increased corporate insurance and other administrative costs of $2.6 million, (iii) increased professional and legal fees of $2.4 million, (iv) increased commercial and market research costs of $1.4 million, and (v) increased facility-related costs of $0.7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1" w:lineRule="exact"/>
        <w:rPr>
          <w:sz w:val="20"/>
          <w:szCs w:val="20"/>
          <w:color w:val="auto"/>
        </w:rPr>
      </w:pPr>
    </w:p>
    <w:p>
      <w:pPr>
        <w:ind w:right="320" w:firstLine="883"/>
        <w:spacing w:after="0" w:line="255" w:lineRule="auto"/>
        <w:rPr>
          <w:sz w:val="20"/>
          <w:szCs w:val="20"/>
          <w:color w:val="auto"/>
        </w:rPr>
      </w:pPr>
      <w:r>
        <w:rPr>
          <w:rFonts w:ascii="Arial" w:cs="Arial" w:eastAsia="Arial" w:hAnsi="Arial"/>
          <w:sz w:val="18"/>
          <w:szCs w:val="18"/>
          <w:color w:val="auto"/>
        </w:rPr>
        <w:t>Other (expense) income, net for the year ended December 31, 2021 primarily consists of (i) mark-to-market decrease of $1.0 million for the LianBio equity warrants we received as part of our China Out-License in March 2021, (ii) mark-to-market decrease of $0.6 million for LianBio common stock (after our exercise of the first warrant tranche), and (iii) $0.1 million of realized loss for fixed asset disposals. In the prior year, this caption only included interest income of $0.2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1" w:lineRule="exact"/>
        <w:rPr>
          <w:sz w:val="20"/>
          <w:szCs w:val="20"/>
          <w:color w:val="auto"/>
        </w:rPr>
      </w:pPr>
    </w:p>
    <w:p>
      <w:pPr>
        <w:ind w:right="600" w:firstLine="883"/>
        <w:spacing w:after="0" w:line="259" w:lineRule="auto"/>
        <w:rPr>
          <w:sz w:val="20"/>
          <w:szCs w:val="20"/>
          <w:color w:val="auto"/>
        </w:rPr>
      </w:pPr>
      <w:r>
        <w:rPr>
          <w:rFonts w:ascii="Arial" w:cs="Arial" w:eastAsia="Arial" w:hAnsi="Arial"/>
          <w:sz w:val="18"/>
          <w:szCs w:val="18"/>
          <w:color w:val="auto"/>
        </w:rPr>
        <w:t>We will continue to be dependent upon equity, debt financing, and/or other forms of capital raises at least until we are able to generate significant ongoing positive cash flows to support our operations. As of December 31, 2021, we had cash and cash equivalents of $171.3 million and marketable securities of $0.5 million.</w:t>
      </w:r>
    </w:p>
    <w:p>
      <w:pPr>
        <w:spacing w:after="0" w:line="186" w:lineRule="exact"/>
        <w:rPr>
          <w:sz w:val="20"/>
          <w:szCs w:val="20"/>
          <w:color w:val="auto"/>
        </w:rPr>
      </w:pPr>
    </w:p>
    <w:p>
      <w:pPr>
        <w:jc w:val="both"/>
        <w:ind w:firstLine="883"/>
        <w:spacing w:after="0" w:line="259" w:lineRule="auto"/>
        <w:rPr>
          <w:sz w:val="20"/>
          <w:szCs w:val="20"/>
          <w:color w:val="auto"/>
        </w:rPr>
      </w:pPr>
      <w:r>
        <w:rPr>
          <w:rFonts w:ascii="Arial" w:cs="Arial" w:eastAsia="Arial" w:hAnsi="Arial"/>
          <w:sz w:val="18"/>
          <w:szCs w:val="18"/>
          <w:color w:val="auto"/>
        </w:rPr>
        <w:t>Since our inception in 2016 and through December 31, 2021, our operations have been substantially financed by cash proceeds of $61.0 million from private placements of preferred stock, the proceeds from our IPO, and China Out-License consideration. In connection with our IPO, we sold 6,325,000 shares of our common stock (inclusive of the full exercise of the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underwriters' option to purchase 825,000 shares of common stock. After deducting underwriting discounts, commissions and other related expenses, our IPO proceeds were $91.7 million.</w:t>
      </w:r>
    </w:p>
    <w:p>
      <w:pPr>
        <w:spacing w:after="0" w:line="175" w:lineRule="exact"/>
        <w:rPr>
          <w:sz w:val="20"/>
          <w:szCs w:val="20"/>
          <w:color w:val="auto"/>
        </w:rPr>
      </w:pPr>
    </w:p>
    <w:p>
      <w:pPr>
        <w:ind w:firstLine="883"/>
        <w:spacing w:after="0" w:line="253" w:lineRule="auto"/>
        <w:rPr>
          <w:sz w:val="20"/>
          <w:szCs w:val="20"/>
          <w:color w:val="auto"/>
        </w:rPr>
      </w:pPr>
      <w:r>
        <w:rPr>
          <w:rFonts w:ascii="Arial" w:cs="Arial" w:eastAsia="Arial" w:hAnsi="Arial"/>
          <w:sz w:val="18"/>
          <w:szCs w:val="18"/>
          <w:color w:val="auto"/>
        </w:rPr>
        <w:t>In the second quarter of 2021, we received $25.0 million of initial proceeds from our licensee as part of the execution of our China Out-License in March 2021. In June and August 2021, we received $30.0 million for the achievement of clinical development milestones. We expect to receive an additional $30.0 million during 2022 for the achievement of a clinical development milestone and a drug supply agreement milestone, for aggregate milestone receipts of $85.0 million through December 2022. The remaining $120.0 million of potential milestones under this out-license are subject to future clinical, regulatory and sales achievements within the China Territory.</w:t>
      </w:r>
    </w:p>
    <w:p>
      <w:pPr>
        <w:spacing w:after="0" w:line="206" w:lineRule="exact"/>
        <w:rPr>
          <w:sz w:val="20"/>
          <w:szCs w:val="20"/>
          <w:color w:val="auto"/>
        </w:rPr>
      </w:pPr>
    </w:p>
    <w:p>
      <w:pPr>
        <w:ind w:right="20" w:firstLine="883"/>
        <w:spacing w:after="0" w:line="226" w:lineRule="auto"/>
        <w:rPr>
          <w:sz w:val="20"/>
          <w:szCs w:val="20"/>
          <w:color w:val="auto"/>
        </w:rPr>
      </w:pPr>
      <w:r>
        <w:rPr>
          <w:rFonts w:ascii="Arial" w:cs="Arial" w:eastAsia="Arial" w:hAnsi="Arial"/>
          <w:sz w:val="18"/>
          <w:szCs w:val="18"/>
          <w:color w:val="auto"/>
        </w:rPr>
        <w:t>On February 2, 2022, we entered into the Credit Facility with tranched availability as follows: $40 million at closing (we took the minimum required draw for the term of the agreement of $20 million in February 2022), $25 million upon NDA submission of TP-03, $35 million upon FDA approval of TP-03, and $75 million upon achievement of certain revenue thresholds and other conditions. Capital draws, at our election, are in $5 million increments. This Credit Facility includes a four-year interest only period and is extendable to five years upon meeting certain conditions. There is no warrant coverage to the lenders.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1" w:lineRule="exact"/>
        <w:rPr>
          <w:sz w:val="20"/>
          <w:szCs w:val="20"/>
          <w:color w:val="auto"/>
        </w:rPr>
      </w:pPr>
    </w:p>
    <w:p>
      <w:pPr>
        <w:ind w:right="2220" w:firstLine="883"/>
        <w:spacing w:after="0" w:line="275" w:lineRule="auto"/>
        <w:rPr>
          <w:sz w:val="20"/>
          <w:szCs w:val="20"/>
          <w:color w:val="auto"/>
        </w:rPr>
      </w:pPr>
      <w:r>
        <w:rPr>
          <w:rFonts w:ascii="Arial" w:cs="Arial" w:eastAsia="Arial" w:hAnsi="Arial"/>
          <w:sz w:val="17"/>
          <w:szCs w:val="17"/>
          <w:color w:val="auto"/>
        </w:rPr>
        <w:t>Our current cash balance funds our operating expenditures and other working capital requirements. Our operating expenditures currently consist of research and development expenses (including activities within our preclinical, clinical, regulatory, and drug manufacturing initiatives) and general and administrative expenses. Our use of cash is impacted by the timing and extent of payments for each of these activities and other business requirements.</w:t>
      </w:r>
    </w:p>
    <w:p>
      <w:pPr>
        <w:spacing w:after="0" w:line="174" w:lineRule="exact"/>
        <w:rPr>
          <w:sz w:val="20"/>
          <w:szCs w:val="20"/>
          <w:color w:val="auto"/>
        </w:rPr>
      </w:pPr>
    </w:p>
    <w:p>
      <w:pPr>
        <w:ind w:right="40" w:firstLine="883"/>
        <w:spacing w:after="0" w:line="290" w:lineRule="auto"/>
        <w:rPr>
          <w:sz w:val="20"/>
          <w:szCs w:val="20"/>
          <w:color w:val="auto"/>
        </w:rPr>
      </w:pPr>
      <w:r>
        <w:rPr>
          <w:rFonts w:ascii="Arial" w:cs="Arial" w:eastAsia="Arial" w:hAnsi="Arial"/>
          <w:sz w:val="16"/>
          <w:szCs w:val="16"/>
          <w:color w:val="auto"/>
        </w:rPr>
        <w:t>We believe that our cash, cash equivalents and marketable securities of $171.8 million as of December 31, 2021 is sufficient to fund our current and planned operations for at least the next twelve months from the date of filing this Annual Report on Form 10-K. In addition, our expected $30 million of additional proceeds during 2022 as part of the China Out-License, and available funds under our Credit Facility, should enable us to fund our planned corporate expenses and research and development expenses and capital expenditure requirements at least into the second half of 2024. We based this cash runway estimate on our current assumptions that may require future adjustments as part of our ongoing business decisions within pipeline development and other corporate initiatives. Accordingly, we may require additional capital resources earlier than we currently expect.</w:t>
      </w:r>
    </w:p>
    <w:p>
      <w:pPr>
        <w:spacing w:after="0" w:line="177" w:lineRule="exact"/>
        <w:rPr>
          <w:sz w:val="20"/>
          <w:szCs w:val="20"/>
          <w:color w:val="auto"/>
        </w:rPr>
      </w:pPr>
    </w:p>
    <w:p>
      <w:pPr>
        <w:ind w:firstLine="883"/>
        <w:spacing w:after="0" w:line="226" w:lineRule="auto"/>
        <w:rPr>
          <w:sz w:val="20"/>
          <w:szCs w:val="20"/>
          <w:color w:val="auto"/>
        </w:rPr>
      </w:pPr>
      <w:r>
        <w:rPr>
          <w:rFonts w:ascii="Arial" w:cs="Arial" w:eastAsia="Arial" w:hAnsi="Arial"/>
          <w:sz w:val="18"/>
          <w:szCs w:val="18"/>
          <w:color w:val="auto"/>
        </w:rPr>
        <w:t>On November 1, 2021, we filed a shelf registration statement (the “Shelf Registration Statement”) on Form S-3 with the SEC (that was declared effective by the SEC on November 5, 2021), which permits us to offer up to $300.0 million of common stock, preferred stock, debt securities and warrants in one or more offerings and in any combination, including in units from time to time. Our Shelf Registration Statement is intended to provide us with additional flexibility to access capital markets for general corporate purposes, which may include working capital, capital expenditures, other corporate expenses and acquisitions of complementary products, technologies, or businesses.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November 1, 2021, as part of the Shelf Registration Statement, we also filed a sale agreement prospectus covering the sale of up to $100.0</w:t>
      </w:r>
    </w:p>
    <w:p>
      <w:pPr>
        <w:spacing w:after="0" w:line="43"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million of our common stock pursuant to an Open Market Sale Agreement</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(the “Sale Agreement”) with Jefferies LLC. Through the date of this filing, we have not sold any shares of our common stock pursuant to the Sale Agreement or any securities under the Shelf Registration Statement.</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 date, we have not generated revenue from any product sales. We do not expect to generate any product revenue unless and until we</w:t>
      </w:r>
    </w:p>
    <w:p>
      <w:pPr>
        <w:spacing w:after="0" w:line="8" w:lineRule="exact"/>
        <w:rPr>
          <w:sz w:val="20"/>
          <w:szCs w:val="20"/>
          <w:color w:val="auto"/>
        </w:rPr>
      </w:pPr>
    </w:p>
    <w:p>
      <w:pPr>
        <w:ind w:right="20" w:firstLine="7"/>
        <w:spacing w:after="0" w:line="226" w:lineRule="auto"/>
        <w:tabs>
          <w:tab w:leader="none" w:pos="2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complete development of any of our product candidates; (2) obtain applicable regulatory approvals; and then (3) successfully commercialize or enter into other collaborative agreements for our product candidates with third parties. We do not know with certainty when, or if, any of these items will ultimately occur.</w:t>
      </w:r>
    </w:p>
    <w:p>
      <w:pPr>
        <w:spacing w:after="0" w:line="188" w:lineRule="exact"/>
        <w:rPr>
          <w:sz w:val="20"/>
          <w:szCs w:val="20"/>
          <w:color w:val="auto"/>
        </w:rPr>
      </w:pPr>
    </w:p>
    <w:p>
      <w:pPr>
        <w:ind w:right="20" w:firstLine="883"/>
        <w:spacing w:after="0" w:line="259" w:lineRule="auto"/>
        <w:rPr>
          <w:sz w:val="20"/>
          <w:szCs w:val="20"/>
          <w:color w:val="auto"/>
        </w:rPr>
      </w:pPr>
      <w:r>
        <w:rPr>
          <w:rFonts w:ascii="Arial" w:cs="Arial" w:eastAsia="Arial" w:hAnsi="Arial"/>
          <w:sz w:val="18"/>
          <w:szCs w:val="18"/>
          <w:color w:val="auto"/>
        </w:rPr>
        <w:t>We expect to incur significant operating losses for the foreseeable future, and for these losses to further increase, as we ramp up our clinical development programs and begin activities for commercial launch readiness. We may also encounter unforeseen expenses, difficulties, complications, delays and other currently unknown factors that could adversely affect our business.</w:t>
      </w:r>
    </w:p>
    <w:p>
      <w:pPr>
        <w:spacing w:after="0" w:line="186" w:lineRule="exact"/>
        <w:rPr>
          <w:sz w:val="20"/>
          <w:szCs w:val="20"/>
          <w:color w:val="auto"/>
        </w:rPr>
      </w:pPr>
    </w:p>
    <w:p>
      <w:pPr>
        <w:ind w:right="400" w:firstLine="883"/>
        <w:spacing w:after="0" w:line="271" w:lineRule="auto"/>
        <w:rPr>
          <w:sz w:val="20"/>
          <w:szCs w:val="20"/>
          <w:color w:val="auto"/>
        </w:rPr>
      </w:pPr>
      <w:r>
        <w:rPr>
          <w:rFonts w:ascii="Arial" w:cs="Arial" w:eastAsia="Arial" w:hAnsi="Arial"/>
          <w:sz w:val="18"/>
          <w:szCs w:val="18"/>
          <w:color w:val="auto"/>
        </w:rPr>
        <w:t>We will likely require additional capital to fully develop our product candidates and to execute our business strategy. Our requirements of a future capital raise will depend on many factors, including:</w:t>
      </w:r>
    </w:p>
    <w:p>
      <w:pPr>
        <w:spacing w:after="0" w:line="175" w:lineRule="exact"/>
        <w:rPr>
          <w:sz w:val="20"/>
          <w:szCs w:val="20"/>
          <w:color w:val="auto"/>
        </w:rPr>
      </w:pPr>
    </w:p>
    <w:p>
      <w:pPr>
        <w:ind w:left="1020" w:right="300" w:hanging="331"/>
        <w:spacing w:after="0" w:line="271" w:lineRule="auto"/>
        <w:tabs>
          <w:tab w:leader="none" w:pos="10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220" w:lineRule="exact"/>
        <w:rPr>
          <w:rFonts w:ascii="Arial" w:cs="Arial" w:eastAsia="Arial" w:hAnsi="Arial"/>
          <w:sz w:val="18"/>
          <w:szCs w:val="18"/>
          <w:color w:val="auto"/>
        </w:rPr>
      </w:pPr>
    </w:p>
    <w:p>
      <w:pPr>
        <w:ind w:left="1020" w:right="640" w:hanging="331"/>
        <w:spacing w:after="0" w:line="271" w:lineRule="auto"/>
        <w:tabs>
          <w:tab w:leader="none" w:pos="10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74" w:lineRule="exact"/>
        <w:rPr>
          <w:rFonts w:ascii="Arial" w:cs="Arial" w:eastAsia="Arial" w:hAnsi="Arial"/>
          <w:sz w:val="18"/>
          <w:szCs w:val="18"/>
          <w:color w:val="auto"/>
        </w:rPr>
      </w:pPr>
    </w:p>
    <w:p>
      <w:pPr>
        <w:ind w:left="1020" w:right="160" w:hanging="331"/>
        <w:spacing w:after="0" w:line="271" w:lineRule="auto"/>
        <w:tabs>
          <w:tab w:leader="none" w:pos="10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might have at such time;</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0" w:lineRule="exact"/>
        <w:rPr>
          <w:rFonts w:ascii="Arial" w:cs="Arial" w:eastAsia="Arial" w:hAnsi="Arial"/>
          <w:sz w:val="18"/>
          <w:szCs w:val="18"/>
          <w:color w:val="auto"/>
        </w:rPr>
      </w:pPr>
    </w:p>
    <w:p>
      <w:pPr>
        <w:ind w:left="1020" w:right="400" w:hanging="331"/>
        <w:spacing w:after="0" w:line="271" w:lineRule="auto"/>
        <w:tabs>
          <w:tab w:leader="none" w:pos="10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0" w:lineRule="exact"/>
        <w:rPr>
          <w:rFonts w:ascii="Arial" w:cs="Arial" w:eastAsia="Arial" w:hAnsi="Arial"/>
          <w:sz w:val="18"/>
          <w:szCs w:val="18"/>
          <w:color w:val="auto"/>
        </w:rPr>
      </w:pPr>
    </w:p>
    <w:p>
      <w:pPr>
        <w:ind w:left="1020" w:right="400" w:hanging="331"/>
        <w:spacing w:after="0" w:line="271" w:lineRule="auto"/>
        <w:tabs>
          <w:tab w:leader="none" w:pos="10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74"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 systems;</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impact of COVID-19 on our clinical development or operations; and</w:t>
      </w:r>
    </w:p>
    <w:p>
      <w:pPr>
        <w:spacing w:after="0" w:line="220" w:lineRule="exact"/>
        <w:rPr>
          <w:rFonts w:ascii="Arial" w:cs="Arial" w:eastAsia="Arial" w:hAnsi="Arial"/>
          <w:sz w:val="18"/>
          <w:szCs w:val="18"/>
          <w:color w:val="auto"/>
        </w:rPr>
      </w:pPr>
    </w:p>
    <w:p>
      <w:pPr>
        <w:ind w:left="1000" w:hanging="31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1" w:lineRule="exact"/>
        <w:rPr>
          <w:sz w:val="20"/>
          <w:szCs w:val="20"/>
          <w:color w:val="auto"/>
        </w:rPr>
      </w:pPr>
    </w:p>
    <w:p>
      <w:pPr>
        <w:ind w:right="120" w:firstLine="883"/>
        <w:spacing w:after="0" w:line="269"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78" w:lineRule="exact"/>
        <w:rPr>
          <w:sz w:val="20"/>
          <w:szCs w:val="20"/>
          <w:color w:val="auto"/>
        </w:rPr>
      </w:pPr>
    </w:p>
    <w:p>
      <w:pPr>
        <w:ind w:right="160" w:firstLine="883"/>
        <w:spacing w:after="0" w:line="251" w:lineRule="auto"/>
        <w:rPr>
          <w:sz w:val="20"/>
          <w:szCs w:val="20"/>
          <w:color w:val="auto"/>
        </w:rPr>
      </w:pPr>
      <w:r>
        <w:rPr>
          <w:rFonts w:ascii="Arial" w:cs="Arial" w:eastAsia="Arial" w:hAnsi="Arial"/>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Annual Report on Form 10-K titled “Risk Factors” for additional risks associated with our substantial 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have entered into arrangements that contractually obligate us to make payments that will affect our liquidity and cash flows in future periods.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Such arrangements include those related to the contractual obligations described below:</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60" w:firstLine="883"/>
        <w:spacing w:after="0" w:line="259" w:lineRule="auto"/>
        <w:rPr>
          <w:sz w:val="20"/>
          <w:szCs w:val="20"/>
          <w:color w:val="auto"/>
        </w:rPr>
      </w:pPr>
      <w:r>
        <w:rPr>
          <w:rFonts w:ascii="Arial" w:cs="Arial" w:eastAsia="Arial" w:hAnsi="Arial"/>
          <w:sz w:val="18"/>
          <w:szCs w:val="18"/>
          <w:color w:val="auto"/>
        </w:rPr>
        <w:t>Our operating lease commitments reflect payments due for our active lease agreements in Irvine, California, for adjacent office and laboratory suites which expire on January 31, 2024. As of December 31, 2021, our contractual commitments for our leases were $1.2 million, which will be paid over the lease term.</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21" w:lineRule="exact"/>
        <w:rPr>
          <w:sz w:val="20"/>
          <w:szCs w:val="20"/>
          <w:color w:val="auto"/>
        </w:rPr>
      </w:pPr>
    </w:p>
    <w:p>
      <w:pPr>
        <w:ind w:right="140" w:firstLine="883"/>
        <w:spacing w:after="0" w:line="281" w:lineRule="auto"/>
        <w:rPr>
          <w:sz w:val="20"/>
          <w:szCs w:val="20"/>
          <w:color w:val="auto"/>
        </w:rPr>
      </w:pPr>
      <w:r>
        <w:rPr>
          <w:rFonts w:ascii="Arial" w:cs="Arial" w:eastAsia="Arial" w:hAnsi="Arial"/>
          <w:sz w:val="17"/>
          <w:szCs w:val="17"/>
          <w:color w:val="auto"/>
        </w:rPr>
        <w:t>We enter contracts in the normal course of business with CROs and clinical sites. As of December 31, 2021, our contractual commitments for such obligations were $11.3 million. We also enter contracts with contract manufacturers for pre-clinical and clinical drug supply, regulatory consultants and various other vendors in operating our business. These contracts generally provide for termination provisions with notice.</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Milestone Obligations</w:t>
      </w:r>
    </w:p>
    <w:p>
      <w:pPr>
        <w:spacing w:after="0" w:line="221" w:lineRule="exact"/>
        <w:rPr>
          <w:sz w:val="20"/>
          <w:szCs w:val="20"/>
          <w:color w:val="auto"/>
        </w:rPr>
      </w:pPr>
    </w:p>
    <w:p>
      <w:pPr>
        <w:ind w:right="620" w:firstLine="883"/>
        <w:spacing w:after="0" w:line="253" w:lineRule="auto"/>
        <w:rPr>
          <w:sz w:val="20"/>
          <w:szCs w:val="20"/>
          <w:color w:val="auto"/>
        </w:rPr>
      </w:pPr>
      <w:r>
        <w:rPr>
          <w:rFonts w:ascii="Arial" w:cs="Arial" w:eastAsia="Arial" w:hAnsi="Arial"/>
          <w:sz w:val="18"/>
          <w:szCs w:val="18"/>
          <w:color w:val="auto"/>
        </w:rPr>
        <w:t>Milestone obligations are contingent upon our achievement of specified development, regulatory and sales milestones. Given the unpredictability of the drug development process, and the infeasibility of predicting the success of current and future clinical trials and the timing of achievement (if at all) of sales milestones, these values assume that all development, regulatory, and sales milestones under our Eye and Derm Elanco Agreement and All Human Uses Elanco Agreement are successfully met. Assuming the milestones are met, the total future expected payment value aggregates $164 million.</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 below:</w:t>
      </w: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r>
      <w:tr>
        <w:trPr>
          <w:trHeight w:val="186"/>
        </w:trPr>
        <w:tc>
          <w:tcPr>
            <w:tcW w:w="8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1"/>
        </w:trPr>
        <w:tc>
          <w:tcPr>
            <w:tcW w:w="8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181"/>
        </w:trPr>
        <w:tc>
          <w:tcPr>
            <w:tcW w:w="8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15"/>
        </w:trPr>
        <w:tc>
          <w:tcPr>
            <w:tcW w:w="8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cash provided by (used in):</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814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100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
              <w:spacing w:after="0"/>
              <w:rPr>
                <w:sz w:val="20"/>
                <w:szCs w:val="20"/>
                <w:color w:val="auto"/>
              </w:rPr>
            </w:pPr>
            <w:r>
              <w:rPr>
                <w:rFonts w:ascii="Arial" w:cs="Arial" w:eastAsia="Arial" w:hAnsi="Arial"/>
                <w:sz w:val="16"/>
                <w:szCs w:val="16"/>
                <w:color w:val="auto"/>
                <w:w w:val="99"/>
              </w:rPr>
              <w:t>3,748</w:t>
            </w:r>
          </w:p>
        </w:tc>
        <w:tc>
          <w:tcPr>
            <w:tcW w:w="100" w:type="dxa"/>
            <w:vAlign w:val="bottom"/>
          </w:tcPr>
          <w:p>
            <w:pPr>
              <w:spacing w:after="0"/>
              <w:rPr>
                <w:sz w:val="18"/>
                <w:szCs w:val="18"/>
                <w:color w:val="auto"/>
              </w:rPr>
            </w:pP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(21,138)</w:t>
            </w:r>
          </w:p>
        </w:tc>
      </w:tr>
      <w:tr>
        <w:trPr>
          <w:trHeight w:val="217"/>
        </w:trPr>
        <w:tc>
          <w:tcPr>
            <w:tcW w:w="81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Investing activities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11"/>
        </w:trPr>
        <w:tc>
          <w:tcPr>
            <w:tcW w:w="8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Financing activities</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131,771</w:t>
            </w:r>
          </w:p>
        </w:tc>
      </w:tr>
      <w:tr>
        <w:trPr>
          <w:trHeight w:val="232"/>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increase in cash, cash equivalents and restricted cash</w:t>
            </w:r>
          </w:p>
        </w:tc>
        <w:tc>
          <w:tcPr>
            <w:tcW w:w="100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99"/>
              </w:rPr>
              <w:t>3,183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34" w:lineRule="exact"/>
        <w:rPr>
          <w:sz w:val="20"/>
          <w:szCs w:val="20"/>
          <w:color w:val="auto"/>
        </w:rPr>
      </w:pPr>
    </w:p>
    <w:p>
      <w:pPr>
        <w:ind w:right="140" w:firstLine="883"/>
        <w:spacing w:after="0" w:line="228" w:lineRule="auto"/>
        <w:rPr>
          <w:sz w:val="20"/>
          <w:szCs w:val="20"/>
          <w:color w:val="auto"/>
        </w:rPr>
      </w:pPr>
      <w:r>
        <w:rPr>
          <w:rFonts w:ascii="Arial" w:cs="Arial" w:eastAsia="Arial" w:hAnsi="Arial"/>
          <w:sz w:val="18"/>
          <w:szCs w:val="18"/>
          <w:color w:val="auto"/>
        </w:rPr>
        <w:t xml:space="preserve">Net cash provided by operating activities was $3.7 million for the year ended December 31, 2021. We received $55 million in cash (of the $57.0 million recognized in revenue during 2021) in connection with the China Out-License transaction. In the current year, our cash payments to vendors for our operating activities totaled $42.5 million and payroll-related cash payments (inclusive of 2020 bonus payouts) totaled $9.4 million. In addition, we made contractual payments of $4.5 million to our intellectual property licensor (see </w:t>
      </w:r>
      <w:r>
        <w:rPr>
          <w:rFonts w:ascii="Arial" w:cs="Arial" w:eastAsia="Arial" w:hAnsi="Arial"/>
          <w:sz w:val="18"/>
          <w:szCs w:val="18"/>
          <w:i w:val="1"/>
          <w:iCs w:val="1"/>
          <w:color w:val="auto"/>
        </w:rPr>
        <w:t>Note 8(b)</w:t>
      </w:r>
      <w:r>
        <w:rPr>
          <w:rFonts w:ascii="Arial" w:cs="Arial" w:eastAsia="Arial" w:hAnsi="Arial"/>
          <w:sz w:val="18"/>
          <w:szCs w:val="18"/>
          <w:color w:val="auto"/>
        </w:rPr>
        <w:t>).</w:t>
      </w:r>
    </w:p>
    <w:p>
      <w:pPr>
        <w:spacing w:after="0" w:line="190" w:lineRule="exact"/>
        <w:rPr>
          <w:sz w:val="20"/>
          <w:szCs w:val="20"/>
          <w:color w:val="auto"/>
        </w:rPr>
      </w:pPr>
    </w:p>
    <w:p>
      <w:pPr>
        <w:ind w:right="80" w:firstLine="883"/>
        <w:spacing w:after="0" w:line="301" w:lineRule="auto"/>
        <w:rPr>
          <w:sz w:val="20"/>
          <w:szCs w:val="20"/>
          <w:color w:val="auto"/>
        </w:rPr>
      </w:pPr>
      <w:r>
        <w:rPr>
          <w:rFonts w:ascii="Arial" w:cs="Arial" w:eastAsia="Arial" w:hAnsi="Arial"/>
          <w:sz w:val="17"/>
          <w:szCs w:val="17"/>
          <w:color w:val="auto"/>
        </w:rPr>
        <w:t>Net cash used in operating activities was $21.1 million for the year ended December 31, 2020, which was primarily attributable to our net loss of $26.8 million, partially offset by non-cash items (i.e., stock-based compensation and stock issuance costs at IPO) totaling $4.2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34" w:lineRule="exact"/>
        <w:rPr>
          <w:sz w:val="20"/>
          <w:szCs w:val="20"/>
          <w:color w:val="auto"/>
        </w:rPr>
      </w:pPr>
    </w:p>
    <w:p>
      <w:pPr>
        <w:ind w:right="100" w:firstLine="883"/>
        <w:spacing w:after="0"/>
        <w:rPr>
          <w:sz w:val="20"/>
          <w:szCs w:val="20"/>
          <w:color w:val="auto"/>
        </w:rPr>
      </w:pPr>
      <w:r>
        <w:rPr>
          <w:rFonts w:ascii="Arial" w:cs="Arial" w:eastAsia="Arial" w:hAnsi="Arial"/>
          <w:sz w:val="18"/>
          <w:szCs w:val="18"/>
          <w:color w:val="auto"/>
        </w:rPr>
        <w:t>Net cash used in investing activities was $0.6 million for the year ended December 31, 2021, which consisted of leasehold improvements for our laboratory and administrative offices and various purchases of computer hardware and software and office equipment.</w:t>
      </w:r>
    </w:p>
    <w:p>
      <w:pPr>
        <w:spacing w:after="0" w:line="188" w:lineRule="exact"/>
        <w:rPr>
          <w:sz w:val="20"/>
          <w:szCs w:val="20"/>
          <w:color w:val="auto"/>
        </w:rPr>
      </w:pPr>
    </w:p>
    <w:p>
      <w:pPr>
        <w:ind w:right="580" w:firstLine="883"/>
        <w:spacing w:after="0" w:line="271" w:lineRule="auto"/>
        <w:rPr>
          <w:sz w:val="20"/>
          <w:szCs w:val="20"/>
          <w:color w:val="auto"/>
        </w:rPr>
      </w:pPr>
      <w:r>
        <w:rPr>
          <w:rFonts w:ascii="Arial" w:cs="Arial" w:eastAsia="Arial" w:hAnsi="Arial"/>
          <w:sz w:val="18"/>
          <w:szCs w:val="18"/>
          <w:color w:val="auto"/>
        </w:rPr>
        <w:t>Net cash used in investing activities was $0.5 million for the year ended December 31, 2020, which consisted of equipment purchases and leasehold improvements for our laboratory and administrative offices.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1" w:lineRule="exact"/>
        <w:rPr>
          <w:sz w:val="20"/>
          <w:szCs w:val="20"/>
          <w:color w:val="auto"/>
        </w:rPr>
      </w:pPr>
    </w:p>
    <w:p>
      <w:pPr>
        <w:ind w:right="700" w:firstLine="883"/>
        <w:spacing w:after="0" w:line="271" w:lineRule="auto"/>
        <w:rPr>
          <w:sz w:val="20"/>
          <w:szCs w:val="20"/>
          <w:color w:val="auto"/>
        </w:rPr>
      </w:pPr>
      <w:r>
        <w:rPr>
          <w:rFonts w:ascii="Arial" w:cs="Arial" w:eastAsia="Arial" w:hAnsi="Arial"/>
          <w:sz w:val="18"/>
          <w:szCs w:val="18"/>
          <w:color w:val="auto"/>
        </w:rPr>
        <w:t>Net cash provided by financing activities was $21 thousand for the year ended December 31, 2021 which consisted of (i) $0.2 million of proceeds from our employee stock purchase plan, and (ii) $0.1 million of proceeds from the exercise of</w:t>
      </w: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vested employee stock options. These increases in cash were partially offset by payments of $0.3 million related to the deferred offering costs associated with our Shelf Registration Statement filed on November 1, 2021.</w:t>
      </w:r>
    </w:p>
    <w:p>
      <w:pPr>
        <w:spacing w:after="0" w:line="175" w:lineRule="exact"/>
        <w:rPr>
          <w:sz w:val="20"/>
          <w:szCs w:val="20"/>
          <w:color w:val="auto"/>
        </w:rPr>
      </w:pPr>
    </w:p>
    <w:p>
      <w:pPr>
        <w:ind w:right="240" w:firstLine="883"/>
        <w:spacing w:after="0" w:line="271" w:lineRule="auto"/>
        <w:rPr>
          <w:sz w:val="20"/>
          <w:szCs w:val="20"/>
          <w:color w:val="auto"/>
        </w:rPr>
      </w:pPr>
      <w:r>
        <w:rPr>
          <w:rFonts w:ascii="Arial" w:cs="Arial" w:eastAsia="Arial" w:hAnsi="Arial"/>
          <w:sz w:val="18"/>
          <w:szCs w:val="18"/>
          <w:color w:val="auto"/>
        </w:rPr>
        <w:t>Net cash provided by financing activities was $131.8 million for the year ended December 31, 2020 due to our issuance of Series C preferred stock for net proceeds of $39.8 million and net proceeds from our IPO of $91.7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5" w:lineRule="exact"/>
        <w:rPr>
          <w:sz w:val="20"/>
          <w:szCs w:val="20"/>
          <w:color w:val="auto"/>
        </w:rPr>
      </w:pPr>
    </w:p>
    <w:p>
      <w:pPr>
        <w:ind w:firstLine="883"/>
        <w:spacing w:after="0" w:line="251"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7" w:lineRule="exact"/>
        <w:rPr>
          <w:sz w:val="20"/>
          <w:szCs w:val="20"/>
          <w:color w:val="auto"/>
        </w:rPr>
      </w:pPr>
    </w:p>
    <w:p>
      <w:pPr>
        <w:ind w:right="80" w:firstLine="883"/>
        <w:spacing w:after="0" w:line="301" w:lineRule="auto"/>
        <w:rPr>
          <w:sz w:val="20"/>
          <w:szCs w:val="20"/>
          <w:color w:val="auto"/>
        </w:rPr>
      </w:pPr>
      <w:r>
        <w:rPr>
          <w:rFonts w:ascii="Arial" w:cs="Arial" w:eastAsia="Arial" w:hAnsi="Arial"/>
          <w:sz w:val="17"/>
          <w:szCs w:val="17"/>
          <w:color w:val="auto"/>
        </w:rPr>
        <w:t>While our significant accounting policies are described in the notes to our financial statements also included in this Annual Report on Form 10-K, we believe these critical accounting policies are the most important to understanding and evaluating our reported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for Out-License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8" w:lineRule="exact"/>
        <w:rPr>
          <w:sz w:val="20"/>
          <w:szCs w:val="20"/>
          <w:color w:val="auto"/>
        </w:rPr>
      </w:pPr>
    </w:p>
    <w:p>
      <w:pPr>
        <w:ind w:right="100" w:firstLine="883"/>
        <w:spacing w:after="0" w:line="272" w:lineRule="auto"/>
        <w:rPr>
          <w:sz w:val="20"/>
          <w:szCs w:val="20"/>
          <w:color w:val="auto"/>
        </w:rPr>
      </w:pPr>
      <w:r>
        <w:rPr>
          <w:rFonts w:ascii="Arial" w:cs="Arial" w:eastAsia="Arial" w:hAnsi="Arial"/>
          <w:sz w:val="17"/>
          <w:szCs w:val="17"/>
          <w:color w:val="auto"/>
        </w:rPr>
        <w:t>We currently only have the China Out-License arrangement that allows a licensee to market our TP-03 product (representing "functional intellectual property") in certain territories for a certain field of use and for a stated term. The accounting and reporting of revenue for out-license arrangements requires significant judgment for: (a) identification of performance obligations within the contract, (b) the contract’s transaction price for allocation (including variable consideration), upon satisfaction of the respective performance obligation, (c) the stand-alone selling price for each identified performance obligation, and (d) the timing and amount of revenue recognition in each period.</w:t>
      </w:r>
    </w:p>
    <w:p>
      <w:pPr>
        <w:spacing w:after="0" w:line="203" w:lineRule="exact"/>
        <w:rPr>
          <w:sz w:val="20"/>
          <w:szCs w:val="20"/>
          <w:color w:val="auto"/>
        </w:rPr>
      </w:pPr>
    </w:p>
    <w:p>
      <w:pPr>
        <w:ind w:right="80" w:firstLine="883"/>
        <w:spacing w:after="0" w:line="270" w:lineRule="auto"/>
        <w:rPr>
          <w:sz w:val="20"/>
          <w:szCs w:val="20"/>
          <w:color w:val="auto"/>
        </w:rPr>
      </w:pPr>
      <w:r>
        <w:rPr>
          <w:rFonts w:ascii="Arial" w:cs="Arial" w:eastAsia="Arial" w:hAnsi="Arial"/>
          <w:sz w:val="17"/>
          <w:szCs w:val="17"/>
          <w:color w:val="auto"/>
        </w:rPr>
        <w:t>The China Out-License arrangement was analyzed under GAAP to determine whether the promised goods or services (which include the license, and know-how, data, and information necessary or reasonably useful for the research, development, manufacture, or commercialization of any license product, and governance committee services) are distinct or must be accounted for as part of a combined performance obligation. In making these assessments, we consider factors such as the stage of development of the underlying intellectual property and the capabilities of the customer to develop the intellectual property on their own, and/or whether the required expertise is readily available. If the license is considered to not be distinct, the license is combined with other promised goods or services as a combined performance obligation for revenue recognition.</w:t>
      </w:r>
    </w:p>
    <w:p>
      <w:pPr>
        <w:spacing w:after="0" w:line="205" w:lineRule="exact"/>
        <w:rPr>
          <w:sz w:val="20"/>
          <w:szCs w:val="20"/>
          <w:color w:val="auto"/>
        </w:rPr>
      </w:pPr>
    </w:p>
    <w:p>
      <w:pPr>
        <w:ind w:right="20" w:firstLine="883"/>
        <w:spacing w:after="0" w:line="252" w:lineRule="auto"/>
        <w:rPr>
          <w:sz w:val="20"/>
          <w:szCs w:val="20"/>
          <w:color w:val="auto"/>
        </w:rPr>
      </w:pPr>
      <w:r>
        <w:rPr>
          <w:rFonts w:ascii="Arial" w:cs="Arial" w:eastAsia="Arial" w:hAnsi="Arial"/>
          <w:sz w:val="18"/>
          <w:szCs w:val="18"/>
          <w:color w:val="auto"/>
        </w:rPr>
        <w:t>The China Out-License arrangement is in exchange for the following forms of consideration: (i) non-refundable upfront cash payments, (ii) equity-based consideration, (iii) sales royalties, (iv) sales-based threshold milestones, (v) development milestone payments, and (vi) regulatory milestone payments. Revenue is recognized in proportion to the allocated transaction price when (or as) the respective performance obligation is satisfied. We evaluate the progress related to each milestone at each reporting period and, if necessary, adjust the probability of achievement and related revenue recognition. The measure of progress, and thereby periods over which revenue is recognized, is subject to estimation by management and may change over the course of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Terms for Receipt of Payments</w:t>
      </w:r>
    </w:p>
    <w:p>
      <w:pPr>
        <w:spacing w:after="0" w:line="248" w:lineRule="exact"/>
        <w:rPr>
          <w:sz w:val="20"/>
          <w:szCs w:val="20"/>
          <w:color w:val="auto"/>
        </w:rPr>
      </w:pPr>
    </w:p>
    <w:p>
      <w:pPr>
        <w:ind w:right="80" w:firstLine="883"/>
        <w:spacing w:after="0" w:line="271" w:lineRule="auto"/>
        <w:rPr>
          <w:sz w:val="20"/>
          <w:szCs w:val="20"/>
          <w:color w:val="auto"/>
        </w:rPr>
      </w:pPr>
      <w:r>
        <w:rPr>
          <w:rFonts w:ascii="Arial" w:cs="Arial" w:eastAsia="Arial" w:hAnsi="Arial"/>
          <w:sz w:val="18"/>
          <w:szCs w:val="18"/>
          <w:color w:val="auto"/>
        </w:rPr>
        <w:t>The contractual terms that establish our right to collect specified amounts from our customers and that require contemporaneous evaluation and documentation under GAAP for the corresponding timing and amount of revenue recognition, are as follows:</w:t>
      </w:r>
    </w:p>
    <w:p>
      <w:pPr>
        <w:spacing w:after="0" w:line="188" w:lineRule="exact"/>
        <w:rPr>
          <w:sz w:val="20"/>
          <w:szCs w:val="20"/>
          <w:color w:val="auto"/>
        </w:rPr>
      </w:pPr>
    </w:p>
    <w:p>
      <w:pPr>
        <w:jc w:val="both"/>
        <w:ind w:right="100" w:firstLine="890"/>
        <w:spacing w:after="0" w:line="228" w:lineRule="auto"/>
        <w:tabs>
          <w:tab w:leader="none" w:pos="11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Upfront License Fees: </w:t>
      </w:r>
      <w:r>
        <w:rPr>
          <w:rFonts w:ascii="Arial" w:cs="Arial" w:eastAsia="Arial" w:hAnsi="Arial"/>
          <w:sz w:val="18"/>
          <w:szCs w:val="18"/>
          <w:color w:val="auto"/>
        </w:rPr>
        <w:t>We determine whether non-refundable license fee consideration is recognized at the time of contract execution (i.e.,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 license is transferred to the customer and customer is able to use and benefit from the license) or over the actual (or implied) contractual period of the out-license. We also evaluate whether it has any other requirements to provide substantive services that are inseparable from the performance obligation of the license transfer to</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determine whether any combined performance obligation is satisfied over time or at a point in time. Upfront payments may require deferral of revenue recognition to a future period until we perform obligations under these arrangements.</w:t>
      </w:r>
    </w:p>
    <w:p>
      <w:pPr>
        <w:spacing w:after="0" w:line="201" w:lineRule="exact"/>
        <w:rPr>
          <w:sz w:val="20"/>
          <w:szCs w:val="20"/>
          <w:color w:val="auto"/>
        </w:rPr>
      </w:pPr>
    </w:p>
    <w:p>
      <w:pPr>
        <w:ind w:firstLine="890"/>
        <w:spacing w:after="0" w:line="253" w:lineRule="auto"/>
        <w:tabs>
          <w:tab w:leader="none" w:pos="1135"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Development Milestones: </w:t>
      </w:r>
      <w:r>
        <w:rPr>
          <w:rFonts w:ascii="Arial" w:cs="Arial" w:eastAsia="Arial" w:hAnsi="Arial"/>
          <w:sz w:val="16"/>
          <w:szCs w:val="16"/>
          <w:color w:val="auto"/>
        </w:rPr>
        <w:t>We utilize the “most likely amount” method to estimate the amount of consideration to which it will be entitled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achievement of development milestones as these represent variable consideration. For those payments based on development milestones (e.g., patient dosing in a clinical study or the achievement of statistically significant clinical results), we assess the probability that the milestone will be achieved, including its ability to control the timing or likelihood of achievement, and any associated revenue constraint. Given the high degree of uncertainty around the occurrence of these events, we determined the milestone and other contingent amounts to be "constrained" until the uncertainty associated with these payments is resolved. At each reporting period, we re-evaluate this associated revenue recognition constraint. Any resulting adjustments are recorded to revenue on a cumulative catch-up basis and reflected in the financial statements in the period of adjustment.</w:t>
      </w:r>
    </w:p>
    <w:p>
      <w:pPr>
        <w:spacing w:after="0" w:line="193" w:lineRule="exact"/>
        <w:rPr>
          <w:rFonts w:ascii="Arial" w:cs="Arial" w:eastAsia="Arial" w:hAnsi="Arial"/>
          <w:sz w:val="16"/>
          <w:szCs w:val="16"/>
          <w:color w:val="auto"/>
        </w:rPr>
      </w:pPr>
    </w:p>
    <w:p>
      <w:pPr>
        <w:ind w:right="60" w:firstLine="890"/>
        <w:spacing w:after="0" w:line="237" w:lineRule="auto"/>
        <w:tabs>
          <w:tab w:leader="none" w:pos="1135"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Milestones: </w:t>
      </w:r>
      <w:r>
        <w:rPr>
          <w:rFonts w:ascii="Arial" w:cs="Arial" w:eastAsia="Arial" w:hAnsi="Arial"/>
          <w:sz w:val="17"/>
          <w:szCs w:val="17"/>
          <w:color w:val="auto"/>
        </w:rPr>
        <w:t>We utilize the “most likely amount” method to estimate the consideration to which it will be entitled and recognizes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We evaluate whether the milestones are considered probable of being reached and not otherwise constrained. Accordingly, due to the inherent uncertainty of achieving regulatory approval, associated milestones are constrained for revenue recognition until achievement.</w:t>
      </w:r>
    </w:p>
    <w:p>
      <w:pPr>
        <w:spacing w:after="0" w:line="219" w:lineRule="exact"/>
        <w:rPr>
          <w:rFonts w:ascii="Arial" w:cs="Arial" w:eastAsia="Arial" w:hAnsi="Arial"/>
          <w:sz w:val="17"/>
          <w:szCs w:val="17"/>
          <w:color w:val="auto"/>
        </w:rPr>
      </w:pPr>
    </w:p>
    <w:p>
      <w:pPr>
        <w:ind w:right="20" w:firstLine="890"/>
        <w:spacing w:after="0" w:line="255" w:lineRule="auto"/>
        <w:tabs>
          <w:tab w:leader="none" w:pos="113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Under the "sales-or-usage-based royalty exception" we recognize revenue based on the contractual percentage of the licensee’s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products to its customers at the later of (i) the occurrence of the related product sales or (ii) the date upon which the performance obligation to which some or all of the royalty has been allocated has been satisfied or partially satisfied. To date, we have not recognized any royalty revenue from our out-licensing arrangements.</w:t>
      </w:r>
    </w:p>
    <w:p>
      <w:pPr>
        <w:spacing w:after="0" w:line="216" w:lineRule="exact"/>
        <w:rPr>
          <w:rFonts w:ascii="Arial" w:cs="Arial" w:eastAsia="Arial" w:hAnsi="Arial"/>
          <w:sz w:val="18"/>
          <w:szCs w:val="18"/>
          <w:color w:val="auto"/>
        </w:rPr>
      </w:pPr>
    </w:p>
    <w:p>
      <w:pPr>
        <w:ind w:right="100" w:firstLine="890"/>
        <w:spacing w:after="0" w:line="297" w:lineRule="auto"/>
        <w:tabs>
          <w:tab w:leader="none" w:pos="1135"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Sales Threshold Milestones: </w:t>
      </w:r>
      <w:r>
        <w:rPr>
          <w:rFonts w:ascii="Arial" w:cs="Arial" w:eastAsia="Arial" w:hAnsi="Arial"/>
          <w:sz w:val="16"/>
          <w:szCs w:val="16"/>
          <w:color w:val="auto"/>
        </w:rPr>
        <w:t>Similar to royalties, applying the "sales-or-usage-based royalty exception", we recognize revenue from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threshold milestones at the later of (i) the period the licensee achieves the one-time annual product sales levels in their territories for which we are contractually entitled to a specified lump-sum receipt, or (ii) the date upon which the performance obligation to which some or all of the milestone has been allocated has been satisfied or partially satisfied. To date, we have not recognized any sales threshold milestone revenue from out-licensing arrangements.</w:t>
      </w:r>
    </w:p>
    <w:p>
      <w:pPr>
        <w:spacing w:after="0" w:line="186" w:lineRule="exact"/>
        <w:rPr>
          <w:sz w:val="20"/>
          <w:szCs w:val="20"/>
          <w:color w:val="auto"/>
        </w:rPr>
      </w:pPr>
    </w:p>
    <w:p>
      <w:pPr>
        <w:ind w:right="100" w:firstLine="883"/>
        <w:spacing w:after="0" w:line="255" w:lineRule="auto"/>
        <w:rPr>
          <w:sz w:val="20"/>
          <w:szCs w:val="20"/>
          <w:color w:val="auto"/>
        </w:rPr>
      </w:pPr>
      <w:r>
        <w:rPr>
          <w:rFonts w:ascii="Arial" w:cs="Arial" w:eastAsia="Arial" w:hAnsi="Arial"/>
          <w:sz w:val="18"/>
          <w:szCs w:val="18"/>
          <w:color w:val="auto"/>
        </w:rPr>
        <w:t>We will re-evaluate an out-license "transaction price" as determined by us in each reporting period as uncertain events are resolved and other changes in circumstances occur. 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1" w:lineRule="exact"/>
        <w:rPr>
          <w:sz w:val="20"/>
          <w:szCs w:val="20"/>
          <w:color w:val="auto"/>
        </w:rPr>
      </w:pPr>
    </w:p>
    <w:p>
      <w:pPr>
        <w:ind w:right="60" w:firstLine="883"/>
        <w:spacing w:after="0" w:line="255" w:lineRule="auto"/>
        <w:rPr>
          <w:sz w:val="20"/>
          <w:szCs w:val="20"/>
          <w:color w:val="auto"/>
        </w:rPr>
      </w:pPr>
      <w:r>
        <w:rPr>
          <w:rFonts w:ascii="Arial" w:cs="Arial" w:eastAsia="Arial" w:hAnsi="Arial"/>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w:t>
      </w:r>
    </w:p>
    <w:p>
      <w:pPr>
        <w:spacing w:after="0" w:line="190" w:lineRule="exact"/>
        <w:rPr>
          <w:sz w:val="20"/>
          <w:szCs w:val="20"/>
          <w:color w:val="auto"/>
        </w:rPr>
      </w:pPr>
    </w:p>
    <w:p>
      <w:pPr>
        <w:ind w:right="60" w:firstLine="883"/>
        <w:spacing w:after="0" w:line="275" w:lineRule="auto"/>
        <w:rPr>
          <w:sz w:val="20"/>
          <w:szCs w:val="20"/>
          <w:color w:val="auto"/>
        </w:rPr>
      </w:pPr>
      <w:r>
        <w:rPr>
          <w:rFonts w:ascii="Arial" w:cs="Arial" w:eastAsia="Arial" w:hAnsi="Arial"/>
          <w:sz w:val="17"/>
          <w:szCs w:val="17"/>
          <w:color w:val="auto"/>
        </w:rPr>
        <w:t>We have entered, and may continue to enter into, license agreements to access and utilize certain technology. In each case, we evaluate if the assets acquired in a transaction represent the acquisition of an asset or a business, as defined under applicable GAAP. Our only executed in-license agreement was evaluated and determined to represent an asset acquisition. Because this asset had not yet received regulatory approval and has no alternative future use, its fair value was immediately recognized as research and development expense.</w:t>
      </w:r>
    </w:p>
    <w:p>
      <w:pPr>
        <w:spacing w:after="0" w:line="174" w:lineRule="exact"/>
        <w:rPr>
          <w:sz w:val="20"/>
          <w:szCs w:val="20"/>
          <w:color w:val="auto"/>
        </w:rPr>
      </w:pPr>
    </w:p>
    <w:p>
      <w:pPr>
        <w:ind w:right="380" w:firstLine="883"/>
        <w:spacing w:after="0" w:line="293" w:lineRule="auto"/>
        <w:rPr>
          <w:sz w:val="20"/>
          <w:szCs w:val="20"/>
          <w:color w:val="auto"/>
        </w:rPr>
      </w:pPr>
      <w:r>
        <w:rPr>
          <w:rFonts w:ascii="Arial" w:cs="Arial" w:eastAsia="Arial" w:hAnsi="Arial"/>
          <w:sz w:val="16"/>
          <w:szCs w:val="16"/>
          <w:color w:val="auto"/>
        </w:rPr>
        <w:t>We make research and development expense accrual estimates as of each balance sheet date, based on facts known to us at that time.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the service providers, including CROs, and record adjustments, if necessary.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firstLine="883"/>
        <w:spacing w:after="0" w:line="259" w:lineRule="auto"/>
        <w:rPr>
          <w:sz w:val="20"/>
          <w:szCs w:val="20"/>
          <w:color w:val="auto"/>
        </w:rPr>
      </w:pPr>
      <w:r>
        <w:rPr>
          <w:rFonts w:ascii="Arial" w:cs="Arial" w:eastAsia="Arial" w:hAnsi="Arial"/>
          <w:sz w:val="18"/>
          <w:szCs w:val="18"/>
          <w:color w:val="auto"/>
        </w:rPr>
        <w:t>We recognize stock-based compensation expense for equity awards granted to employees, consultants, and members of our Board of Directors. The Black-Scholes pricing model is used to estimate the fair value of stock option awards as of the date of grant. The fair value of restricted stock units is representative of the closing share price preceding the date of grant.</w:t>
      </w:r>
    </w:p>
    <w:p>
      <w:pPr>
        <w:spacing w:after="0" w:line="186" w:lineRule="exact"/>
        <w:rPr>
          <w:sz w:val="20"/>
          <w:szCs w:val="20"/>
          <w:color w:val="auto"/>
        </w:rPr>
      </w:pPr>
    </w:p>
    <w:p>
      <w:pPr>
        <w:ind w:right="60" w:firstLine="883"/>
        <w:spacing w:after="0" w:line="275" w:lineRule="auto"/>
        <w:rPr>
          <w:sz w:val="20"/>
          <w:szCs w:val="20"/>
          <w:color w:val="auto"/>
        </w:rPr>
      </w:pPr>
      <w:r>
        <w:rPr>
          <w:rFonts w:ascii="Arial" w:cs="Arial" w:eastAsia="Arial" w:hAnsi="Arial"/>
          <w:sz w:val="17"/>
          <w:szCs w:val="17"/>
          <w:color w:val="auto"/>
        </w:rPr>
        <w:t>For stock-based awards that vest subject to the satisfaction of a service requirement, the related expense is recognized on a straight-line basis over each award’s actual or implied vesting period. For stock-based awards that vest subject to a performance condition, we recognize related expense on an accelerated attribution method, if and when it concludes that it is highly probable that the performance condition will be achieved. As applicable, we reverse previously recognized expense in the same period of the forfeiture of unvested awards.</w:t>
      </w:r>
    </w:p>
    <w:p>
      <w:pPr>
        <w:spacing w:after="0" w:line="174" w:lineRule="exact"/>
        <w:rPr>
          <w:sz w:val="20"/>
          <w:szCs w:val="20"/>
          <w:color w:val="auto"/>
        </w:rPr>
      </w:pPr>
    </w:p>
    <w:p>
      <w:pPr>
        <w:ind w:right="40" w:firstLine="883"/>
        <w:spacing w:after="0" w:line="252" w:lineRule="auto"/>
        <w:rPr>
          <w:sz w:val="20"/>
          <w:szCs w:val="20"/>
          <w:color w:val="auto"/>
        </w:rPr>
      </w:pPr>
      <w:r>
        <w:rPr>
          <w:rFonts w:ascii="Arial" w:cs="Arial" w:eastAsia="Arial" w:hAnsi="Arial"/>
          <w:sz w:val="18"/>
          <w:szCs w:val="18"/>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our common stock on the date of option grant (b) the expected term of the stock option until its exercise by the recipient, (c) our assumed stock price volatility through a designated peer group of publicly-traded companies for a period equal to the expected option term, (d) the prevailing risk-free interest rate over the expected term, and (d) any expected dividend payments over the expected term. If any of these assumptions change, our stock-based compensation expense for future grants could materially differ.</w:t>
      </w:r>
    </w:p>
    <w:p>
      <w:pPr>
        <w:spacing w:after="0" w:line="221" w:lineRule="exact"/>
        <w:rPr>
          <w:sz w:val="20"/>
          <w:szCs w:val="20"/>
          <w:color w:val="auto"/>
        </w:rPr>
      </w:pPr>
    </w:p>
    <w:p>
      <w:pPr>
        <w:ind w:left="640" w:right="40"/>
        <w:spacing w:after="0" w:line="272"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The expected term is calculated using the "simplified method" which is used when there is insufficient historical data about</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203" w:lineRule="exact"/>
        <w:rPr>
          <w:sz w:val="20"/>
          <w:szCs w:val="20"/>
          <w:color w:val="auto"/>
        </w:rPr>
      </w:pPr>
    </w:p>
    <w:p>
      <w:pPr>
        <w:ind w:left="640" w:right="340"/>
        <w:spacing w:after="0" w:line="335"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We estimate the volatility of our common stock on the date of grant based on our designated peer group of publicly-traded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for a look-back period, as of the date of grant, that corresponds with the expected term of the awarded stock option.</w:t>
      </w:r>
    </w:p>
    <w:p>
      <w:pPr>
        <w:spacing w:after="0" w:line="155" w:lineRule="exact"/>
        <w:rPr>
          <w:sz w:val="20"/>
          <w:szCs w:val="20"/>
          <w:color w:val="auto"/>
        </w:rPr>
      </w:pPr>
    </w:p>
    <w:p>
      <w:pPr>
        <w:ind w:left="640" w:right="420"/>
        <w:spacing w:after="0" w:line="271" w:lineRule="auto"/>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 We have an expected dividend yield of zero because we have never paid cash dividends and do not expect to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201" w:lineRule="exact"/>
        <w:rPr>
          <w:sz w:val="20"/>
          <w:szCs w:val="20"/>
          <w:color w:val="auto"/>
        </w:rPr>
      </w:pPr>
    </w:p>
    <w:p>
      <w:pPr>
        <w:ind w:left="640" w:right="60"/>
        <w:spacing w:after="0" w:line="27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estimate the risk-free interest rate based upon the U.S. Department of the Treasury yields in effect at award grant for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equaling the expected term of the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 Prior To Our IPO</w:t>
      </w:r>
    </w:p>
    <w:p>
      <w:pPr>
        <w:spacing w:after="0" w:line="248" w:lineRule="exact"/>
        <w:rPr>
          <w:sz w:val="20"/>
          <w:szCs w:val="20"/>
          <w:color w:val="auto"/>
        </w:rPr>
      </w:pPr>
    </w:p>
    <w:p>
      <w:pPr>
        <w:ind w:firstLine="642"/>
        <w:spacing w:after="0" w:line="255" w:lineRule="auto"/>
        <w:rPr>
          <w:sz w:val="20"/>
          <w:szCs w:val="20"/>
          <w:color w:val="auto"/>
        </w:rPr>
      </w:pPr>
      <w:r>
        <w:rPr>
          <w:rFonts w:ascii="Arial" w:cs="Arial" w:eastAsia="Arial" w:hAnsi="Arial"/>
          <w:sz w:val="18"/>
          <w:szCs w:val="18"/>
          <w:color w:val="auto"/>
        </w:rPr>
        <w:t>Prior to the IPO, given the absence of a public trading market, our Board of Directors, with input from management, considered numerous objective and subjective factors to determine the fair value of its common stock. The factors</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included: (i) third-party valuations of our common stock; (ii) our stage of development; (iii) the status of research and development efforts; (iv) the rights, preferences and privileges of our preferred stock relative to common stock; (v) our operating results and financial condition, including our levels of available capital resources; (vi) equity market conditions affecting comparable public companies; (vii) general U.S. market conditions; and (viii) the lack of current marketability of our common stock. 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 Following Our IPO</w:t>
      </w:r>
    </w:p>
    <w:p>
      <w:pPr>
        <w:spacing w:after="0" w:line="248" w:lineRule="exact"/>
        <w:rPr>
          <w:sz w:val="20"/>
          <w:szCs w:val="20"/>
          <w:color w:val="auto"/>
        </w:rPr>
      </w:pPr>
    </w:p>
    <w:p>
      <w:pPr>
        <w:ind w:right="360" w:firstLine="642"/>
        <w:spacing w:after="0" w:line="271" w:lineRule="auto"/>
        <w:rPr>
          <w:sz w:val="20"/>
          <w:szCs w:val="20"/>
          <w:color w:val="auto"/>
        </w:rPr>
      </w:pPr>
      <w:r>
        <w:rPr>
          <w:rFonts w:ascii="Arial" w:cs="Arial" w:eastAsia="Arial" w:hAnsi="Arial"/>
          <w:sz w:val="18"/>
          <w:szCs w:val="18"/>
          <w:color w:val="auto"/>
        </w:rPr>
        <w:t>Subsequent to the IPO, the fair value of our common stock is based on the closing quoted market price of our common stock as reported by the Nasdaq Global Select Market on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380" w:firstLine="883"/>
        <w:spacing w:after="0" w:line="271" w:lineRule="auto"/>
        <w:rPr>
          <w:sz w:val="20"/>
          <w:szCs w:val="20"/>
          <w:color w:val="auto"/>
        </w:rPr>
      </w:pPr>
      <w:r>
        <w:rPr>
          <w:rFonts w:ascii="Arial" w:cs="Arial" w:eastAsia="Arial" w:hAnsi="Arial"/>
          <w:sz w:val="18"/>
          <w:szCs w:val="18"/>
          <w:color w:val="auto"/>
        </w:rPr>
        <w:t>A description of recent accounting pronouncements that may potentially impact our financial position, results of operations or cash flows is disclosed in the notes to which they relate within our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firstLine="883"/>
        <w:spacing w:after="0" w:line="255"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5" w:lineRule="exact"/>
        <w:rPr>
          <w:sz w:val="20"/>
          <w:szCs w:val="20"/>
          <w:color w:val="auto"/>
        </w:rPr>
      </w:pPr>
    </w:p>
    <w:p>
      <w:pPr>
        <w:ind w:right="200" w:firstLine="883"/>
        <w:spacing w:after="0" w:line="259"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86" w:lineRule="exact"/>
        <w:rPr>
          <w:sz w:val="20"/>
          <w:szCs w:val="20"/>
          <w:color w:val="auto"/>
        </w:rPr>
      </w:pPr>
    </w:p>
    <w:p>
      <w:pPr>
        <w:ind w:firstLine="883"/>
        <w:spacing w:after="0" w:line="275" w:lineRule="auto"/>
        <w:rPr>
          <w:sz w:val="20"/>
          <w:szCs w:val="20"/>
          <w:color w:val="auto"/>
        </w:rPr>
      </w:pPr>
      <w:r>
        <w:rPr>
          <w:rFonts w:ascii="Arial" w:cs="Arial" w:eastAsia="Arial" w:hAnsi="Arial"/>
          <w:sz w:val="17"/>
          <w:szCs w:val="17"/>
          <w:color w:val="auto"/>
        </w:rPr>
        <w:t>We will remain an emerging growth company until the earliest of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THE FINANCIAL STATEMENTS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Pages</w:t>
            </w:r>
          </w:p>
        </w:tc>
      </w:tr>
      <w:tr>
        <w:trPr>
          <w:trHeight w:val="160"/>
        </w:trPr>
        <w:tc>
          <w:tcPr>
            <w:tcW w:w="10620" w:type="dxa"/>
            <w:vAlign w:val="bottom"/>
            <w:gridSpan w:val="7"/>
          </w:tcPr>
          <w:p>
            <w:pPr>
              <w:spacing w:after="0" w:line="141" w:lineRule="exact"/>
              <w:rPr>
                <w:rFonts w:ascii="Arial" w:cs="Arial" w:eastAsia="Arial" w:hAnsi="Arial"/>
                <w:sz w:val="16"/>
                <w:szCs w:val="16"/>
                <w:color w:val="0000FF"/>
              </w:rPr>
            </w:pPr>
            <w:hyperlink w:anchor="page106">
              <w:r>
                <w:rPr>
                  <w:rFonts w:ascii="Arial" w:cs="Arial" w:eastAsia="Arial" w:hAnsi="Arial"/>
                  <w:sz w:val="16"/>
                  <w:szCs w:val="16"/>
                  <w:color w:val="0000FF"/>
                </w:rPr>
                <w:t xml:space="preserve">Report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FF"/>
              </w:rPr>
              <w:t xml:space="preserve"> </w:t>
            </w:r>
            <w:r>
              <w:rPr>
                <w:rFonts w:ascii="Arial" w:cs="Arial" w:eastAsia="Arial" w:hAnsi="Arial"/>
                <w:sz w:val="16"/>
                <w:szCs w:val="16"/>
                <w:color w:val="000000"/>
              </w:rPr>
              <w:t>ID: 42)</w:t>
            </w:r>
          </w:p>
        </w:tc>
        <w:tc>
          <w:tcPr>
            <w:tcW w:w="560" w:type="dxa"/>
            <w:vAlign w:val="bottom"/>
          </w:tcPr>
          <w:p>
            <w:pPr>
              <w:jc w:val="right"/>
              <w:spacing w:after="0" w:line="141" w:lineRule="exact"/>
              <w:rPr>
                <w:sz w:val="20"/>
                <w:szCs w:val="20"/>
                <w:color w:val="auto"/>
              </w:rPr>
            </w:pPr>
            <w:r>
              <w:rPr>
                <w:rFonts w:ascii="Arial" w:cs="Arial" w:eastAsia="Arial" w:hAnsi="Arial"/>
                <w:sz w:val="16"/>
                <w:szCs w:val="16"/>
                <w:color w:val="auto"/>
              </w:rPr>
              <w:t>117</w:t>
            </w:r>
          </w:p>
        </w:tc>
      </w:tr>
      <w:tr>
        <w:trPr>
          <w:trHeight w:val="207"/>
        </w:trPr>
        <w:tc>
          <w:tcPr>
            <w:tcW w:w="980" w:type="dxa"/>
            <w:vAlign w:val="bottom"/>
            <w:tcBorders>
              <w:top w:val="single" w:sz="8" w:color="0000FF"/>
              <w:bottom w:val="single" w:sz="8" w:color="0000FF"/>
            </w:tcBorders>
          </w:tcPr>
          <w:p>
            <w:pPr>
              <w:spacing w:after="0"/>
              <w:rPr>
                <w:rFonts w:ascii="Arial" w:cs="Arial" w:eastAsia="Arial" w:hAnsi="Arial"/>
                <w:sz w:val="16"/>
                <w:szCs w:val="16"/>
                <w:color w:val="0000FF"/>
                <w:w w:val="85"/>
              </w:rPr>
            </w:pPr>
            <w:hyperlink w:anchor="page107">
              <w:r>
                <w:rPr>
                  <w:rFonts w:ascii="Arial" w:cs="Arial" w:eastAsia="Arial" w:hAnsi="Arial"/>
                  <w:sz w:val="16"/>
                  <w:szCs w:val="16"/>
                  <w:color w:val="0000FF"/>
                  <w:w w:val="85"/>
                </w:rPr>
                <w:t>Balance Sheets</w:t>
              </w:r>
            </w:hyperlink>
          </w:p>
        </w:tc>
        <w:tc>
          <w:tcPr>
            <w:tcW w:w="2780" w:type="dxa"/>
            <w:vAlign w:val="bottom"/>
            <w:tcBorders>
              <w:top w:val="single" w:sz="8" w:color="0000FF"/>
            </w:tcBorders>
            <w:gridSpan w:val="5"/>
          </w:tcPr>
          <w:p>
            <w:pPr>
              <w:spacing w:after="0"/>
              <w:rPr>
                <w:sz w:val="18"/>
                <w:szCs w:val="18"/>
                <w:color w:val="auto"/>
              </w:rPr>
            </w:pPr>
          </w:p>
        </w:tc>
        <w:tc>
          <w:tcPr>
            <w:tcW w:w="6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194"/>
        </w:trPr>
        <w:tc>
          <w:tcPr>
            <w:tcW w:w="10620" w:type="dxa"/>
            <w:vAlign w:val="bottom"/>
            <w:gridSpan w:val="7"/>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Statements of Operations and Comprehensive Loss</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194"/>
        </w:trPr>
        <w:tc>
          <w:tcPr>
            <w:tcW w:w="22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1"/>
              </w:rPr>
            </w:pPr>
            <w:hyperlink w:anchor="page109">
              <w:r>
                <w:rPr>
                  <w:rFonts w:ascii="Arial" w:cs="Arial" w:eastAsia="Arial" w:hAnsi="Arial"/>
                  <w:sz w:val="16"/>
                  <w:szCs w:val="16"/>
                  <w:color w:val="0000FF"/>
                  <w:w w:val="91"/>
                </w:rPr>
                <w:t>Statements of Stockholders’ Equity</w:t>
              </w:r>
            </w:hyperlink>
          </w:p>
        </w:tc>
        <w:tc>
          <w:tcPr>
            <w:tcW w:w="1000" w:type="dxa"/>
            <w:vAlign w:val="bottom"/>
            <w:tcBorders>
              <w:top w:val="single" w:sz="8" w:color="0000FF"/>
            </w:tcBorders>
          </w:tcPr>
          <w:p>
            <w:pPr>
              <w:spacing w:after="0"/>
              <w:rPr>
                <w:sz w:val="16"/>
                <w:szCs w:val="16"/>
                <w:color w:val="auto"/>
              </w:rPr>
            </w:pPr>
          </w:p>
        </w:tc>
        <w:tc>
          <w:tcPr>
            <w:tcW w:w="7340" w:type="dxa"/>
            <w:vAlign w:val="bottom"/>
            <w:gridSpan w:val="2"/>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194"/>
        </w:trPr>
        <w:tc>
          <w:tcPr>
            <w:tcW w:w="1680" w:type="dxa"/>
            <w:vAlign w:val="bottom"/>
            <w:tcBorders>
              <w:bottom w:val="single" w:sz="8" w:color="0000FF"/>
            </w:tcBorders>
            <w:gridSpan w:val="2"/>
          </w:tcPr>
          <w:p>
            <w:pPr>
              <w:spacing w:after="0"/>
              <w:rPr>
                <w:rFonts w:ascii="Arial" w:cs="Arial" w:eastAsia="Arial" w:hAnsi="Arial"/>
                <w:sz w:val="16"/>
                <w:szCs w:val="16"/>
                <w:color w:val="0000FF"/>
                <w:w w:val="88"/>
              </w:rPr>
            </w:pPr>
            <w:hyperlink w:anchor="page110">
              <w:r>
                <w:rPr>
                  <w:rFonts w:ascii="Arial" w:cs="Arial" w:eastAsia="Arial" w:hAnsi="Arial"/>
                  <w:sz w:val="16"/>
                  <w:szCs w:val="16"/>
                  <w:color w:val="0000FF"/>
                  <w:w w:val="88"/>
                </w:rPr>
                <w:t>Statements of Cash Flows</w:t>
              </w:r>
            </w:hyperlink>
          </w:p>
        </w:tc>
        <w:tc>
          <w:tcPr>
            <w:tcW w:w="8940" w:type="dxa"/>
            <w:vAlign w:val="bottom"/>
            <w:gridSpan w:val="5"/>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194"/>
        </w:trPr>
        <w:tc>
          <w:tcPr>
            <w:tcW w:w="1920" w:type="dxa"/>
            <w:vAlign w:val="bottom"/>
            <w:tcBorders>
              <w:bottom w:val="single" w:sz="8" w:color="0000FF"/>
            </w:tcBorders>
            <w:gridSpan w:val="3"/>
          </w:tcPr>
          <w:p>
            <w:pPr>
              <w:spacing w:after="0"/>
              <w:rPr>
                <w:rFonts w:ascii="Arial" w:cs="Arial" w:eastAsia="Arial" w:hAnsi="Arial"/>
                <w:sz w:val="16"/>
                <w:szCs w:val="16"/>
                <w:color w:val="0000FF"/>
                <w:w w:val="89"/>
              </w:rPr>
            </w:pPr>
            <w:hyperlink w:anchor="page111">
              <w:r>
                <w:rPr>
                  <w:rFonts w:ascii="Arial" w:cs="Arial" w:eastAsia="Arial" w:hAnsi="Arial"/>
                  <w:sz w:val="16"/>
                  <w:szCs w:val="16"/>
                  <w:color w:val="0000FF"/>
                  <w:w w:val="89"/>
                </w:rPr>
                <w:t>Notes to Financial Statements</w:t>
              </w:r>
            </w:hyperlink>
          </w:p>
        </w:tc>
        <w:tc>
          <w:tcPr>
            <w:tcW w:w="8700" w:type="dxa"/>
            <w:vAlign w:val="bottom"/>
            <w:gridSpan w:val="4"/>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Tarsus Pharmaceuticals,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We have audited the accompanying balance sheets of Tarsus Pharmaceuticals, Inc. (the Company) as of December 31, 2021 and 2020, the related statements of operations and comprehensive loss,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7"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TARSUS PHARMACEUTICALS, INC.</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168,129</w:t>
            </w: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05"/>
        </w:trPr>
        <w:tc>
          <w:tcPr>
            <w:tcW w:w="832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175,952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170,655</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178,907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1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payroll and benefits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1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w:t>
            </w:r>
            <w:r>
              <w:rPr>
                <w:rFonts w:ascii="Arial" w:cs="Arial" w:eastAsia="Arial" w:hAnsi="Arial"/>
                <w:sz w:val="16"/>
                <w:szCs w:val="16"/>
                <w:b w:val="1"/>
                <w:bCs w:val="1"/>
                <w:i w:val="1"/>
                <w:iCs w:val="1"/>
                <w:color w:val="auto"/>
              </w:rPr>
              <w:t>Note 8</w:t>
            </w: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Preferred stock, $0.0001 par value; 10,000,000 shares authorized; no shares issued and outstanding</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832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w w:val="89"/>
              </w:rPr>
              <w:t>Common stock, $0.0001 par value; 200,000,000 shares authorized; 20,726,580 shares issued and 20,698,737 shares outstanding,</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8"/>
              </w:rPr>
              <w:t>which excludes 27,840 shares subject to repurchase at December 31, 2021; 20,502,576 shares issued and 20,323,201</w:t>
            </w: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which excludes 179,375 shares subject to repurchase at December 31, 2020</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213,398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198,821</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(32,845)</w:t>
            </w:r>
          </w:p>
        </w:tc>
        <w:tc>
          <w:tcPr>
            <w:tcW w:w="0" w:type="dxa"/>
            <w:vAlign w:val="bottom"/>
          </w:tcPr>
          <w:p>
            <w:pPr>
              <w:spacing w:after="0"/>
              <w:rPr>
                <w:sz w:val="1"/>
                <w:szCs w:val="1"/>
                <w:color w:val="auto"/>
              </w:rPr>
            </w:pPr>
          </w:p>
        </w:tc>
      </w:tr>
      <w:tr>
        <w:trPr>
          <w:trHeight w:val="20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166,730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165,980</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178,907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240"/>
              <w:spacing w:after="0"/>
              <w:rPr>
                <w:sz w:val="20"/>
                <w:szCs w:val="20"/>
                <w:color w:val="auto"/>
              </w:rPr>
            </w:pPr>
            <w:r>
              <w:rPr>
                <w:rFonts w:ascii="Arial" w:cs="Arial" w:eastAsia="Arial" w:hAnsi="Arial"/>
                <w:sz w:val="16"/>
                <w:szCs w:val="16"/>
                <w:color w:val="auto"/>
              </w:rPr>
              <w:t>License fees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53,067</w:t>
            </w:r>
          </w:p>
        </w:tc>
        <w:tc>
          <w:tcPr>
            <w:tcW w:w="1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57,027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240"/>
              <w:spacing w:after="0"/>
              <w:rPr>
                <w:sz w:val="20"/>
                <w:szCs w:val="20"/>
                <w:color w:val="auto"/>
              </w:rPr>
            </w:pPr>
            <w:r>
              <w:rPr>
                <w:rFonts w:ascii="Arial" w:cs="Arial" w:eastAsia="Arial" w:hAnsi="Arial"/>
                <w:sz w:val="16"/>
                <w:szCs w:val="16"/>
                <w:color w:val="auto"/>
              </w:rPr>
              <w:t>Cost of license fees and collaboration revenue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18,826</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8,172</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 before other (expense) income and income taxes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expense,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280" w:type="dxa"/>
            <w:vAlign w:val="bottom"/>
          </w:tcPr>
          <w:p>
            <w:pPr>
              <w:ind w:left="240"/>
              <w:spacing w:after="0"/>
              <w:rPr>
                <w:sz w:val="20"/>
                <w:szCs w:val="20"/>
                <w:color w:val="auto"/>
              </w:rPr>
            </w:pPr>
            <w:r>
              <w:rPr>
                <w:rFonts w:ascii="Arial" w:cs="Arial" w:eastAsia="Arial" w:hAnsi="Arial"/>
                <w:sz w:val="16"/>
                <w:szCs w:val="16"/>
                <w:color w:val="auto"/>
              </w:rPr>
              <w:t>Unrealized loss on equity securities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equity warrants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(expense) income,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(26,810)</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 used in computing net loss per share, 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20,554,086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6,207,367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040" w:type="dxa"/>
            <w:vAlign w:val="bottom"/>
          </w:tcPr>
          <w:p>
            <w:pPr>
              <w:spacing w:after="0"/>
              <w:rPr>
                <w:sz w:val="13"/>
                <w:szCs w:val="13"/>
                <w:color w:val="auto"/>
              </w:rPr>
            </w:pPr>
          </w:p>
        </w:tc>
        <w:tc>
          <w:tcPr>
            <w:tcW w:w="2100" w:type="dxa"/>
            <w:vAlign w:val="bottom"/>
            <w:gridSpan w:val="5"/>
          </w:tcPr>
          <w:p>
            <w:pPr>
              <w:ind w:left="580"/>
              <w:spacing w:after="0"/>
              <w:rPr>
                <w:sz w:val="20"/>
                <w:szCs w:val="20"/>
                <w:color w:val="auto"/>
              </w:rPr>
            </w:pPr>
            <w:r>
              <w:rPr>
                <w:rFonts w:ascii="Arial" w:cs="Arial" w:eastAsia="Arial" w:hAnsi="Arial"/>
                <w:sz w:val="12"/>
                <w:szCs w:val="12"/>
                <w:b w:val="1"/>
                <w:bCs w:val="1"/>
                <w:color w:val="auto"/>
              </w:rPr>
              <w:t>Preferred Stock</w:t>
            </w:r>
          </w:p>
        </w:tc>
        <w:tc>
          <w:tcPr>
            <w:tcW w:w="1900" w:type="dxa"/>
            <w:vAlign w:val="bottom"/>
            <w:gridSpan w:val="5"/>
          </w:tcPr>
          <w:p>
            <w:pPr>
              <w:ind w:left="48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jc w:val="center"/>
              <w:ind w:right="220"/>
              <w:spacing w:after="0" w:line="121"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2"/>
                <w:szCs w:val="2"/>
                <w:color w:val="auto"/>
              </w:rPr>
            </w:pPr>
          </w:p>
        </w:tc>
        <w:tc>
          <w:tcPr>
            <w:tcW w:w="980" w:type="dxa"/>
            <w:vAlign w:val="bottom"/>
            <w:gridSpan w:val="2"/>
            <w:vMerge w:val="restart"/>
          </w:tcPr>
          <w:p>
            <w:pPr>
              <w:ind w:left="20"/>
              <w:spacing w:after="0" w:line="121"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2"/>
                <w:szCs w:val="2"/>
                <w:color w:val="auto"/>
              </w:rPr>
            </w:pPr>
          </w:p>
        </w:tc>
        <w:tc>
          <w:tcPr>
            <w:tcW w:w="1000" w:type="dxa"/>
            <w:vAlign w:val="bottom"/>
            <w:vMerge w:val="restart"/>
          </w:tcPr>
          <w:p>
            <w:pPr>
              <w:jc w:val="center"/>
              <w:ind w:right="70"/>
              <w:spacing w:after="0" w:line="121"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4"/>
                <w:szCs w:val="14"/>
                <w:color w:val="auto"/>
              </w:rPr>
            </w:pPr>
          </w:p>
        </w:tc>
        <w:tc>
          <w:tcPr>
            <w:tcW w:w="1000" w:type="dxa"/>
            <w:vAlign w:val="bottom"/>
          </w:tcPr>
          <w:p>
            <w:pPr>
              <w:jc w:val="center"/>
              <w:ind w:right="5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87"/>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8,249,939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63,402</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2,646,619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184"/>
        </w:trPr>
        <w:tc>
          <w:tcPr>
            <w:tcW w:w="4040" w:type="dxa"/>
            <w:vAlign w:val="bottom"/>
          </w:tcPr>
          <w:p>
            <w:pPr>
              <w:ind w:left="34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(26,811)</w:t>
            </w: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Recognition of 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34"/>
        </w:trPr>
        <w:tc>
          <w:tcPr>
            <w:tcW w:w="4040" w:type="dxa"/>
            <w:vAlign w:val="bottom"/>
          </w:tcPr>
          <w:p>
            <w:pPr>
              <w:ind w:left="340"/>
              <w:spacing w:after="0" w:line="134" w:lineRule="exact"/>
              <w:rPr>
                <w:sz w:val="20"/>
                <w:szCs w:val="20"/>
                <w:color w:val="auto"/>
              </w:rPr>
            </w:pPr>
            <w:r>
              <w:rPr>
                <w:rFonts w:ascii="Arial" w:cs="Arial" w:eastAsia="Arial" w:hAnsi="Arial"/>
                <w:sz w:val="14"/>
                <w:szCs w:val="14"/>
                <w:color w:val="auto"/>
              </w:rPr>
              <w:t>Lapse of repurchase rights related to common stock issued</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040" w:type="dxa"/>
            <w:vAlign w:val="bottom"/>
          </w:tcPr>
          <w:p>
            <w:pPr>
              <w:ind w:left="340"/>
              <w:spacing w:after="0"/>
              <w:rPr>
                <w:sz w:val="20"/>
                <w:szCs w:val="20"/>
                <w:color w:val="auto"/>
              </w:rPr>
            </w:pPr>
            <w:r>
              <w:rPr>
                <w:rFonts w:ascii="Arial" w:cs="Arial" w:eastAsia="Arial" w:hAnsi="Arial"/>
                <w:sz w:val="14"/>
                <w:szCs w:val="14"/>
                <w:color w:val="auto"/>
              </w:rPr>
              <w:t>pursuant to early exercises</w:t>
            </w: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vested stock options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4"/>
        </w:trPr>
        <w:tc>
          <w:tcPr>
            <w:tcW w:w="4040" w:type="dxa"/>
            <w:vAlign w:val="bottom"/>
          </w:tcPr>
          <w:p>
            <w:pPr>
              <w:ind w:left="340"/>
              <w:spacing w:after="0"/>
              <w:rPr>
                <w:sz w:val="20"/>
                <w:szCs w:val="20"/>
                <w:color w:val="auto"/>
              </w:rPr>
            </w:pPr>
            <w:r>
              <w:rPr>
                <w:rFonts w:ascii="Arial" w:cs="Arial" w:eastAsia="Arial" w:hAnsi="Arial"/>
                <w:sz w:val="14"/>
                <w:szCs w:val="14"/>
                <w:color w:val="auto"/>
              </w:rPr>
              <w:t>Shares issued as consideration for in-license rights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222,460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3,115</w:t>
            </w:r>
          </w:p>
        </w:tc>
        <w:tc>
          <w:tcPr>
            <w:tcW w:w="0" w:type="dxa"/>
            <w:vAlign w:val="bottom"/>
          </w:tcPr>
          <w:p>
            <w:pPr>
              <w:spacing w:after="0"/>
              <w:rPr>
                <w:sz w:val="1"/>
                <w:szCs w:val="1"/>
                <w:color w:val="auto"/>
              </w:rPr>
            </w:pPr>
          </w:p>
        </w:tc>
      </w:tr>
      <w:tr>
        <w:trPr>
          <w:trHeight w:val="137"/>
        </w:trPr>
        <w:tc>
          <w:tcPr>
            <w:tcW w:w="4040" w:type="dxa"/>
            <w:vAlign w:val="bottom"/>
            <w:shd w:val="clear" w:color="auto" w:fill="CCEEFF"/>
          </w:tcPr>
          <w:p>
            <w:pPr>
              <w:ind w:left="340"/>
              <w:spacing w:after="0" w:line="137" w:lineRule="exact"/>
              <w:rPr>
                <w:sz w:val="20"/>
                <w:szCs w:val="20"/>
                <w:color w:val="auto"/>
              </w:rPr>
            </w:pPr>
            <w:r>
              <w:rPr>
                <w:rFonts w:ascii="Arial" w:cs="Arial" w:eastAsia="Arial" w:hAnsi="Arial"/>
                <w:sz w:val="14"/>
                <w:szCs w:val="14"/>
                <w:color w:val="auto"/>
                <w:w w:val="99"/>
              </w:rPr>
              <w:t>Issuance of Series C Preferred Stock in September 2020 at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2,857,079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39,756</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$14.0003 per share, net of issuance costs of $243</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40" w:type="dxa"/>
            <w:vAlign w:val="bottom"/>
          </w:tcPr>
          <w:p>
            <w:pPr>
              <w:ind w:left="340"/>
              <w:spacing w:after="0" w:line="134" w:lineRule="exact"/>
              <w:rPr>
                <w:sz w:val="20"/>
                <w:szCs w:val="20"/>
                <w:color w:val="auto"/>
              </w:rPr>
            </w:pPr>
            <w:r>
              <w:rPr>
                <w:rFonts w:ascii="Arial" w:cs="Arial" w:eastAsia="Arial" w:hAnsi="Arial"/>
                <w:sz w:val="14"/>
                <w:szCs w:val="14"/>
                <w:color w:val="auto"/>
                <w:w w:val="99"/>
              </w:rPr>
              <w:t>Issuance of common stock upon initial public offering, net of</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6,325,000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91,673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91,674</w:t>
            </w:r>
          </w:p>
        </w:tc>
        <w:tc>
          <w:tcPr>
            <w:tcW w:w="0" w:type="dxa"/>
            <w:vAlign w:val="bottom"/>
          </w:tcPr>
          <w:p>
            <w:pPr>
              <w:spacing w:after="0"/>
              <w:rPr>
                <w:sz w:val="1"/>
                <w:szCs w:val="1"/>
                <w:color w:val="auto"/>
              </w:rPr>
            </w:pPr>
          </w:p>
        </w:tc>
      </w:tr>
      <w:tr>
        <w:trPr>
          <w:trHeight w:val="184"/>
        </w:trPr>
        <w:tc>
          <w:tcPr>
            <w:tcW w:w="4040" w:type="dxa"/>
            <w:vAlign w:val="bottom"/>
          </w:tcPr>
          <w:p>
            <w:pPr>
              <w:ind w:left="340"/>
              <w:spacing w:after="0"/>
              <w:rPr>
                <w:sz w:val="20"/>
                <w:szCs w:val="20"/>
                <w:color w:val="auto"/>
              </w:rPr>
            </w:pPr>
            <w:r>
              <w:rPr>
                <w:rFonts w:ascii="Arial" w:cs="Arial" w:eastAsia="Arial" w:hAnsi="Arial"/>
                <w:sz w:val="14"/>
                <w:szCs w:val="14"/>
                <w:color w:val="auto"/>
              </w:rPr>
              <w:t>issuance costs of $2,442</w:t>
            </w: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40" w:type="dxa"/>
            <w:vAlign w:val="bottom"/>
            <w:shd w:val="clear" w:color="auto" w:fill="CCEEFF"/>
          </w:tcPr>
          <w:p>
            <w:pPr>
              <w:ind w:left="340"/>
              <w:spacing w:after="0" w:line="137" w:lineRule="exact"/>
              <w:rPr>
                <w:sz w:val="20"/>
                <w:szCs w:val="20"/>
                <w:color w:val="auto"/>
              </w:rPr>
            </w:pPr>
            <w:r>
              <w:rPr>
                <w:rFonts w:ascii="Arial" w:cs="Arial" w:eastAsia="Arial" w:hAnsi="Arial"/>
                <w:sz w:val="14"/>
                <w:szCs w:val="14"/>
                <w:color w:val="auto"/>
                <w:w w:val="98"/>
              </w:rPr>
              <w:t>Conversion of preferred stock into common stock upon initial</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(11,107,018)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(103,158)</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11,107,018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103,158</w:t>
            </w:r>
          </w:p>
        </w:tc>
        <w:tc>
          <w:tcPr>
            <w:tcW w:w="0" w:type="dxa"/>
            <w:vAlign w:val="bottom"/>
          </w:tcPr>
          <w:p>
            <w:pPr>
              <w:spacing w:after="0"/>
              <w:rPr>
                <w:sz w:val="1"/>
                <w:szCs w:val="1"/>
                <w:color w:val="auto"/>
              </w:rPr>
            </w:pPr>
          </w:p>
        </w:tc>
      </w:tr>
      <w:tr>
        <w:trPr>
          <w:trHeight w:val="187"/>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public offering</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20,323,201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198,821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(32,845)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165,980</w:t>
            </w: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(13,827)</w:t>
            </w:r>
          </w:p>
        </w:tc>
        <w:tc>
          <w:tcPr>
            <w:tcW w:w="0" w:type="dxa"/>
            <w:vAlign w:val="bottom"/>
          </w:tcPr>
          <w:p>
            <w:pPr>
              <w:spacing w:after="0"/>
              <w:rPr>
                <w:sz w:val="1"/>
                <w:szCs w:val="1"/>
                <w:color w:val="auto"/>
              </w:rPr>
            </w:pPr>
          </w:p>
        </w:tc>
      </w:tr>
      <w:tr>
        <w:trPr>
          <w:trHeight w:val="184"/>
        </w:trPr>
        <w:tc>
          <w:tcPr>
            <w:tcW w:w="4040" w:type="dxa"/>
            <w:vAlign w:val="bottom"/>
          </w:tcPr>
          <w:p>
            <w:pPr>
              <w:ind w:left="340"/>
              <w:spacing w:after="0"/>
              <w:rPr>
                <w:sz w:val="20"/>
                <w:szCs w:val="20"/>
                <w:color w:val="auto"/>
              </w:rPr>
            </w:pPr>
            <w:r>
              <w:rPr>
                <w:rFonts w:ascii="Arial" w:cs="Arial" w:eastAsia="Arial" w:hAnsi="Arial"/>
                <w:sz w:val="14"/>
                <w:szCs w:val="14"/>
                <w:color w:val="auto"/>
              </w:rPr>
              <w:t>Recognition of 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8,455</w:t>
            </w:r>
          </w:p>
        </w:tc>
        <w:tc>
          <w:tcPr>
            <w:tcW w:w="0" w:type="dxa"/>
            <w:vAlign w:val="bottom"/>
          </w:tcPr>
          <w:p>
            <w:pPr>
              <w:spacing w:after="0"/>
              <w:rPr>
                <w:sz w:val="1"/>
                <w:szCs w:val="1"/>
                <w:color w:val="auto"/>
              </w:rPr>
            </w:pPr>
          </w:p>
        </w:tc>
      </w:tr>
      <w:tr>
        <w:trPr>
          <w:trHeight w:val="137"/>
        </w:trPr>
        <w:tc>
          <w:tcPr>
            <w:tcW w:w="4040" w:type="dxa"/>
            <w:vAlign w:val="bottom"/>
            <w:shd w:val="clear" w:color="auto" w:fill="CCEEFF"/>
          </w:tcPr>
          <w:p>
            <w:pPr>
              <w:ind w:left="340"/>
              <w:spacing w:after="0" w:line="137" w:lineRule="exact"/>
              <w:rPr>
                <w:sz w:val="20"/>
                <w:szCs w:val="20"/>
                <w:color w:val="auto"/>
              </w:rPr>
            </w:pPr>
            <w:r>
              <w:rPr>
                <w:rFonts w:ascii="Arial" w:cs="Arial" w:eastAsia="Arial" w:hAnsi="Arial"/>
                <w:sz w:val="14"/>
                <w:szCs w:val="14"/>
                <w:color w:val="auto"/>
              </w:rPr>
              <w:t>Lapse of repurchase rights related to common stock issued</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151,535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7"/>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pursuant to early exercises</w:t>
            </w:r>
          </w:p>
        </w:tc>
        <w:tc>
          <w:tcPr>
            <w:tcW w:w="11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40" w:type="dxa"/>
            <w:vAlign w:val="bottom"/>
          </w:tcPr>
          <w:p>
            <w:pPr>
              <w:ind w:left="340"/>
              <w:spacing w:after="0"/>
              <w:rPr>
                <w:sz w:val="20"/>
                <w:szCs w:val="20"/>
                <w:color w:val="auto"/>
              </w:rPr>
            </w:pPr>
            <w:r>
              <w:rPr>
                <w:rFonts w:ascii="Arial" w:cs="Arial" w:eastAsia="Arial" w:hAnsi="Arial"/>
                <w:sz w:val="14"/>
                <w:szCs w:val="14"/>
                <w:color w:val="auto"/>
              </w:rPr>
              <w:t>Exercise of vested stock options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24,959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Shares issued as consideration for in-license rights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134"/>
        </w:trPr>
        <w:tc>
          <w:tcPr>
            <w:tcW w:w="4040" w:type="dxa"/>
            <w:vAlign w:val="bottom"/>
          </w:tcPr>
          <w:p>
            <w:pPr>
              <w:ind w:left="340"/>
              <w:spacing w:after="0" w:line="134" w:lineRule="exact"/>
              <w:rPr>
                <w:sz w:val="20"/>
                <w:szCs w:val="20"/>
                <w:color w:val="auto"/>
              </w:rPr>
            </w:pPr>
            <w:r>
              <w:rPr>
                <w:rFonts w:ascii="Arial" w:cs="Arial" w:eastAsia="Arial" w:hAnsi="Arial"/>
                <w:sz w:val="14"/>
                <w:szCs w:val="14"/>
                <w:color w:val="auto"/>
                <w:w w:val="94"/>
              </w:rPr>
              <w:t>Shares issued in connection with the employee stock purchase</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11,542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4"/>
        </w:trPr>
        <w:tc>
          <w:tcPr>
            <w:tcW w:w="4040" w:type="dxa"/>
            <w:vAlign w:val="bottom"/>
          </w:tcPr>
          <w:p>
            <w:pPr>
              <w:ind w:left="340"/>
              <w:spacing w:after="0"/>
              <w:rPr>
                <w:sz w:val="20"/>
                <w:szCs w:val="20"/>
                <w:color w:val="auto"/>
              </w:rPr>
            </w:pPr>
            <w:r>
              <w:rPr>
                <w:rFonts w:ascii="Arial" w:cs="Arial" w:eastAsia="Arial" w:hAnsi="Arial"/>
                <w:sz w:val="14"/>
                <w:szCs w:val="14"/>
                <w:color w:val="auto"/>
              </w:rPr>
              <w:t>plan</w:t>
            </w: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20,698,737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213,398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166,730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Year ended</w:t>
      </w: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(13,827)</w:t>
            </w:r>
          </w:p>
        </w:tc>
        <w:tc>
          <w:tcPr>
            <w:tcW w:w="1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(26,811)</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11"/>
        </w:trPr>
        <w:tc>
          <w:tcPr>
            <w:tcW w:w="8280" w:type="dxa"/>
            <w:vAlign w:val="bottom"/>
          </w:tcPr>
          <w:p>
            <w:pPr>
              <w:ind w:left="34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lease termination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1"/>
        </w:trPr>
        <w:tc>
          <w:tcPr>
            <w:tcW w:w="8280" w:type="dxa"/>
            <w:vAlign w:val="bottom"/>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 on equity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280" w:type="dxa"/>
            <w:vAlign w:val="bottom"/>
          </w:tcPr>
          <w:p>
            <w:pPr>
              <w:ind w:left="340"/>
              <w:spacing w:after="0"/>
              <w:rPr>
                <w:sz w:val="20"/>
                <w:szCs w:val="20"/>
                <w:color w:val="auto"/>
              </w:rPr>
            </w:pPr>
            <w:r>
              <w:rPr>
                <w:rFonts w:ascii="Arial" w:cs="Arial" w:eastAsia="Arial" w:hAnsi="Arial"/>
                <w:sz w:val="16"/>
                <w:szCs w:val="16"/>
                <w:color w:val="auto"/>
              </w:rPr>
              <w:t>Change in fair value of equity warrants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from transactions denominated in a foreign currency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280" w:type="dxa"/>
            <w:vAlign w:val="bottom"/>
          </w:tcPr>
          <w:p>
            <w:pPr>
              <w:ind w:left="340"/>
              <w:spacing w:after="0"/>
              <w:rPr>
                <w:sz w:val="20"/>
                <w:szCs w:val="20"/>
                <w:color w:val="auto"/>
              </w:rPr>
            </w:pPr>
            <w:r>
              <w:rPr>
                <w:rFonts w:ascii="Arial" w:cs="Arial" w:eastAsia="Arial" w:hAnsi="Arial"/>
                <w:sz w:val="16"/>
                <w:szCs w:val="16"/>
                <w:color w:val="auto"/>
              </w:rPr>
              <w:t>Issuance of common stock pursuant to in-license agreement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other accrued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Accrued payroll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(21,138)</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sale of common stock under employee stock purchase plan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exercise of vested stock options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 of deferred offering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issuance of preferred stock, net of issuance costs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39,728</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issuance of common stock upon initial public offering, net of issuance costs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91,673</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stock option exercises prior to vesting</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131,771</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110,177</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57,972</w:t>
            </w:r>
          </w:p>
        </w:tc>
        <w:tc>
          <w:tcPr>
            <w:tcW w:w="0" w:type="dxa"/>
            <w:vAlign w:val="bottom"/>
          </w:tcPr>
          <w:p>
            <w:pPr>
              <w:spacing w:after="0"/>
              <w:rPr>
                <w:sz w:val="1"/>
                <w:szCs w:val="1"/>
                <w:color w:val="auto"/>
              </w:rPr>
            </w:pPr>
          </w:p>
        </w:tc>
      </w:tr>
      <w:tr>
        <w:trPr>
          <w:trHeight w:val="205"/>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year</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171,332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168,149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171,332</w:t>
            </w:r>
          </w:p>
        </w:tc>
        <w:tc>
          <w:tcPr>
            <w:tcW w:w="1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168,129</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5"/>
        </w:trPr>
        <w:tc>
          <w:tcPr>
            <w:tcW w:w="8280" w:type="dxa"/>
            <w:vAlign w:val="bottom"/>
          </w:tcPr>
          <w:p>
            <w:pPr>
              <w:ind w:left="460"/>
              <w:spacing w:after="0"/>
              <w:rPr>
                <w:sz w:val="20"/>
                <w:szCs w:val="20"/>
                <w:color w:val="auto"/>
              </w:rPr>
            </w:pPr>
            <w:r>
              <w:rPr>
                <w:rFonts w:ascii="Arial" w:cs="Arial" w:eastAsia="Arial" w:hAnsi="Arial"/>
                <w:sz w:val="16"/>
                <w:szCs w:val="16"/>
                <w:color w:val="auto"/>
              </w:rPr>
              <w:t>Cash, cash equivalents and restricted cash</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171,332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168,149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Noncash Investing and Financing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Arial" w:cs="Arial" w:eastAsia="Arial" w:hAnsi="Arial"/>
                <w:sz w:val="16"/>
                <w:szCs w:val="16"/>
                <w:color w:val="auto"/>
              </w:rPr>
              <w:t>Stock issued for license agreements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Expense of right-of-use asset upon lease termination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Conversion of Preferred Stock into common stock upon initial public offering</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Additions of property and equipment included in accounts payable and other accrued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80" w:type="dxa"/>
            <w:vAlign w:val="bottom"/>
            <w:vMerge w:val="continue"/>
          </w:tcPr>
          <w:p>
            <w:pPr>
              <w:spacing w:after="0"/>
              <w:rPr>
                <w:sz w:val="13"/>
                <w:szCs w:val="13"/>
                <w:color w:val="auto"/>
              </w:rPr>
            </w:pPr>
          </w:p>
        </w:tc>
        <w:tc>
          <w:tcPr>
            <w:tcW w:w="320" w:type="dxa"/>
            <w:vAlign w:val="bottom"/>
            <w:tcBorders>
              <w:bottom w:val="single" w:sz="8" w:color="auto"/>
            </w:tcBorders>
          </w:tcPr>
          <w:p>
            <w:pPr>
              <w:jc w:val="right"/>
              <w:ind w:right="140"/>
              <w:spacing w:after="0" w:line="161"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65"/>
              <w:spacing w:after="0" w:line="161"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offering costs included in accounts payable and accrued liabilities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ind w:left="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 DESCRIPTION OF BUSINESS AND PRESENTATION OF FINANCIAL STATEMENTS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221" w:lineRule="exact"/>
        <w:rPr>
          <w:sz w:val="20"/>
          <w:szCs w:val="20"/>
          <w:color w:val="auto"/>
        </w:rPr>
      </w:pPr>
    </w:p>
    <w:p>
      <w:pPr>
        <w:jc w:val="both"/>
        <w:ind w:left="80" w:right="60" w:firstLine="883"/>
        <w:spacing w:after="0" w:line="271" w:lineRule="auto"/>
        <w:rPr>
          <w:sz w:val="20"/>
          <w:szCs w:val="20"/>
          <w:color w:val="auto"/>
        </w:rPr>
      </w:pPr>
      <w:r>
        <w:rPr>
          <w:rFonts w:ascii="Arial" w:cs="Arial" w:eastAsia="Arial" w:hAnsi="Arial"/>
          <w:sz w:val="18"/>
          <w:szCs w:val="18"/>
          <w:color w:val="auto"/>
        </w:rPr>
        <w:t>Tarsus Pharmaceuticals, Inc. (“Tarsus” or the “Company”) is a biopharmaceutical company focused on the development and commercialization of therapeutics, starting with eye care.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Reverse Stock Split and Initial Public Offering</w:t>
      </w:r>
    </w:p>
    <w:p>
      <w:pPr>
        <w:spacing w:after="0" w:line="234" w:lineRule="exact"/>
        <w:rPr>
          <w:sz w:val="20"/>
          <w:szCs w:val="20"/>
          <w:color w:val="auto"/>
        </w:rPr>
      </w:pPr>
    </w:p>
    <w:p>
      <w:pPr>
        <w:jc w:val="both"/>
        <w:ind w:left="80" w:right="60" w:firstLine="883"/>
        <w:spacing w:after="0" w:line="228" w:lineRule="auto"/>
        <w:rPr>
          <w:sz w:val="20"/>
          <w:szCs w:val="20"/>
          <w:color w:val="auto"/>
        </w:rPr>
      </w:pPr>
      <w:r>
        <w:rPr>
          <w:rFonts w:ascii="Arial" w:cs="Arial" w:eastAsia="Arial" w:hAnsi="Arial"/>
          <w:sz w:val="18"/>
          <w:szCs w:val="18"/>
          <w:color w:val="auto"/>
        </w:rPr>
        <w:t>On October 8, 2020, the Company's Board of Directors approved a 1-for-7.4276 reverse stock split of common stock and preferred stock and a certificate of amendment was filed to amend the Company's certificate of incorporation to effect this reverse split. The par value was not adjusted as a result of the reverse stock split. All share and per share information included in the accompanying financial statements give retroactive effect to this reverse stock split for all periods presented.</w:t>
      </w:r>
    </w:p>
    <w:p>
      <w:pPr>
        <w:spacing w:after="0" w:line="190" w:lineRule="exact"/>
        <w:rPr>
          <w:sz w:val="20"/>
          <w:szCs w:val="20"/>
          <w:color w:val="auto"/>
        </w:rPr>
      </w:pPr>
    </w:p>
    <w:p>
      <w:pPr>
        <w:ind w:left="80" w:firstLine="883"/>
        <w:spacing w:after="0" w:line="255" w:lineRule="auto"/>
        <w:rPr>
          <w:sz w:val="20"/>
          <w:szCs w:val="20"/>
          <w:color w:val="auto"/>
        </w:rPr>
      </w:pPr>
      <w:r>
        <w:rPr>
          <w:rFonts w:ascii="Arial" w:cs="Arial" w:eastAsia="Arial" w:hAnsi="Arial"/>
          <w:sz w:val="18"/>
          <w:szCs w:val="18"/>
          <w:color w:val="auto"/>
        </w:rPr>
        <w:t>On October 20, 2020, the Company completed its initial public offering ("IPO") through an underwritten sale of 6,325,000 shares of its common stock at a price of $16.00 per share, inclusive of 825,000 shares of its common stock sold upon the full exercise of the underwriters’ purchase option. The aggregate net proceeds by the Company from the offering totaled $91.7 million, after deducting underwriting discounts, commissions and other offering expenses.</w:t>
      </w:r>
    </w:p>
    <w:p>
      <w:pPr>
        <w:spacing w:after="0" w:line="190" w:lineRule="exact"/>
        <w:rPr>
          <w:sz w:val="20"/>
          <w:szCs w:val="20"/>
          <w:color w:val="auto"/>
        </w:rPr>
      </w:pPr>
    </w:p>
    <w:p>
      <w:pPr>
        <w:ind w:left="80" w:right="20" w:firstLine="883"/>
        <w:spacing w:after="0" w:line="271" w:lineRule="auto"/>
        <w:rPr>
          <w:sz w:val="20"/>
          <w:szCs w:val="20"/>
          <w:color w:val="auto"/>
        </w:rPr>
      </w:pPr>
      <w:r>
        <w:rPr>
          <w:rFonts w:ascii="Arial" w:cs="Arial" w:eastAsia="Arial" w:hAnsi="Arial"/>
          <w:sz w:val="18"/>
          <w:szCs w:val="18"/>
          <w:color w:val="auto"/>
        </w:rPr>
        <w:t xml:space="preserve">Concurrent with the closing of the Company's IPO, all then-outstanding shares of its convertible preferred stock (see </w:t>
      </w:r>
      <w:r>
        <w:rPr>
          <w:rFonts w:ascii="Arial" w:cs="Arial" w:eastAsia="Arial" w:hAnsi="Arial"/>
          <w:sz w:val="18"/>
          <w:szCs w:val="18"/>
          <w:i w:val="1"/>
          <w:iCs w:val="1"/>
          <w:color w:val="auto"/>
        </w:rPr>
        <w:t>Note 4</w:t>
      </w:r>
      <w:r>
        <w:rPr>
          <w:rFonts w:ascii="Arial" w:cs="Arial" w:eastAsia="Arial" w:hAnsi="Arial"/>
          <w:sz w:val="18"/>
          <w:szCs w:val="18"/>
          <w:color w:val="auto"/>
        </w:rPr>
        <w:t>) were automatically converted into an aggregate of 11,107,018 shares of common stock.</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 Liquidity</w:t>
      </w:r>
    </w:p>
    <w:p>
      <w:pPr>
        <w:spacing w:after="0" w:line="221" w:lineRule="exact"/>
        <w:rPr>
          <w:sz w:val="20"/>
          <w:szCs w:val="20"/>
          <w:color w:val="auto"/>
        </w:rPr>
      </w:pPr>
    </w:p>
    <w:p>
      <w:pPr>
        <w:ind w:left="80" w:right="240" w:firstLine="883"/>
        <w:spacing w:after="0" w:line="297" w:lineRule="auto"/>
        <w:rPr>
          <w:sz w:val="20"/>
          <w:szCs w:val="20"/>
          <w:color w:val="auto"/>
        </w:rPr>
      </w:pPr>
      <w:r>
        <w:rPr>
          <w:rFonts w:ascii="Arial" w:cs="Arial" w:eastAsia="Arial" w:hAnsi="Arial"/>
          <w:sz w:val="16"/>
          <w:szCs w:val="16"/>
          <w:color w:val="auto"/>
        </w:rPr>
        <w:t xml:space="preserve">The Company has no product sales and has accumulated losses and negative cash flows from operations since inception (other than consideration received from an out-licensing agreement, as discussed in </w:t>
      </w:r>
      <w:r>
        <w:rPr>
          <w:rFonts w:ascii="Arial" w:cs="Arial" w:eastAsia="Arial" w:hAnsi="Arial"/>
          <w:sz w:val="16"/>
          <w:szCs w:val="16"/>
          <w:i w:val="1"/>
          <w:iCs w:val="1"/>
          <w:color w:val="auto"/>
        </w:rPr>
        <w:t>Note 9)</w:t>
      </w:r>
      <w:r>
        <w:rPr>
          <w:rFonts w:ascii="Arial" w:cs="Arial" w:eastAsia="Arial" w:hAnsi="Arial"/>
          <w:sz w:val="16"/>
          <w:szCs w:val="16"/>
          <w:color w:val="auto"/>
        </w:rPr>
        <w:t>, resulting in an accumulated deficit of $46.7 million as of December 31, 2021, and $32.8 million as of December 31, 2020. The Company’s cash and cash equivalents were $171.3 million and $168.1 million as of December 31, 2021 and December 31, 2020, respectively. The Company expects to continue to incur operating losses and negative cash flows.</w:t>
      </w:r>
    </w:p>
    <w:p>
      <w:pPr>
        <w:spacing w:after="0" w:line="18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Company has funded its inception-to-date operations primarily through equity capital raises and proceeds from its out-license agreement</w:t>
      </w:r>
    </w:p>
    <w:p>
      <w:pPr>
        <w:spacing w:after="0" w:line="70" w:lineRule="exact"/>
        <w:rPr>
          <w:sz w:val="20"/>
          <w:szCs w:val="20"/>
          <w:color w:val="auto"/>
        </w:rPr>
      </w:pPr>
    </w:p>
    <w:p>
      <w:pPr>
        <w:ind w:left="80"/>
        <w:spacing w:after="0" w:line="255" w:lineRule="auto"/>
        <w:rPr>
          <w:sz w:val="20"/>
          <w:szCs w:val="20"/>
          <w:color w:val="auto"/>
        </w:rPr>
      </w:pPr>
      <w:r>
        <w:rPr>
          <w:rFonts w:ascii="Arial" w:cs="Arial" w:eastAsia="Arial" w:hAnsi="Arial"/>
          <w:sz w:val="18"/>
          <w:szCs w:val="18"/>
          <w:color w:val="auto"/>
        </w:rPr>
        <w:t xml:space="preserve">and draws down on its credit facility (see </w:t>
      </w:r>
      <w:r>
        <w:rPr>
          <w:rFonts w:ascii="Arial" w:cs="Arial" w:eastAsia="Arial" w:hAnsi="Arial"/>
          <w:sz w:val="18"/>
          <w:szCs w:val="18"/>
          <w:i w:val="1"/>
          <w:iCs w:val="1"/>
          <w:color w:val="auto"/>
        </w:rPr>
        <w:t>Note 11</w:t>
      </w:r>
      <w:r>
        <w:rPr>
          <w:rFonts w:ascii="Arial" w:cs="Arial" w:eastAsia="Arial" w:hAnsi="Arial"/>
          <w:sz w:val="18"/>
          <w:szCs w:val="18"/>
          <w:color w:val="auto"/>
        </w:rPr>
        <w:t>). The Company estimates that its existing capital resources will be sufficient to meet projected operating requirements beyond at least 12 months from the filing date of the accompanying financial statements in this Annual Report on Form 10-K. Accordingly, the accompanying financial statements in this Annual Report on Form 10-K have been prepared on a going concern basis, which contemplates the realization of assets and satisfaction of liabilities in the normal course of business.</w:t>
      </w:r>
    </w:p>
    <w:p>
      <w:pPr>
        <w:spacing w:after="0" w:line="217" w:lineRule="exact"/>
        <w:rPr>
          <w:sz w:val="20"/>
          <w:szCs w:val="20"/>
          <w:color w:val="auto"/>
        </w:rPr>
      </w:pPr>
    </w:p>
    <w:p>
      <w:pPr>
        <w:ind w:left="80" w:right="60" w:firstLine="883"/>
        <w:spacing w:after="0" w:line="266" w:lineRule="auto"/>
        <w:rPr>
          <w:sz w:val="20"/>
          <w:szCs w:val="20"/>
          <w:color w:val="auto"/>
        </w:rPr>
      </w:pPr>
      <w:r>
        <w:rPr>
          <w:rFonts w:ascii="Arial" w:cs="Arial" w:eastAsia="Arial" w:hAnsi="Arial"/>
          <w:sz w:val="17"/>
          <w:szCs w:val="17"/>
          <w:color w:val="auto"/>
        </w:rPr>
        <w:t>The Company’s operations currently consist of its corporate organization build-out, intellectual property licensing activities, and preclinical and clinical study progression. The Company faces the clinical, business, and liquidity risks that are typically associated with biopharma companies; it must significantly invest and complete research and development activities, achieve research and development outcomes that are inherently uncertain, recruit and retain skilled personnel (including executive management), and expand and defend its intellectual property rights.</w:t>
      </w:r>
    </w:p>
    <w:p>
      <w:pPr>
        <w:spacing w:after="0" w:line="2" w:lineRule="exact"/>
        <w:rPr>
          <w:sz w:val="20"/>
          <w:szCs w:val="20"/>
          <w:color w:val="auto"/>
        </w:rPr>
      </w:pPr>
    </w:p>
    <w:p>
      <w:pPr>
        <w:ind w:left="80" w:right="220" w:firstLine="883"/>
        <w:spacing w:after="0" w:line="265" w:lineRule="auto"/>
        <w:rPr>
          <w:sz w:val="20"/>
          <w:szCs w:val="20"/>
          <w:color w:val="auto"/>
        </w:rPr>
      </w:pPr>
      <w:r>
        <w:rPr>
          <w:rFonts w:ascii="Arial" w:cs="Arial" w:eastAsia="Arial" w:hAnsi="Arial"/>
          <w:sz w:val="17"/>
          <w:szCs w:val="17"/>
          <w:color w:val="auto"/>
        </w:rPr>
        <w:t>Management expects the Company to continue to incur losses in the foreseeable future as a result of research and development activities and other operating expenses. The Company will be required to raise additional capital to fund its future operations. However, no assurance can be given as to whether financing will be available on terms acceptable to the Company, if at all. If the Company raises additional funds by issuing equity securities, its stockholders may experience dilution. The Company's Credit Facility imposes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68580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These factors may adversely impact the Company's ability to achieve its business objectives and would likely have an adverse effect on its future business prospects, or even its ability to remain a going concern.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Operating Segment</w:t>
      </w:r>
    </w:p>
    <w:p>
      <w:pPr>
        <w:spacing w:after="0" w:line="221" w:lineRule="exact"/>
        <w:rPr>
          <w:sz w:val="20"/>
          <w:szCs w:val="20"/>
          <w:color w:val="auto"/>
        </w:rPr>
      </w:pPr>
    </w:p>
    <w:p>
      <w:pPr>
        <w:ind w:right="20" w:firstLine="883"/>
        <w:spacing w:after="0" w:line="253" w:lineRule="auto"/>
        <w:rPr>
          <w:sz w:val="20"/>
          <w:szCs w:val="20"/>
          <w:color w:val="auto"/>
        </w:rPr>
      </w:pPr>
      <w:r>
        <w:rPr>
          <w:rFonts w:ascii="Arial" w:cs="Arial" w:eastAsia="Arial" w:hAnsi="Arial"/>
          <w:sz w:val="18"/>
          <w:szCs w:val="18"/>
          <w:color w:val="auto"/>
        </w:rPr>
        <w:t>To date, the Company has operated and managed its business and financial information on an aggregate basis based on the Company's organizational structure, for the purposes of evaluating financial performance and the allocation of capital and personnel resources, consistent with the way operations and investments are managed and evaluated by the chief operating decision maker, or the CODM. Accordingly, the Company’s management determined that it operates one reportable operating segment. This single segment is focused exclusively on developing pharmaceutical products for eventual commercialization.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Emerging Growth Company Status</w:t>
      </w:r>
    </w:p>
    <w:p>
      <w:pPr>
        <w:spacing w:after="0" w:line="221" w:lineRule="exact"/>
        <w:rPr>
          <w:sz w:val="20"/>
          <w:szCs w:val="20"/>
          <w:color w:val="auto"/>
        </w:rPr>
      </w:pPr>
    </w:p>
    <w:p>
      <w:pPr>
        <w:ind w:right="20" w:firstLine="883"/>
        <w:spacing w:after="0" w:line="253"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USE OF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Basis of Presentation</w:t>
      </w:r>
    </w:p>
    <w:p>
      <w:pPr>
        <w:spacing w:after="0" w:line="234" w:lineRule="exact"/>
        <w:rPr>
          <w:sz w:val="20"/>
          <w:szCs w:val="20"/>
          <w:color w:val="auto"/>
        </w:rPr>
      </w:pPr>
    </w:p>
    <w:p>
      <w:pPr>
        <w:ind w:firstLine="883"/>
        <w:spacing w:after="0" w:line="22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(“GAAP”) in the United States ("U.S.") and with the rules and regulations of the Securities and Exchange Commission (“SEC”). The preparation of financial statements in conformity with GAAP and with the rules and regulations of the SEC requires management to make informed estimates and assumptions that affect the amounts reported in these financial statements and accompanying notes. These estimates and assumptions involve judgments with respect to numerous factors that are difficult to predict and may materially differ from the amounts ultimately realized and reported due to the inherent uncertainty of any estimate or assumption.</w:t>
      </w:r>
    </w:p>
    <w:p>
      <w:pPr>
        <w:spacing w:after="0" w:line="205" w:lineRule="exact"/>
        <w:rPr>
          <w:sz w:val="20"/>
          <w:szCs w:val="20"/>
          <w:color w:val="auto"/>
        </w:rPr>
      </w:pPr>
    </w:p>
    <w:p>
      <w:pPr>
        <w:ind w:right="120" w:firstLine="883"/>
        <w:spacing w:after="0" w:line="272" w:lineRule="auto"/>
        <w:rPr>
          <w:sz w:val="20"/>
          <w:szCs w:val="20"/>
          <w:color w:val="auto"/>
        </w:rPr>
      </w:pPr>
      <w:r>
        <w:rPr>
          <w:rFonts w:ascii="Arial" w:cs="Arial" w:eastAsia="Arial" w:hAnsi="Arial"/>
          <w:sz w:val="16"/>
          <w:szCs w:val="16"/>
          <w:color w:val="auto"/>
        </w:rPr>
        <w:t>On an on-going basis, management evaluates the Company's most critical estimates and assumptions, including those related to (i) revenue recognition from out-licensing arrangement (ii) fair value of equity-based awards and periodic recognition of stock-based compensation, (iii) the realization of income tax assets and estimates of tax liabilities, and (iv) expense accruals related to research and development activities, including clinical trials.</w:t>
      </w:r>
    </w:p>
    <w:p>
      <w:pPr>
        <w:spacing w:after="0" w:line="164" w:lineRule="exact"/>
        <w:rPr>
          <w:sz w:val="20"/>
          <w:szCs w:val="20"/>
          <w:color w:val="auto"/>
        </w:rPr>
      </w:pPr>
    </w:p>
    <w:p>
      <w:pPr>
        <w:ind w:right="660" w:firstLine="883"/>
        <w:spacing w:after="0" w:line="271" w:lineRule="auto"/>
        <w:rPr>
          <w:sz w:val="20"/>
          <w:szCs w:val="20"/>
          <w:color w:val="auto"/>
        </w:rPr>
      </w:pPr>
      <w:r>
        <w:rPr>
          <w:rFonts w:ascii="Arial" w:cs="Arial" w:eastAsia="Arial" w:hAnsi="Arial"/>
          <w:sz w:val="18"/>
          <w:szCs w:val="18"/>
          <w:color w:val="auto"/>
        </w:rPr>
        <w:t>The accounting policies and estimates that most significantly impact the presented amounts within these financial statements are further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Cash and Cash Equivalents</w:t>
      </w:r>
    </w:p>
    <w:p>
      <w:pPr>
        <w:spacing w:after="0" w:line="221" w:lineRule="exact"/>
        <w:rPr>
          <w:sz w:val="20"/>
          <w:szCs w:val="20"/>
          <w:color w:val="auto"/>
        </w:rPr>
      </w:pPr>
    </w:p>
    <w:p>
      <w:pPr>
        <w:ind w:right="540" w:firstLine="883"/>
        <w:spacing w:after="0" w:line="271" w:lineRule="auto"/>
        <w:rPr>
          <w:sz w:val="20"/>
          <w:szCs w:val="20"/>
          <w:color w:val="auto"/>
        </w:rPr>
      </w:pPr>
      <w:r>
        <w:rPr>
          <w:rFonts w:ascii="Arial" w:cs="Arial" w:eastAsia="Arial" w:hAnsi="Arial"/>
          <w:sz w:val="18"/>
          <w:szCs w:val="18"/>
          <w:color w:val="auto"/>
        </w:rPr>
        <w:t>Cash and cash equivalents consist of bank deposits and highly liquid investments, including money market fund accounts, that are readily convertible into cash without penalty, with original maturities of three months or less from the purchase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Marketable Securities</w:t>
      </w:r>
    </w:p>
    <w:p>
      <w:pPr>
        <w:spacing w:after="0" w:line="221" w:lineRule="exact"/>
        <w:rPr>
          <w:sz w:val="20"/>
          <w:szCs w:val="20"/>
          <w:color w:val="auto"/>
        </w:rPr>
      </w:pPr>
    </w:p>
    <w:p>
      <w:pPr>
        <w:ind w:right="280" w:firstLine="883"/>
        <w:spacing w:after="0" w:line="271" w:lineRule="auto"/>
        <w:rPr>
          <w:sz w:val="20"/>
          <w:szCs w:val="20"/>
          <w:color w:val="auto"/>
        </w:rPr>
      </w:pPr>
      <w:r>
        <w:rPr>
          <w:rFonts w:ascii="Arial" w:cs="Arial" w:eastAsia="Arial" w:hAnsi="Arial"/>
          <w:sz w:val="18"/>
          <w:szCs w:val="18"/>
          <w:color w:val="auto"/>
        </w:rPr>
        <w:t xml:space="preserve">Marketable securities represent LianBio common stock (see </w:t>
      </w:r>
      <w:r>
        <w:rPr>
          <w:rFonts w:ascii="Arial" w:cs="Arial" w:eastAsia="Arial" w:hAnsi="Arial"/>
          <w:sz w:val="18"/>
          <w:szCs w:val="18"/>
          <w:i w:val="1"/>
          <w:iCs w:val="1"/>
          <w:color w:val="auto"/>
        </w:rPr>
        <w:t>Note 7</w:t>
      </w:r>
      <w:r>
        <w:rPr>
          <w:rFonts w:ascii="Arial" w:cs="Arial" w:eastAsia="Arial" w:hAnsi="Arial"/>
          <w:sz w:val="18"/>
          <w:szCs w:val="18"/>
          <w:color w:val="auto"/>
        </w:rPr>
        <w:t>) with associated gains or losses recorded within "other (expense) income, net" within the Statements of Operations at each reporting period.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Concentration of Credit Risk and Other Risks and Uncertainties</w:t>
      </w:r>
    </w:p>
    <w:p>
      <w:pPr>
        <w:spacing w:after="0" w:line="221" w:lineRule="exact"/>
        <w:rPr>
          <w:sz w:val="20"/>
          <w:szCs w:val="20"/>
          <w:color w:val="auto"/>
        </w:rPr>
      </w:pPr>
    </w:p>
    <w:p>
      <w:pPr>
        <w:ind w:right="640" w:firstLine="883"/>
        <w:spacing w:after="0" w:line="271"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88" w:lineRule="exact"/>
        <w:rPr>
          <w:sz w:val="20"/>
          <w:szCs w:val="20"/>
          <w:color w:val="auto"/>
        </w:rPr>
      </w:pPr>
    </w:p>
    <w:p>
      <w:pPr>
        <w:ind w:right="120" w:firstLine="883"/>
        <w:spacing w:after="0" w:line="255" w:lineRule="auto"/>
        <w:rPr>
          <w:sz w:val="20"/>
          <w:szCs w:val="20"/>
          <w:color w:val="auto"/>
        </w:rPr>
      </w:pPr>
      <w:r>
        <w:rPr>
          <w:rFonts w:ascii="Arial" w:cs="Arial" w:eastAsia="Arial" w:hAnsi="Arial"/>
          <w:sz w:val="16"/>
          <w:szCs w:val="16"/>
          <w:color w:val="auto"/>
        </w:rPr>
        <w:t>In March 2020, the World Health Organization declared a pandemic related to the global novel coronavirus disease 2019 (“COVID-19”) outbreak. The COVID-19 pandemic continues to evolve and its impact on the Company’s business will depend on several factors that are highly uncertain and unpredictable, including, the efficacy and adoption of vaccines, future resurgences of the virus and its variants, and the speed at which government restrictions are lifted. To date, the Company’s operations have not been significantly impacted by the COVID-19 pandemic, though the Company continues to monitor the potential impact COVID-19 may have on its ongoing and planned clinical trials. However, the Company cannot at this time predict the specific extent, duration, or full impact that the COVID-19 outbreak may have on these activities or its financial condition.</w:t>
      </w:r>
    </w:p>
    <w:p>
      <w:pPr>
        <w:spacing w:after="0" w:line="205" w:lineRule="exact"/>
        <w:rPr>
          <w:sz w:val="20"/>
          <w:szCs w:val="20"/>
          <w:color w:val="auto"/>
        </w:rPr>
      </w:pPr>
    </w:p>
    <w:p>
      <w:pPr>
        <w:ind w:right="140" w:firstLine="883"/>
        <w:spacing w:after="0" w:line="297" w:lineRule="auto"/>
        <w:rPr>
          <w:sz w:val="20"/>
          <w:szCs w:val="20"/>
          <w:color w:val="auto"/>
        </w:rPr>
      </w:pPr>
      <w:r>
        <w:rPr>
          <w:rFonts w:ascii="Arial" w:cs="Arial" w:eastAsia="Arial" w:hAnsi="Arial"/>
          <w:sz w:val="16"/>
          <w:szCs w:val="16"/>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(3) uncertainty of market acceptance of its product candidates, (4) competition from substitute products and other companies, (5) securing and protecting proprietary technology and strategic relationships, and (6) dependence on key individuals and sole source suppliers.</w:t>
      </w:r>
    </w:p>
    <w:p>
      <w:pPr>
        <w:spacing w:after="0" w:line="159" w:lineRule="exact"/>
        <w:rPr>
          <w:sz w:val="20"/>
          <w:szCs w:val="20"/>
          <w:color w:val="auto"/>
        </w:rPr>
      </w:pPr>
    </w:p>
    <w:p>
      <w:pPr>
        <w:ind w:right="60" w:firstLine="883"/>
        <w:spacing w:after="0" w:line="255"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Property and Equipment, Net</w:t>
      </w:r>
    </w:p>
    <w:p>
      <w:pPr>
        <w:spacing w:after="0" w:line="221" w:lineRule="exact"/>
        <w:rPr>
          <w:sz w:val="20"/>
          <w:szCs w:val="20"/>
          <w:color w:val="auto"/>
        </w:rPr>
      </w:pPr>
    </w:p>
    <w:p>
      <w:pPr>
        <w:ind w:firstLine="883"/>
        <w:spacing w:after="0" w:line="287" w:lineRule="auto"/>
        <w:rPr>
          <w:sz w:val="20"/>
          <w:szCs w:val="20"/>
          <w:color w:val="auto"/>
        </w:rPr>
      </w:pPr>
      <w:r>
        <w:rPr>
          <w:rFonts w:ascii="Arial" w:cs="Arial" w:eastAsia="Arial" w:hAnsi="Arial"/>
          <w:sz w:val="16"/>
          <w:szCs w:val="16"/>
          <w:color w:val="auto"/>
        </w:rPr>
        <w:t xml:space="preserve">Property and equipment, net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Other than the right-of-use ("ROU") asset impairment discussed in </w:t>
      </w:r>
      <w:r>
        <w:rPr>
          <w:rFonts w:ascii="Arial" w:cs="Arial" w:eastAsia="Arial" w:hAnsi="Arial"/>
          <w:sz w:val="16"/>
          <w:szCs w:val="16"/>
          <w:i w:val="1"/>
          <w:iCs w:val="1"/>
          <w:color w:val="auto"/>
        </w:rPr>
        <w:t>Note 8</w:t>
      </w:r>
      <w:r>
        <w:rPr>
          <w:rFonts w:ascii="Arial" w:cs="Arial" w:eastAsia="Arial" w:hAnsi="Arial"/>
          <w:sz w:val="16"/>
          <w:szCs w:val="16"/>
          <w:color w:val="auto"/>
        </w:rPr>
        <w:t>, there were no events or changes in business circumstances during the years ended December 31, 2021 and 2020 that indicated the carrying amounts of any long-lived assets were not fully recoverable.</w:t>
      </w:r>
    </w:p>
    <w:p>
      <w:pPr>
        <w:spacing w:after="0" w:line="192" w:lineRule="exact"/>
        <w:rPr>
          <w:sz w:val="20"/>
          <w:szCs w:val="20"/>
          <w:color w:val="auto"/>
        </w:rPr>
      </w:pPr>
    </w:p>
    <w:p>
      <w:pPr>
        <w:ind w:right="7040" w:firstLine="7"/>
        <w:spacing w:after="0" w:line="527" w:lineRule="auto"/>
        <w:tabs>
          <w:tab w:leader="none" w:pos="292"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for Out-License Arrangements Overview</w:t>
      </w:r>
    </w:p>
    <w:p>
      <w:pPr>
        <w:ind w:firstLine="883"/>
        <w:spacing w:after="0" w:line="253" w:lineRule="auto"/>
        <w:rPr>
          <w:sz w:val="20"/>
          <w:szCs w:val="20"/>
          <w:color w:val="auto"/>
        </w:rPr>
      </w:pPr>
      <w:r>
        <w:rPr>
          <w:rFonts w:ascii="Arial" w:cs="Arial" w:eastAsia="Arial" w:hAnsi="Arial"/>
          <w:sz w:val="18"/>
          <w:szCs w:val="18"/>
          <w:color w:val="auto"/>
        </w:rPr>
        <w:t xml:space="preserve">The Company currently has one out-license arrangement that allows the third-party licensee to market the Company’s TP-03 product (representing "functional intellectual property") in certain territories for a certain field of use and for a stated term - see </w:t>
      </w:r>
      <w:r>
        <w:rPr>
          <w:rFonts w:ascii="Arial" w:cs="Arial" w:eastAsia="Arial" w:hAnsi="Arial"/>
          <w:sz w:val="18"/>
          <w:szCs w:val="18"/>
          <w:i w:val="1"/>
          <w:iCs w:val="1"/>
          <w:color w:val="auto"/>
        </w:rPr>
        <w:t>Note 9</w:t>
      </w:r>
      <w:r>
        <w:rPr>
          <w:rFonts w:ascii="Arial" w:cs="Arial" w:eastAsia="Arial" w:hAnsi="Arial"/>
          <w:sz w:val="18"/>
          <w:szCs w:val="18"/>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220" w:lineRule="exact"/>
        <w:rPr>
          <w:sz w:val="20"/>
          <w:szCs w:val="20"/>
          <w:color w:val="auto"/>
        </w:rPr>
      </w:pPr>
    </w:p>
    <w:p>
      <w:pPr>
        <w:ind w:right="340" w:firstLine="883"/>
        <w:spacing w:after="0" w:line="293" w:lineRule="auto"/>
        <w:rPr>
          <w:sz w:val="20"/>
          <w:szCs w:val="20"/>
          <w:color w:val="auto"/>
        </w:rPr>
      </w:pPr>
      <w:r>
        <w:rPr>
          <w:rFonts w:ascii="Arial" w:cs="Arial" w:eastAsia="Arial" w:hAnsi="Arial"/>
          <w:sz w:val="16"/>
          <w:szCs w:val="16"/>
          <w:color w:val="auto"/>
        </w:rPr>
        <w:t xml:space="preserve">The Company's out-license arrangement, as described in </w:t>
      </w:r>
      <w:r>
        <w:rPr>
          <w:rFonts w:ascii="Arial" w:cs="Arial" w:eastAsia="Arial" w:hAnsi="Arial"/>
          <w:sz w:val="16"/>
          <w:szCs w:val="16"/>
          <w:i w:val="1"/>
          <w:iCs w:val="1"/>
          <w:color w:val="auto"/>
        </w:rPr>
        <w:t>Note 9</w:t>
      </w:r>
      <w:r>
        <w:rPr>
          <w:rFonts w:ascii="Arial" w:cs="Arial" w:eastAsia="Arial" w:hAnsi="Arial"/>
          <w:sz w:val="16"/>
          <w:szCs w:val="16"/>
          <w:color w:val="auto"/>
        </w:rPr>
        <w:t>, was analyzed under GAAP to determine whether the promised goods or services (which include the license, and know-how, data, and information necessary or reasonably useful for the research, development, manufacture, or commercialization of any license product, and governance committee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considered to not be distinct, the license is combined with other promised goods or services as a combined performance obligation for revenue recognition.</w:t>
      </w:r>
    </w:p>
    <w:p>
      <w:pPr>
        <w:spacing w:after="0" w:line="271" w:lineRule="exact"/>
        <w:rPr>
          <w:sz w:val="20"/>
          <w:szCs w:val="20"/>
          <w:color w:val="auto"/>
        </w:rPr>
      </w:pPr>
    </w:p>
    <w:p>
      <w:pPr>
        <w:ind w:right="40" w:firstLine="883"/>
        <w:spacing w:after="0" w:line="252" w:lineRule="auto"/>
        <w:rPr>
          <w:sz w:val="20"/>
          <w:szCs w:val="20"/>
          <w:color w:val="auto"/>
        </w:rPr>
      </w:pPr>
      <w:r>
        <w:rPr>
          <w:rFonts w:ascii="Arial" w:cs="Arial" w:eastAsia="Arial" w:hAnsi="Arial"/>
          <w:sz w:val="18"/>
          <w:szCs w:val="18"/>
          <w:color w:val="auto"/>
        </w:rPr>
        <w:t>The Company's out-license arrangement includes the following forms of consideration: (i) non-refundable upfront license payments, (ii) equity-based consideration, (iii) sales-based royalties, (iv) sales threshold milestones, (v) development milestone payments, and (vi) regulatory milestone payments. Revenue is recognized in proportion to the allocated transaction price when (or as) the respective performance obligation is satisfied. The Company evaluates the progress related to each milestone at each reporting period and, if necessary, also adjusts the probability of achievement and related revenue recognition. The measure of progress, and thereby periods over which revenue is recognized, is subject to estimates by management and may change over the course of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Terms for Receipt of Payments</w:t>
      </w:r>
    </w:p>
    <w:p>
      <w:pPr>
        <w:spacing w:after="0" w:line="248" w:lineRule="exact"/>
        <w:rPr>
          <w:sz w:val="20"/>
          <w:szCs w:val="20"/>
          <w:color w:val="auto"/>
        </w:rPr>
      </w:pPr>
    </w:p>
    <w:p>
      <w:pPr>
        <w:ind w:right="440" w:firstLine="883"/>
        <w:spacing w:after="0" w:line="301" w:lineRule="auto"/>
        <w:rPr>
          <w:sz w:val="20"/>
          <w:szCs w:val="20"/>
          <w:color w:val="auto"/>
        </w:rPr>
      </w:pPr>
      <w:r>
        <w:rPr>
          <w:rFonts w:ascii="Arial" w:cs="Arial" w:eastAsia="Arial" w:hAnsi="Arial"/>
          <w:sz w:val="17"/>
          <w:szCs w:val="17"/>
          <w:color w:val="auto"/>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spacing w:after="0" w:line="165" w:lineRule="exact"/>
        <w:rPr>
          <w:sz w:val="20"/>
          <w:szCs w:val="20"/>
          <w:color w:val="auto"/>
        </w:rPr>
      </w:pPr>
    </w:p>
    <w:p>
      <w:pPr>
        <w:ind w:right="120" w:firstLine="890"/>
        <w:spacing w:after="0" w:line="258" w:lineRule="auto"/>
        <w:tabs>
          <w:tab w:leader="none" w:pos="1135"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Upfront License Fees: </w:t>
      </w:r>
      <w:r>
        <w:rPr>
          <w:rFonts w:ascii="Arial" w:cs="Arial" w:eastAsia="Arial" w:hAnsi="Arial"/>
          <w:sz w:val="16"/>
          <w:szCs w:val="16"/>
          <w:color w:val="auto"/>
        </w:rPr>
        <w:t>The Company determines whether non-refundable license fee consideration is recognized at the time of contract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(i.e., when the license is transferred to the customer and customer is able to use and benefit from the license) or over the actual (or implied) contractual period of the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we perform obligations under these arrangements.</w:t>
      </w:r>
    </w:p>
    <w:p>
      <w:pPr>
        <w:spacing w:after="0" w:line="187" w:lineRule="exact"/>
        <w:rPr>
          <w:rFonts w:ascii="Arial" w:cs="Arial" w:eastAsia="Arial" w:hAnsi="Arial"/>
          <w:sz w:val="16"/>
          <w:szCs w:val="16"/>
          <w:color w:val="auto"/>
        </w:rPr>
      </w:pPr>
    </w:p>
    <w:p>
      <w:pPr>
        <w:ind w:firstLine="890"/>
        <w:spacing w:after="0" w:line="253" w:lineRule="auto"/>
        <w:tabs>
          <w:tab w:leader="none" w:pos="1135"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Development Milestones: </w:t>
      </w:r>
      <w:r>
        <w:rPr>
          <w:rFonts w:ascii="Arial" w:cs="Arial" w:eastAsia="Arial" w:hAnsi="Arial"/>
          <w:sz w:val="16"/>
          <w:szCs w:val="16"/>
          <w:color w:val="auto"/>
        </w:rPr>
        <w:t>The Company utilizes the “most likely amount” method to estimate the amount of consideration to which it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we determined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spacing w:after="0" w:line="193" w:lineRule="exact"/>
        <w:rPr>
          <w:rFonts w:ascii="Arial" w:cs="Arial" w:eastAsia="Arial" w:hAnsi="Arial"/>
          <w:sz w:val="16"/>
          <w:szCs w:val="16"/>
          <w:color w:val="auto"/>
        </w:rPr>
      </w:pPr>
    </w:p>
    <w:p>
      <w:pPr>
        <w:ind w:right="40" w:firstLine="890"/>
        <w:spacing w:after="0" w:line="255" w:lineRule="auto"/>
        <w:tabs>
          <w:tab w:leader="none" w:pos="1135"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Milestones: </w:t>
      </w:r>
      <w:r>
        <w:rPr>
          <w:rFonts w:ascii="Arial" w:cs="Arial" w:eastAsia="Arial" w:hAnsi="Arial"/>
          <w:sz w:val="16"/>
          <w:szCs w:val="16"/>
          <w:color w:val="auto"/>
        </w:rPr>
        <w:t>The Company utilizes the “most likely amount” method to estimate the consideration to which it will be entitled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constrained for revenue recognition until achievement.</w:t>
      </w:r>
    </w:p>
    <w:p>
      <w:pPr>
        <w:spacing w:after="0" w:line="204" w:lineRule="exact"/>
        <w:rPr>
          <w:rFonts w:ascii="Arial" w:cs="Arial" w:eastAsia="Arial" w:hAnsi="Arial"/>
          <w:sz w:val="16"/>
          <w:szCs w:val="16"/>
          <w:color w:val="auto"/>
        </w:rPr>
      </w:pPr>
    </w:p>
    <w:p>
      <w:pPr>
        <w:ind w:right="40" w:firstLine="890"/>
        <w:spacing w:after="0" w:line="255" w:lineRule="auto"/>
        <w:tabs>
          <w:tab w:leader="none" w:pos="113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Under the "sales-or-usage-based royalty exception" the Company recognizes revenue based on the contractual percentage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its out-licensing arrangements.</w:t>
      </w:r>
    </w:p>
    <w:p>
      <w:pPr>
        <w:spacing w:after="0" w:line="216" w:lineRule="exact"/>
        <w:rPr>
          <w:rFonts w:ascii="Arial" w:cs="Arial" w:eastAsia="Arial" w:hAnsi="Arial"/>
          <w:sz w:val="18"/>
          <w:szCs w:val="18"/>
          <w:color w:val="auto"/>
        </w:rPr>
      </w:pPr>
    </w:p>
    <w:p>
      <w:pPr>
        <w:ind w:right="220" w:firstLine="890"/>
        <w:spacing w:after="0" w:line="253" w:lineRule="auto"/>
        <w:tabs>
          <w:tab w:leader="none" w:pos="113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Threshold Milestones: </w:t>
      </w:r>
      <w:r>
        <w:rPr>
          <w:rFonts w:ascii="Arial" w:cs="Arial" w:eastAsia="Arial" w:hAnsi="Arial"/>
          <w:sz w:val="18"/>
          <w:szCs w:val="18"/>
          <w:color w:val="auto"/>
        </w:rPr>
        <w:t>Similar to royalties, applying the "sales-or-usage-based royalty exception", the Company recognizes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out-licensing arrangements.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20" w:firstLine="883"/>
        <w:spacing w:after="0" w:line="255" w:lineRule="auto"/>
        <w:rPr>
          <w:sz w:val="20"/>
          <w:szCs w:val="20"/>
          <w:color w:val="auto"/>
        </w:rPr>
      </w:pPr>
      <w:r>
        <w:rPr>
          <w:rFonts w:ascii="Arial" w:cs="Arial" w:eastAsia="Arial" w:hAnsi="Arial"/>
          <w:sz w:val="18"/>
          <w:szCs w:val="18"/>
          <w:color w:val="auto"/>
        </w:rPr>
        <w:t>The Company re-evaluates an out-license "transaction price" as determined in each reporting period as uncertain events are resolved and other changes in circumstances occur. 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204"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Accounting Standards Update No. 2021-08, Business Combinations (Topic 805): Accounting for Contract Assets and Contract Liabilities from Contracts with Customers</w:t>
      </w:r>
    </w:p>
    <w:p>
      <w:pPr>
        <w:spacing w:after="0" w:line="215" w:lineRule="exact"/>
        <w:rPr>
          <w:sz w:val="20"/>
          <w:szCs w:val="20"/>
          <w:color w:val="auto"/>
        </w:rPr>
      </w:pPr>
    </w:p>
    <w:p>
      <w:pPr>
        <w:ind w:right="260" w:firstLine="883"/>
        <w:spacing w:after="0" w:line="270" w:lineRule="auto"/>
        <w:rPr>
          <w:sz w:val="20"/>
          <w:szCs w:val="20"/>
          <w:color w:val="auto"/>
        </w:rPr>
      </w:pPr>
      <w:r>
        <w:rPr>
          <w:rFonts w:ascii="Arial" w:cs="Arial" w:eastAsia="Arial" w:hAnsi="Arial"/>
          <w:sz w:val="17"/>
          <w:szCs w:val="17"/>
          <w:color w:val="auto"/>
        </w:rPr>
        <w:t xml:space="preserve">In October 2021, the Financial Accounting Standards Board, or FASB, issued </w:t>
      </w:r>
      <w:r>
        <w:rPr>
          <w:rFonts w:ascii="Arial" w:cs="Arial" w:eastAsia="Arial" w:hAnsi="Arial"/>
          <w:sz w:val="17"/>
          <w:szCs w:val="17"/>
          <w:i w:val="1"/>
          <w:iCs w:val="1"/>
          <w:color w:val="auto"/>
        </w:rPr>
        <w:t>Accounting Standards Update No. 2021-08,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(Topic 805)</w:t>
      </w:r>
      <w:r>
        <w:rPr>
          <w:rFonts w:ascii="Arial" w:cs="Arial" w:eastAsia="Arial" w:hAnsi="Arial"/>
          <w:sz w:val="17"/>
          <w:szCs w:val="17"/>
          <w:color w:val="auto"/>
        </w:rPr>
        <w:t>,</w:t>
      </w:r>
      <w:r>
        <w:rPr>
          <w:rFonts w:ascii="Arial" w:cs="Arial" w:eastAsia="Arial" w:hAnsi="Arial"/>
          <w:sz w:val="17"/>
          <w:szCs w:val="17"/>
          <w:i w:val="1"/>
          <w:iCs w:val="1"/>
          <w:color w:val="auto"/>
        </w:rPr>
        <w:t xml:space="preserve"> Accounting for Contract Assets and Contract Liabilities from Contracts with Customers</w:t>
      </w:r>
      <w:r>
        <w:rPr>
          <w:rFonts w:ascii="Arial" w:cs="Arial" w:eastAsia="Arial" w:hAnsi="Arial"/>
          <w:sz w:val="17"/>
          <w:szCs w:val="17"/>
          <w:color w:val="auto"/>
        </w:rPr>
        <w:t>, which requires an entity (acquirer)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and measure contract assets and liabilities acquired in a business combination in accordance with Topic 606, Revenue from Contracts with Customers. This update is effective for fiscal years beginning after December 15, 2022, and interim periods within those fiscal years, with early adoption permitted. The amendments should be applied prospectively to business combinations occurring on or after the effective date of the amendments. The Company is currently evaluating the impact the standard will have on the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(vii) Research and Development Costs</w:t>
      </w:r>
    </w:p>
    <w:p>
      <w:pPr>
        <w:spacing w:after="0" w:line="221" w:lineRule="exact"/>
        <w:rPr>
          <w:sz w:val="20"/>
          <w:szCs w:val="20"/>
          <w:color w:val="auto"/>
        </w:rPr>
      </w:pPr>
    </w:p>
    <w:p>
      <w:pPr>
        <w:ind w:firstLine="883"/>
        <w:spacing w:after="0" w:line="269" w:lineRule="auto"/>
        <w:rPr>
          <w:sz w:val="20"/>
          <w:szCs w:val="20"/>
          <w:color w:val="auto"/>
        </w:rPr>
      </w:pPr>
      <w:r>
        <w:rPr>
          <w:rFonts w:ascii="Arial" w:cs="Arial" w:eastAsia="Arial" w:hAnsi="Arial"/>
          <w:sz w:val="17"/>
          <w:szCs w:val="17"/>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clinical manufacturing costs, and the cost of services provided by outside contractors. The Company recognizes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78" w:lineRule="exact"/>
        <w:rPr>
          <w:sz w:val="20"/>
          <w:szCs w:val="20"/>
          <w:color w:val="auto"/>
        </w:rPr>
      </w:pPr>
    </w:p>
    <w:p>
      <w:pPr>
        <w:ind w:right="180" w:firstLine="883"/>
        <w:spacing w:after="0" w:line="288" w:lineRule="auto"/>
        <w:rPr>
          <w:sz w:val="20"/>
          <w:szCs w:val="20"/>
          <w:color w:val="auto"/>
        </w:rPr>
      </w:pPr>
      <w:r>
        <w:rPr>
          <w:rFonts w:ascii="Arial" w:cs="Arial" w:eastAsia="Arial" w:hAnsi="Arial"/>
          <w:sz w:val="16"/>
          <w:szCs w:val="16"/>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executed in-license agreements (see </w:t>
      </w:r>
      <w:r>
        <w:rPr>
          <w:rFonts w:ascii="Arial" w:cs="Arial" w:eastAsia="Arial" w:hAnsi="Arial"/>
          <w:sz w:val="16"/>
          <w:szCs w:val="16"/>
          <w:i w:val="1"/>
          <w:iCs w:val="1"/>
          <w:color w:val="auto"/>
        </w:rPr>
        <w:t>Note 8(b)</w:t>
      </w:r>
      <w:r>
        <w:rPr>
          <w:rFonts w:ascii="Arial" w:cs="Arial" w:eastAsia="Arial" w:hAnsi="Arial"/>
          <w:sz w:val="16"/>
          <w:szCs w:val="16"/>
          <w:color w:val="auto"/>
        </w:rPr>
        <w:t>) were evaluated and determined to represent asset acquisitions. Because these assets have not yet received regulatory approval and have no alternative future use, the purchase price for each was immediately recognized as research and development expense. In addition, any future milestone payments (whether in the form of cash or stock) made before product regulatory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(viii) Deferred Offering Costs</w:t>
      </w:r>
    </w:p>
    <w:p>
      <w:pPr>
        <w:spacing w:after="0" w:line="221" w:lineRule="exact"/>
        <w:rPr>
          <w:sz w:val="20"/>
          <w:szCs w:val="20"/>
          <w:color w:val="auto"/>
        </w:rPr>
      </w:pPr>
    </w:p>
    <w:p>
      <w:pPr>
        <w:ind w:right="20" w:firstLine="883"/>
        <w:spacing w:after="0" w:line="272" w:lineRule="auto"/>
        <w:rPr>
          <w:sz w:val="20"/>
          <w:szCs w:val="20"/>
          <w:color w:val="auto"/>
        </w:rPr>
      </w:pPr>
      <w:r>
        <w:rPr>
          <w:rFonts w:ascii="Arial" w:cs="Arial" w:eastAsia="Arial" w:hAnsi="Arial"/>
          <w:sz w:val="17"/>
          <w:szCs w:val="17"/>
          <w:color w:val="auto"/>
        </w:rPr>
        <w:t>Deferred offering costs are expenses directly related to the Form S-3 filed with the SEC on November 1, 2021 and declared effective on November 5, 2021 (the "Shelf Registration"). These costs consisted of legal, accounting, and other applicable professional fees that the Company has capitalized, including fees incurred by the independent registered public accounting firm directly related to the Shelf Registration. Deferred offering costs are reclassified to “additional paid in capital” on a pro-rata basis when the Company completes offerings under the Shelf Registration, with any remaining deferred offering costs to be charged to the results of operations at the end of the Shelf Registration's life.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(ix) Stock-Based Compensation</w:t>
      </w:r>
    </w:p>
    <w:p>
      <w:pPr>
        <w:spacing w:after="0" w:line="248" w:lineRule="exact"/>
        <w:rPr>
          <w:sz w:val="20"/>
          <w:szCs w:val="20"/>
          <w:color w:val="auto"/>
        </w:rPr>
      </w:pPr>
    </w:p>
    <w:p>
      <w:pPr>
        <w:jc w:val="both"/>
        <w:ind w:right="80" w:firstLine="883"/>
        <w:spacing w:after="0" w:line="259" w:lineRule="auto"/>
        <w:rPr>
          <w:sz w:val="20"/>
          <w:szCs w:val="20"/>
          <w:color w:val="auto"/>
        </w:rPr>
      </w:pPr>
      <w:r>
        <w:rPr>
          <w:rFonts w:ascii="Arial" w:cs="Arial" w:eastAsia="Arial" w:hAnsi="Arial"/>
          <w:sz w:val="18"/>
          <w:szCs w:val="18"/>
          <w:color w:val="auto"/>
        </w:rPr>
        <w:t>The Company recognizes stock-based compensation expense for equity awards granted to employees, consultants, and members of its Board of Directors. The Black-Scholes pricing model is used to estimate the fair value of stock option awards as of the date of grant. The fair value of restricted stock units is representative of the closing share price preceding the date of grant.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00" w:firstLine="883"/>
        <w:spacing w:after="0" w:line="297" w:lineRule="auto"/>
        <w:rPr>
          <w:sz w:val="20"/>
          <w:szCs w:val="20"/>
          <w:color w:val="auto"/>
        </w:rPr>
      </w:pPr>
      <w:r>
        <w:rPr>
          <w:rFonts w:ascii="Arial" w:cs="Arial" w:eastAsia="Arial" w:hAnsi="Arial"/>
          <w:sz w:val="16"/>
          <w:szCs w:val="16"/>
          <w:color w:val="auto"/>
        </w:rPr>
        <w:t>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As applicable, the Company reverses previously recognized expense for forfeitures of unvested awards in the same period of occurrence.</w:t>
      </w:r>
    </w:p>
    <w:p>
      <w:pPr>
        <w:spacing w:after="0" w:line="159" w:lineRule="exact"/>
        <w:rPr>
          <w:sz w:val="20"/>
          <w:szCs w:val="20"/>
          <w:color w:val="auto"/>
        </w:rPr>
      </w:pPr>
    </w:p>
    <w:p>
      <w:pPr>
        <w:ind w:right="200" w:firstLine="883"/>
        <w:spacing w:after="0" w:line="253" w:lineRule="auto"/>
        <w:rPr>
          <w:sz w:val="20"/>
          <w:szCs w:val="20"/>
          <w:color w:val="auto"/>
        </w:rPr>
      </w:pPr>
      <w:r>
        <w:rPr>
          <w:rFonts w:ascii="Arial" w:cs="Arial" w:eastAsia="Arial" w:hAnsi="Arial"/>
          <w:sz w:val="18"/>
          <w:szCs w:val="18"/>
          <w:color w:val="auto"/>
        </w:rPr>
        <w:t>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for all awards granted prior to the IPO,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93" w:lineRule="exact"/>
        <w:rPr>
          <w:sz w:val="20"/>
          <w:szCs w:val="20"/>
          <w:color w:val="auto"/>
        </w:rPr>
      </w:pPr>
    </w:p>
    <w:p>
      <w:pPr>
        <w:ind w:firstLine="883"/>
        <w:spacing w:after="0" w:line="269" w:lineRule="auto"/>
        <w:rPr>
          <w:sz w:val="20"/>
          <w:szCs w:val="20"/>
          <w:color w:val="auto"/>
        </w:rPr>
      </w:pPr>
      <w:r>
        <w:rPr>
          <w:rFonts w:ascii="Arial" w:cs="Arial" w:eastAsia="Arial" w:hAnsi="Arial"/>
          <w:sz w:val="17"/>
          <w:szCs w:val="17"/>
          <w:color w:val="auto"/>
        </w:rPr>
        <w:t>Management estimates the expected term of awarded stock options utilizing the “simplified method” for awards as the Company does not yet have sufficient exercise history since its November 2016 formation. Further, prior to the IPO, the Company was privately-held and therefore lacked company-specific historical and implied volatility information of its stock. Accordingly, management estimated this expected volatility based on a designated peer-group of publicly-traded companies for a look-back period, as of the date of grant, that corresponded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78" w:lineRule="exact"/>
        <w:rPr>
          <w:sz w:val="20"/>
          <w:szCs w:val="20"/>
          <w:color w:val="auto"/>
        </w:rPr>
      </w:pPr>
    </w:p>
    <w:p>
      <w:pPr>
        <w:ind w:right="20" w:firstLine="883"/>
        <w:spacing w:after="0" w:line="288" w:lineRule="auto"/>
        <w:rPr>
          <w:sz w:val="20"/>
          <w:szCs w:val="20"/>
          <w:color w:val="auto"/>
        </w:rPr>
      </w:pPr>
      <w:r>
        <w:rPr>
          <w:rFonts w:ascii="Arial" w:cs="Arial" w:eastAsia="Arial" w:hAnsi="Arial"/>
          <w:sz w:val="16"/>
          <w:szCs w:val="16"/>
          <w:color w:val="auto"/>
        </w:rPr>
        <w:t>Prior to the IPO, 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 Subsequent to the IPO, the fair value of the Company’s common stock is based on the closing quoted market price of its common stock as reported by the Nasdaq Global Select Market on the date of grant.</w:t>
      </w:r>
    </w:p>
    <w:p>
      <w:pPr>
        <w:spacing w:after="0" w:line="193" w:lineRule="exact"/>
        <w:rPr>
          <w:sz w:val="20"/>
          <w:szCs w:val="20"/>
          <w:color w:val="auto"/>
        </w:rPr>
      </w:pPr>
    </w:p>
    <w:p>
      <w:pPr>
        <w:ind w:right="100" w:firstLine="883"/>
        <w:spacing w:after="0" w:line="271" w:lineRule="auto"/>
        <w:rPr>
          <w:sz w:val="20"/>
          <w:szCs w:val="20"/>
          <w:color w:val="auto"/>
        </w:rPr>
      </w:pPr>
      <w:r>
        <w:rPr>
          <w:rFonts w:ascii="Arial" w:cs="Arial" w:eastAsia="Arial" w:hAnsi="Arial"/>
          <w:sz w:val="18"/>
          <w:szCs w:val="18"/>
          <w:color w:val="auto"/>
        </w:rPr>
        <w:t>All stock-based compensation expense is reported in the Statements of Operations and Comprehensive Loss within "research and development" expense or "general and administrative" expense, based upon the assigned department of the award recipient.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Income Taxes</w:t>
      </w:r>
    </w:p>
    <w:p>
      <w:pPr>
        <w:spacing w:after="0" w:line="221" w:lineRule="exact"/>
        <w:rPr>
          <w:sz w:val="20"/>
          <w:szCs w:val="20"/>
          <w:color w:val="auto"/>
        </w:rPr>
      </w:pPr>
    </w:p>
    <w:p>
      <w:pPr>
        <w:ind w:firstLine="883"/>
        <w:spacing w:after="0" w:line="287" w:lineRule="auto"/>
        <w:rPr>
          <w:sz w:val="20"/>
          <w:szCs w:val="20"/>
          <w:color w:val="auto"/>
        </w:rPr>
      </w:pPr>
      <w:r>
        <w:rPr>
          <w:rFonts w:ascii="Arial" w:cs="Arial" w:eastAsia="Arial" w:hAnsi="Arial"/>
          <w:sz w:val="16"/>
          <w:szCs w:val="16"/>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79" w:lineRule="exact"/>
        <w:rPr>
          <w:sz w:val="20"/>
          <w:szCs w:val="20"/>
          <w:color w:val="auto"/>
        </w:rPr>
      </w:pPr>
    </w:p>
    <w:p>
      <w:pPr>
        <w:jc w:val="both"/>
        <w:ind w:firstLine="883"/>
        <w:spacing w:after="0" w:line="228" w:lineRule="auto"/>
        <w:rPr>
          <w:sz w:val="20"/>
          <w:szCs w:val="20"/>
          <w:color w:val="auto"/>
        </w:rPr>
      </w:pPr>
      <w:r>
        <w:rPr>
          <w:rFonts w:ascii="Arial" w:cs="Arial" w:eastAsia="Arial" w:hAnsi="Arial"/>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92" w:lineRule="exact"/>
        <w:rPr>
          <w:sz w:val="20"/>
          <w:szCs w:val="20"/>
          <w:color w:val="auto"/>
        </w:rPr>
      </w:pPr>
    </w:p>
    <w:p>
      <w:pPr>
        <w:ind w:right="160" w:firstLine="883"/>
        <w:spacing w:after="0" w:line="259" w:lineRule="auto"/>
        <w:rPr>
          <w:sz w:val="20"/>
          <w:szCs w:val="20"/>
          <w:color w:val="auto"/>
        </w:rPr>
      </w:pPr>
      <w:r>
        <w:rPr>
          <w:rFonts w:ascii="Arial" w:cs="Arial" w:eastAsia="Arial" w:hAnsi="Arial"/>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and Comprehensive Loss in the period the notice was received. To date there have been no interest or penalties charged.</w:t>
      </w:r>
    </w:p>
    <w:p>
      <w:pPr>
        <w:spacing w:after="0" w:line="186" w:lineRule="exact"/>
        <w:rPr>
          <w:sz w:val="20"/>
          <w:szCs w:val="20"/>
          <w:color w:val="auto"/>
        </w:rPr>
      </w:pPr>
    </w:p>
    <w:p>
      <w:pPr>
        <w:ind w:right="20" w:firstLine="883"/>
        <w:spacing w:after="0" w:line="253"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(Topic 740). ASU 2019-12 </w:t>
      </w:r>
      <w:r>
        <w:rPr>
          <w:rFonts w:ascii="Arial" w:cs="Arial" w:eastAsia="Arial" w:hAnsi="Arial"/>
          <w:sz w:val="18"/>
          <w:szCs w:val="18"/>
          <w:color w:val="auto"/>
        </w:rPr>
        <w:t>removes certain exceptions for performing intraperiod tax allocations, recognizing deferred taxes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calculating income taxes in interim periods. The guidance also simplifies the accounting for franchise taxes, transactions that result in a step-up in the tax basis of goodwill, and the effect of enacted changes in tax laws or rates in interim periods. The Company adopted ASU 2019-12 in 2021, which had no material impact to its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 Net Loss per Share</w:t>
      </w:r>
    </w:p>
    <w:p>
      <w:pPr>
        <w:spacing w:after="0" w:line="221" w:lineRule="exact"/>
        <w:rPr>
          <w:sz w:val="20"/>
          <w:szCs w:val="20"/>
          <w:color w:val="auto"/>
        </w:rPr>
      </w:pPr>
    </w:p>
    <w:p>
      <w:pPr>
        <w:jc w:val="both"/>
        <w:ind w:right="20" w:firstLine="883"/>
        <w:spacing w:after="0" w:line="307" w:lineRule="auto"/>
        <w:rPr>
          <w:sz w:val="20"/>
          <w:szCs w:val="20"/>
          <w:color w:val="auto"/>
        </w:rPr>
      </w:pPr>
      <w:r>
        <w:rPr>
          <w:rFonts w:ascii="Arial" w:cs="Arial" w:eastAsia="Arial" w:hAnsi="Arial"/>
          <w:sz w:val="16"/>
          <w:szCs w:val="16"/>
          <w:color w:val="auto"/>
        </w:rPr>
        <w:t>Basic net loss per share is calculated by dividing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w:t>
      </w:r>
    </w:p>
    <w:p>
      <w:pPr>
        <w:spacing w:after="0" w:line="150" w:lineRule="exact"/>
        <w:rPr>
          <w:sz w:val="20"/>
          <w:szCs w:val="20"/>
          <w:color w:val="auto"/>
        </w:rPr>
      </w:pPr>
    </w:p>
    <w:p>
      <w:pPr>
        <w:ind w:right="20" w:firstLine="883"/>
        <w:spacing w:after="0" w:line="288" w:lineRule="auto"/>
        <w:rPr>
          <w:sz w:val="20"/>
          <w:szCs w:val="20"/>
          <w:color w:val="auto"/>
        </w:rPr>
      </w:pPr>
      <w:r>
        <w:rPr>
          <w:rFonts w:ascii="Arial" w:cs="Arial" w:eastAsia="Arial" w:hAnsi="Arial"/>
          <w:sz w:val="16"/>
          <w:szCs w:val="16"/>
          <w:color w:val="auto"/>
        </w:rPr>
        <w:t>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Also, net income is attributed to both common stockholders and participating security holders, and therefore, net income is allocated to shares of common stock and participating securities, as if all of the earnings for the period had been distributed. Diluted earnings per share under the two-class method is calculated using the more dilutive of the treasury stock or the two-class method.</w:t>
      </w:r>
    </w:p>
    <w:p>
      <w:pPr>
        <w:spacing w:after="0" w:line="193" w:lineRule="exact"/>
        <w:rPr>
          <w:sz w:val="20"/>
          <w:szCs w:val="20"/>
          <w:color w:val="auto"/>
        </w:rPr>
      </w:pPr>
    </w:p>
    <w:p>
      <w:pPr>
        <w:ind w:right="500" w:firstLine="883"/>
        <w:spacing w:after="0" w:line="271" w:lineRule="auto"/>
        <w:rPr>
          <w:sz w:val="20"/>
          <w:szCs w:val="20"/>
          <w:color w:val="auto"/>
        </w:rPr>
      </w:pPr>
      <w:r>
        <w:rPr>
          <w:rFonts w:ascii="Arial" w:cs="Arial" w:eastAsia="Arial" w:hAnsi="Arial"/>
          <w:sz w:val="18"/>
          <w:szCs w:val="18"/>
          <w:color w:val="auto"/>
        </w:rPr>
        <w:t>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 Fair Value Measurements</w:t>
      </w:r>
    </w:p>
    <w:p>
      <w:pPr>
        <w:spacing w:after="0" w:line="221" w:lineRule="exact"/>
        <w:rPr>
          <w:sz w:val="20"/>
          <w:szCs w:val="20"/>
          <w:color w:val="auto"/>
        </w:rPr>
      </w:pPr>
    </w:p>
    <w:p>
      <w:pPr>
        <w:ind w:right="40" w:firstLine="883"/>
        <w:spacing w:after="0" w:line="252"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4" w:lineRule="exact"/>
        <w:rPr>
          <w:sz w:val="20"/>
          <w:szCs w:val="20"/>
          <w:color w:val="auto"/>
        </w:rPr>
      </w:pPr>
    </w:p>
    <w:p>
      <w:pPr>
        <w:ind w:left="1000" w:hanging="311"/>
        <w:spacing w:after="0"/>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Quoted prices (unadjusted) in active markets for identical assets or liabilities that are publicly accessible at the measurement date.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20" w:right="200" w:hanging="331"/>
        <w:spacing w:after="0" w:line="335" w:lineRule="auto"/>
        <w:tabs>
          <w:tab w:leader="none" w:pos="1015"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Observable prices that are based on inputs not quoted on active markets, but that are corroborated by market data. These inputs may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quoted prices for similar assets or liabilities or quoted market prices in markets that are not active to the general public.</w:t>
      </w:r>
    </w:p>
    <w:p>
      <w:pPr>
        <w:spacing w:after="0" w:line="128" w:lineRule="exact"/>
        <w:rPr>
          <w:rFonts w:ascii="Arial" w:cs="Arial" w:eastAsia="Arial" w:hAnsi="Arial"/>
          <w:sz w:val="16"/>
          <w:szCs w:val="16"/>
          <w:color w:val="auto"/>
        </w:rPr>
      </w:pPr>
    </w:p>
    <w:p>
      <w:pPr>
        <w:ind w:left="1020" w:right="740" w:hanging="331"/>
        <w:spacing w:after="0" w:line="271" w:lineRule="auto"/>
        <w:tabs>
          <w:tab w:leader="none" w:pos="101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75" w:lineRule="exact"/>
        <w:rPr>
          <w:sz w:val="20"/>
          <w:szCs w:val="20"/>
          <w:color w:val="auto"/>
        </w:rPr>
      </w:pPr>
    </w:p>
    <w:p>
      <w:pPr>
        <w:ind w:firstLine="883"/>
        <w:spacing w:after="0" w:line="259" w:lineRule="auto"/>
        <w:rPr>
          <w:sz w:val="20"/>
          <w:szCs w:val="20"/>
          <w:color w:val="auto"/>
        </w:rPr>
      </w:pPr>
      <w:r>
        <w:rPr>
          <w:rFonts w:ascii="Arial" w:cs="Arial" w:eastAsia="Arial" w:hAnsi="Arial"/>
          <w:sz w:val="18"/>
          <w:szCs w:val="18"/>
          <w:color w:val="auto"/>
        </w:rPr>
        <w:t xml:space="preserve">The carrying amounts for financial instruments consisting of cash and cash equivalents, accounts payable and accrued liabilities approximate fair value due to their short maturities. Equity investments from LianBio are carried at fair value based upon its closing stock price at each reporting period. Derivative instruments are carried at fair value based on unobservable market inputs (see </w:t>
      </w:r>
      <w:r>
        <w:rPr>
          <w:rFonts w:ascii="Arial" w:cs="Arial" w:eastAsia="Arial" w:hAnsi="Arial"/>
          <w:sz w:val="18"/>
          <w:szCs w:val="18"/>
          <w:i w:val="1"/>
          <w:iCs w:val="1"/>
          <w:color w:val="auto"/>
        </w:rPr>
        <w:t>Note 7</w:t>
      </w:r>
      <w:r>
        <w:rPr>
          <w:rFonts w:ascii="Arial" w:cs="Arial" w:eastAsia="Arial" w:hAnsi="Arial"/>
          <w:sz w:val="18"/>
          <w:szCs w:val="18"/>
          <w:color w:val="auto"/>
        </w:rPr>
        <w:t>).</w:t>
      </w:r>
    </w:p>
    <w:p>
      <w:pPr>
        <w:spacing w:after="0" w:line="186" w:lineRule="exact"/>
        <w:rPr>
          <w:sz w:val="20"/>
          <w:szCs w:val="20"/>
          <w:color w:val="auto"/>
        </w:rPr>
      </w:pPr>
    </w:p>
    <w:p>
      <w:pPr>
        <w:ind w:firstLine="883"/>
        <w:spacing w:after="0" w:line="255"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(xiii) Comprehensive Loss</w:t>
      </w:r>
    </w:p>
    <w:p>
      <w:pPr>
        <w:spacing w:after="0" w:line="221" w:lineRule="exact"/>
        <w:rPr>
          <w:sz w:val="20"/>
          <w:szCs w:val="20"/>
          <w:color w:val="auto"/>
        </w:rPr>
      </w:pPr>
    </w:p>
    <w:p>
      <w:pPr>
        <w:ind w:right="400" w:firstLine="883"/>
        <w:spacing w:after="0" w:line="271" w:lineRule="auto"/>
        <w:rPr>
          <w:sz w:val="20"/>
          <w:szCs w:val="20"/>
          <w:color w:val="auto"/>
        </w:rPr>
      </w:pPr>
      <w:r>
        <w:rPr>
          <w:rFonts w:ascii="Arial" w:cs="Arial" w:eastAsia="Arial" w:hAnsi="Arial"/>
          <w:sz w:val="18"/>
          <w:szCs w:val="18"/>
          <w:color w:val="auto"/>
        </w:rPr>
        <w:t>Comprehensive loss represents all changes in stockholders’ equity, except those resulting from distributions to stockholders. For all periods presented in the accompanying financial statements, comprehensive loss was the same as reported net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(xiv) Recently Issued or Effective Accounting Standards</w:t>
      </w:r>
    </w:p>
    <w:p>
      <w:pPr>
        <w:spacing w:after="0" w:line="221" w:lineRule="exact"/>
        <w:rPr>
          <w:sz w:val="20"/>
          <w:szCs w:val="20"/>
          <w:color w:val="auto"/>
        </w:rPr>
      </w:pPr>
    </w:p>
    <w:p>
      <w:pPr>
        <w:ind w:right="160" w:firstLine="883"/>
        <w:spacing w:after="0" w:line="255" w:lineRule="auto"/>
        <w:rPr>
          <w:sz w:val="20"/>
          <w:szCs w:val="20"/>
          <w:color w:val="auto"/>
        </w:rPr>
      </w:pPr>
      <w:r>
        <w:rPr>
          <w:rFonts w:ascii="Arial" w:cs="Arial" w:eastAsia="Arial" w:hAnsi="Arial"/>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and expected future financial position,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 DETAIL</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composition of selected captions within the accompanying balance sheets are summarized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Property and Equipment, Net</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consists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at cost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11"/>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40" w:firstLine="883"/>
        <w:spacing w:after="0" w:line="271" w:lineRule="auto"/>
        <w:rPr>
          <w:sz w:val="20"/>
          <w:szCs w:val="20"/>
          <w:color w:val="auto"/>
        </w:rPr>
      </w:pPr>
      <w:r>
        <w:rPr>
          <w:rFonts w:ascii="Arial" w:cs="Arial" w:eastAsia="Arial" w:hAnsi="Arial"/>
          <w:sz w:val="18"/>
          <w:szCs w:val="18"/>
          <w:color w:val="auto"/>
        </w:rPr>
        <w:t>Depreciation expense (included within “total operating expenses” in the accompanying Statements of Operations and Comprehensive Loss) for the years ended December 31, 2021 and 2020 was $0.3 million and $0.1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Other Assets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assets" consists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warrants (</w:t>
            </w:r>
            <w:r>
              <w:rPr>
                <w:rFonts w:ascii="Arial" w:cs="Arial" w:eastAsia="Arial" w:hAnsi="Arial"/>
                <w:sz w:val="16"/>
                <w:szCs w:val="16"/>
                <w:i w:val="1"/>
                <w:iCs w:val="1"/>
                <w:color w:val="auto"/>
              </w:rPr>
              <w:t>Note 7</w:t>
            </w:r>
            <w:r>
              <w:rPr>
                <w:rFonts w:ascii="Arial" w:cs="Arial" w:eastAsia="Arial" w:hAnsi="Arial"/>
                <w:sz w:val="16"/>
                <w:szCs w:val="16"/>
                <w:color w:val="auto"/>
              </w:rPr>
              <w:t>)</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Deposits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33</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48</w:t>
            </w:r>
          </w:p>
        </w:tc>
      </w:tr>
      <w:tr>
        <w:trPr>
          <w:trHeight w:val="205"/>
        </w:trPr>
        <w:tc>
          <w:tcPr>
            <w:tcW w:w="82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81</w:t>
            </w:r>
          </w:p>
        </w:tc>
      </w:tr>
      <w:tr>
        <w:trPr>
          <w:trHeight w:val="23"/>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Accounts Payable and Other Accrued Liabilities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payable and other accrued liabilities” consists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payable and other</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Operating lease liability, current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Contract liability</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Employee stock option pre-vesting exercise liability, current portion</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Other Long-Term Liabilities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long-term liabilities” consists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non-current</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Derivative liability</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 early exercise liability, non-current portion</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5"/>
        </w:trPr>
        <w:tc>
          <w:tcPr>
            <w:tcW w:w="828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w:t>
            </w:r>
          </w:p>
        </w:tc>
      </w:tr>
      <w:tr>
        <w:trPr>
          <w:trHeight w:val="23"/>
        </w:trPr>
        <w:tc>
          <w:tcPr>
            <w:tcW w:w="8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48" w:lineRule="exact"/>
        <w:rPr>
          <w:sz w:val="20"/>
          <w:szCs w:val="20"/>
          <w:color w:val="auto"/>
        </w:rPr>
      </w:pPr>
    </w:p>
    <w:p>
      <w:pPr>
        <w:ind w:right="140" w:firstLine="883"/>
        <w:spacing w:after="0" w:line="259" w:lineRule="auto"/>
        <w:rPr>
          <w:sz w:val="20"/>
          <w:szCs w:val="20"/>
          <w:color w:val="auto"/>
        </w:rPr>
      </w:pPr>
      <w:r>
        <w:rPr>
          <w:rFonts w:ascii="Arial" w:cs="Arial" w:eastAsia="Arial" w:hAnsi="Arial"/>
          <w:sz w:val="18"/>
          <w:szCs w:val="18"/>
          <w:color w:val="auto"/>
        </w:rPr>
        <w:t>Under the October 2020 Amended and Restated Certificate of Incorporation, the Company is authorized to issue two classes of stock: common and preferred. The total number of shares authorized for issuance is 200 million shares of common stock and 10.0 million shares of preferred stock. No preferred stock was issued and outstanding as of December 31, 2021 and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Overview and Reserve for Future Issuance</w:t>
      </w:r>
    </w:p>
    <w:p>
      <w:pPr>
        <w:spacing w:after="0" w:line="208" w:lineRule="exact"/>
        <w:rPr>
          <w:sz w:val="20"/>
          <w:szCs w:val="20"/>
          <w:color w:val="auto"/>
        </w:rPr>
      </w:pPr>
    </w:p>
    <w:p>
      <w:pPr>
        <w:ind w:right="120" w:firstLine="883"/>
        <w:spacing w:after="0" w:line="259" w:lineRule="auto"/>
        <w:rPr>
          <w:sz w:val="20"/>
          <w:szCs w:val="20"/>
          <w:color w:val="auto"/>
        </w:rPr>
      </w:pPr>
      <w:r>
        <w:rPr>
          <w:rFonts w:ascii="Arial" w:cs="Arial" w:eastAsia="Arial" w:hAnsi="Arial"/>
          <w:sz w:val="18"/>
          <w:szCs w:val="18"/>
          <w:color w:val="auto"/>
        </w:rPr>
        <w:t>Common stockholders have one vote for each share of common stock held and are entitled to receive any dividends declared by the Company’s Board of Directors when legally available for distribution, then-subject to the dividend rights of the holders of preferred stock. For the years ended December 31, 2021 and 2020, no dividends were declared.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firstLine="883"/>
        <w:spacing w:after="0" w:line="259" w:lineRule="auto"/>
        <w:rPr>
          <w:sz w:val="20"/>
          <w:szCs w:val="20"/>
          <w:color w:val="auto"/>
        </w:rPr>
      </w:pPr>
      <w:r>
        <w:rPr>
          <w:rFonts w:ascii="Arial" w:cs="Arial" w:eastAsia="Arial" w:hAnsi="Arial"/>
          <w:sz w:val="18"/>
          <w:szCs w:val="18"/>
          <w:color w:val="auto"/>
        </w:rPr>
        <w:t>As of December 31, 2021 and 2020, the Company had 20.7 million and 20.5 million common shares issued, respectively. At December 31, 2021 and 2020, the Company had 20.7 million and 20.3 million, common shares outstanding, respectively. The following shares of common stock were reserved for issuance: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200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awards reserved for future grant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9,266,200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9,414,091</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Common stock reserved for future issuance under the 2020 Employee Stock Purchase Plan</w:t>
            </w:r>
          </w:p>
        </w:tc>
        <w:tc>
          <w:tcPr>
            <w:tcW w:w="1420" w:type="dxa"/>
            <w:vAlign w:val="bottom"/>
          </w:tcPr>
          <w:p>
            <w:pPr>
              <w:jc w:val="right"/>
              <w:spacing w:after="0"/>
              <w:rPr>
                <w:sz w:val="20"/>
                <w:szCs w:val="20"/>
                <w:color w:val="auto"/>
              </w:rPr>
            </w:pPr>
            <w:r>
              <w:rPr>
                <w:rFonts w:ascii="Arial" w:cs="Arial" w:eastAsia="Arial" w:hAnsi="Arial"/>
                <w:sz w:val="16"/>
                <w:szCs w:val="16"/>
                <w:color w:val="auto"/>
              </w:rPr>
              <w:t>2,493,488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issued and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2,759,830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1,836,739</w:t>
            </w:r>
          </w:p>
        </w:tc>
      </w:tr>
      <w:tr>
        <w:trPr>
          <w:trHeight w:val="21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 units outstanding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shares of common stock reserved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14,536,769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11,250,830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1" w:lineRule="exact"/>
        <w:rPr>
          <w:sz w:val="20"/>
          <w:szCs w:val="20"/>
          <w:color w:val="auto"/>
        </w:rPr>
      </w:pPr>
    </w:p>
    <w:p>
      <w:pPr>
        <w:ind w:right="160" w:firstLine="883"/>
        <w:spacing w:after="0" w:line="297" w:lineRule="auto"/>
        <w:rPr>
          <w:sz w:val="20"/>
          <w:szCs w:val="20"/>
          <w:color w:val="auto"/>
        </w:rPr>
      </w:pPr>
      <w:r>
        <w:rPr>
          <w:rFonts w:ascii="Arial" w:cs="Arial" w:eastAsia="Arial" w:hAnsi="Arial"/>
          <w:sz w:val="16"/>
          <w:szCs w:val="16"/>
          <w:color w:val="auto"/>
        </w:rPr>
        <w:t xml:space="preserve">As of December 31, 2021, a total of $2.5 million shares of common stock are authorized and remain available for issuance under the employee stock purchase plan ("ESPP"). Beginning on January 1, 2021, and each January 1st thereafter, pursuant to the terms of the ESPP, the number of common stock available for issuance under the ESPP is automatically increased by an amount equal to the </w:t>
      </w:r>
      <w:r>
        <w:rPr>
          <w:rFonts w:ascii="Arial" w:cs="Arial" w:eastAsia="Arial" w:hAnsi="Arial"/>
          <w:sz w:val="16"/>
          <w:szCs w:val="16"/>
          <w:i w:val="1"/>
          <w:iCs w:val="1"/>
          <w:color w:val="auto"/>
        </w:rPr>
        <w:t>lesser of</w:t>
      </w:r>
      <w:r>
        <w:rPr>
          <w:rFonts w:ascii="Arial" w:cs="Arial" w:eastAsia="Arial" w:hAnsi="Arial"/>
          <w:sz w:val="16"/>
          <w:szCs w:val="16"/>
          <w:color w:val="auto"/>
        </w:rPr>
        <w:t xml:space="preserve"> (i) one percent of the total number of shares of common stock outstanding on the last day of the year, (ii) 2.5 million shares, or (iii) a number determined by 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and 2016 Equity Incentive Plan</w:t>
      </w:r>
    </w:p>
    <w:p>
      <w:pPr>
        <w:spacing w:after="0" w:line="221" w:lineRule="exact"/>
        <w:rPr>
          <w:sz w:val="20"/>
          <w:szCs w:val="20"/>
          <w:color w:val="auto"/>
        </w:rPr>
      </w:pPr>
    </w:p>
    <w:p>
      <w:pPr>
        <w:ind w:right="40" w:firstLine="642"/>
        <w:spacing w:after="0" w:line="252" w:lineRule="auto"/>
        <w:rPr>
          <w:sz w:val="20"/>
          <w:szCs w:val="20"/>
          <w:color w:val="auto"/>
        </w:rPr>
      </w:pPr>
      <w:r>
        <w:rPr>
          <w:rFonts w:ascii="Arial" w:cs="Arial" w:eastAsia="Arial" w:hAnsi="Arial"/>
          <w:sz w:val="18"/>
          <w:szCs w:val="18"/>
          <w:color w:val="auto"/>
        </w:rPr>
        <w:t>The Company's Board of Directors and stockholders adopted and approved the Company's 2020 Equity Incentive Plan (the “2020 Plan”) on October 8, 2020. The 2020 Plan replaced the Company's 2016 Equity Incentive Plan that was earlier adopted in December 2016 (the "2016 Plan"). However, awards outstanding under the 2016 Plan will continue to be governed by its original terms. The number of shares of the Company's common stock that were initially available for issuance under the 2020 Plan equaled the initial sum of 9,000,000 shares plus 2,432,980 shares that were then available for issuance under the 2016 Plan. The 2020 Plan provides for the following types of awards: incentive and non-statutory stock options, stock appreciation rights, restricted shares, and restricted stock units.</w:t>
      </w:r>
    </w:p>
    <w:p>
      <w:pPr>
        <w:spacing w:after="0" w:line="221" w:lineRule="exact"/>
        <w:rPr>
          <w:sz w:val="20"/>
          <w:szCs w:val="20"/>
          <w:color w:val="auto"/>
        </w:rPr>
      </w:pPr>
    </w:p>
    <w:p>
      <w:pPr>
        <w:ind w:right="20" w:firstLine="642"/>
        <w:spacing w:after="0" w:line="270" w:lineRule="auto"/>
        <w:rPr>
          <w:sz w:val="20"/>
          <w:szCs w:val="20"/>
          <w:color w:val="auto"/>
        </w:rPr>
      </w:pPr>
      <w:r>
        <w:rPr>
          <w:rFonts w:ascii="Arial" w:cs="Arial" w:eastAsia="Arial" w:hAnsi="Arial"/>
          <w:sz w:val="17"/>
          <w:szCs w:val="17"/>
          <w:color w:val="auto"/>
        </w:rPr>
        <w:t>The number of shares of common stock reserved for issuance under the 2020 Plan are increased automatically on the first business day of each fiscal year, commencing in 2021 and ending in 2030, by a number equal to the lesser of: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spacing w:after="0" w:line="178" w:lineRule="exact"/>
        <w:rPr>
          <w:sz w:val="20"/>
          <w:szCs w:val="20"/>
          <w:color w:val="auto"/>
        </w:rPr>
      </w:pPr>
    </w:p>
    <w:p>
      <w:pPr>
        <w:ind w:right="260" w:firstLine="883"/>
        <w:spacing w:after="0" w:line="255" w:lineRule="auto"/>
        <w:rPr>
          <w:sz w:val="20"/>
          <w:szCs w:val="20"/>
          <w:color w:val="auto"/>
        </w:rPr>
      </w:pPr>
      <w:r>
        <w:rPr>
          <w:rFonts w:ascii="Arial" w:cs="Arial" w:eastAsia="Arial" w:hAnsi="Arial"/>
          <w:sz w:val="18"/>
          <w:szCs w:val="18"/>
          <w:color w:val="auto"/>
        </w:rPr>
        <w:t>Stock-based awards are governed by agreements between the Company and the recipients. Incentive stock options and nonqualified stock options may be granted under the 2020 Plan (and previously the 2016 Plan) at an exercise price of not less than 100% of the fair market value of common stock on the respective date of grant. The grant date is the date the terms of the award are formally approved by the Company’s Board of Directors or its designee.</w:t>
      </w:r>
    </w:p>
    <w:p>
      <w:pPr>
        <w:spacing w:after="0" w:line="190" w:lineRule="exact"/>
        <w:rPr>
          <w:sz w:val="20"/>
          <w:szCs w:val="20"/>
          <w:color w:val="auto"/>
        </w:rPr>
      </w:pPr>
    </w:p>
    <w:p>
      <w:pPr>
        <w:ind w:right="60" w:firstLine="883"/>
        <w:spacing w:after="0" w:line="255" w:lineRule="auto"/>
        <w:rPr>
          <w:sz w:val="20"/>
          <w:szCs w:val="20"/>
          <w:color w:val="auto"/>
        </w:rPr>
      </w:pPr>
      <w:r>
        <w:rPr>
          <w:rFonts w:ascii="Arial" w:cs="Arial" w:eastAsia="Arial" w:hAnsi="Arial"/>
          <w:sz w:val="18"/>
          <w:szCs w:val="18"/>
          <w:color w:val="auto"/>
        </w:rPr>
        <w:t>Through December 31, 2021, all awards issued under the 2020 Plan and 2016 Plan were in the form of stock options and restricted stock units. These stock award agreements have service and/or performance conditions for vesting, unless immediately vested on the date of grant. Stock awards granted typically have one to four-year service conditions for full vesting. Any performance conditions for vesting are explicitly stated in each award agreement and are associated with clinical, business development, or operational milestones.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140" w:firstLine="883"/>
        <w:spacing w:after="0" w:line="259" w:lineRule="auto"/>
        <w:rPr>
          <w:sz w:val="20"/>
          <w:szCs w:val="20"/>
          <w:color w:val="auto"/>
        </w:rPr>
      </w:pPr>
      <w:r>
        <w:rPr>
          <w:rFonts w:ascii="Arial" w:cs="Arial" w:eastAsia="Arial" w:hAnsi="Arial"/>
          <w:sz w:val="18"/>
          <w:szCs w:val="18"/>
          <w:color w:val="auto"/>
        </w:rPr>
        <w:t>Stock options must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8" w:lineRule="exact"/>
        <w:rPr>
          <w:sz w:val="20"/>
          <w:szCs w:val="20"/>
          <w:color w:val="auto"/>
        </w:rPr>
      </w:pPr>
    </w:p>
    <w:p>
      <w:pPr>
        <w:ind w:right="60" w:firstLine="883"/>
        <w:spacing w:after="0" w:line="272" w:lineRule="auto"/>
        <w:rPr>
          <w:sz w:val="20"/>
          <w:szCs w:val="20"/>
          <w:color w:val="auto"/>
        </w:rPr>
      </w:pPr>
      <w:r>
        <w:rPr>
          <w:rFonts w:ascii="Arial" w:cs="Arial" w:eastAsia="Arial" w:hAnsi="Arial"/>
          <w:sz w:val="17"/>
          <w:szCs w:val="17"/>
          <w:color w:val="auto"/>
        </w:rPr>
        <w:t xml:space="preserve">Under the terms of the Company's 2020 Employee Stock Purchase Plan, eligible employees can purchase common stock through scheduled payroll deductions. The purchase price is equal to the closing price of the Company's common stock on the first or last day of the offering period (whichever is less), </w:t>
      </w:r>
      <w:r>
        <w:rPr>
          <w:rFonts w:ascii="Arial" w:cs="Arial" w:eastAsia="Arial" w:hAnsi="Arial"/>
          <w:sz w:val="17"/>
          <w:szCs w:val="17"/>
          <w:i w:val="1"/>
          <w:iCs w:val="1"/>
          <w:color w:val="auto"/>
        </w:rPr>
        <w:t>minus</w:t>
      </w:r>
      <w:r>
        <w:rPr>
          <w:rFonts w:ascii="Arial" w:cs="Arial" w:eastAsia="Arial" w:hAnsi="Arial"/>
          <w:sz w:val="17"/>
          <w:szCs w:val="17"/>
          <w:color w:val="auto"/>
        </w:rPr>
        <w:t xml:space="preserve"> a 15% discount. To determine the value of ESPP expense to be recognized during each offering period, the Black-Scholes option-pricing model is used, in combination with the discounted employee price. A participant may purchase a maximum of 3,000 shares of common stock during a six-month offering period, not to exceed $25,000 at full market value on the offering date during each ESPP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Summary</w:t>
      </w:r>
    </w:p>
    <w:p>
      <w:pPr>
        <w:spacing w:after="0" w:line="221" w:lineRule="exact"/>
        <w:rPr>
          <w:sz w:val="20"/>
          <w:szCs w:val="20"/>
          <w:color w:val="auto"/>
        </w:rPr>
      </w:pPr>
    </w:p>
    <w:p>
      <w:pPr>
        <w:jc w:val="both"/>
        <w:ind w:right="320" w:firstLine="883"/>
        <w:spacing w:after="0" w:line="259" w:lineRule="auto"/>
        <w:rPr>
          <w:sz w:val="20"/>
          <w:szCs w:val="20"/>
          <w:color w:val="auto"/>
        </w:rPr>
      </w:pPr>
      <w:r>
        <w:rPr>
          <w:rFonts w:ascii="Arial" w:cs="Arial" w:eastAsia="Arial" w:hAnsi="Arial"/>
          <w:sz w:val="18"/>
          <w:szCs w:val="18"/>
          <w:color w:val="auto"/>
        </w:rPr>
        <w:t>Stock-based compensation expense (inclusive of ESPP) is recorded in the accompanying Statements of Operations and Comprehensive Loss based on the designated department of the award recipient. Stock-based compensation expense for the years ended December 31, 2021 and 2020 was as follows:</w:t>
      </w:r>
    </w:p>
    <w:p>
      <w:pPr>
        <w:spacing w:after="0" w:line="206"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Year Ended</w:t>
      </w:r>
    </w:p>
    <w:p>
      <w:pPr>
        <w:jc w:val="center"/>
        <w:ind w:left="78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4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1"/>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r>
      <w:tr>
        <w:trPr>
          <w:trHeight w:val="23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1" w:lineRule="exact"/>
        <w:rPr>
          <w:sz w:val="20"/>
          <w:szCs w:val="20"/>
          <w:color w:val="auto"/>
        </w:rPr>
      </w:pPr>
    </w:p>
    <w:p>
      <w:pPr>
        <w:ind w:right="320" w:firstLine="883"/>
        <w:spacing w:after="0" w:line="271" w:lineRule="auto"/>
        <w:rPr>
          <w:sz w:val="20"/>
          <w:szCs w:val="20"/>
          <w:color w:val="auto"/>
        </w:rPr>
      </w:pPr>
      <w:r>
        <w:rPr>
          <w:rFonts w:ascii="Arial" w:cs="Arial" w:eastAsia="Arial" w:hAnsi="Arial"/>
          <w:sz w:val="18"/>
          <w:szCs w:val="18"/>
          <w:color w:val="auto"/>
        </w:rPr>
        <w:t>The grant-date fair value per share for restricted stock units was based upon the closing market price of the Company's common stock on the date preceding the award grant-date.</w:t>
      </w:r>
    </w:p>
    <w:p>
      <w:pPr>
        <w:spacing w:after="0" w:line="175" w:lineRule="exact"/>
        <w:rPr>
          <w:sz w:val="20"/>
          <w:szCs w:val="20"/>
          <w:color w:val="auto"/>
        </w:rPr>
      </w:pPr>
    </w:p>
    <w:p>
      <w:pPr>
        <w:ind w:right="640" w:firstLine="883"/>
        <w:spacing w:after="0" w:line="271" w:lineRule="auto"/>
        <w:rPr>
          <w:sz w:val="20"/>
          <w:szCs w:val="20"/>
          <w:color w:val="auto"/>
        </w:rPr>
      </w:pPr>
      <w:r>
        <w:rPr>
          <w:rFonts w:ascii="Arial" w:cs="Arial" w:eastAsia="Arial" w:hAnsi="Arial"/>
          <w:sz w:val="18"/>
          <w:szCs w:val="18"/>
          <w:color w:val="auto"/>
        </w:rPr>
        <w:t>The fair value of granted stock options was estimated as of the date of grant using the Black-Scholes option-pricing model, based on the following inputs: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3"/>
          </w:tcPr>
          <w:p>
            <w:pPr>
              <w:jc w:val="center"/>
              <w:ind w:left="723"/>
              <w:spacing w:after="0"/>
              <w:rPr>
                <w:sz w:val="20"/>
                <w:szCs w:val="20"/>
                <w:color w:val="auto"/>
              </w:rPr>
            </w:pPr>
            <w:r>
              <w:rPr>
                <w:rFonts w:ascii="Arial" w:cs="Arial" w:eastAsia="Arial" w:hAnsi="Arial"/>
                <w:sz w:val="14"/>
                <w:szCs w:val="14"/>
                <w:b w:val="1"/>
                <w:bCs w:val="1"/>
                <w:color w:val="auto"/>
                <w:w w:val="93"/>
              </w:rPr>
              <w:t>Year Ended</w:t>
            </w:r>
          </w:p>
        </w:tc>
        <w:tc>
          <w:tcPr>
            <w:tcW w:w="1220" w:type="dxa"/>
            <w:vAlign w:val="bottom"/>
          </w:tcPr>
          <w:p>
            <w:pPr>
              <w:spacing w:after="0"/>
              <w:rPr>
                <w:sz w:val="14"/>
                <w:szCs w:val="14"/>
                <w:color w:val="auto"/>
              </w:rPr>
            </w:pPr>
          </w:p>
        </w:tc>
      </w:tr>
      <w:tr>
        <w:trPr>
          <w:trHeight w:val="186"/>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723"/>
              <w:spacing w:after="0"/>
              <w:rPr>
                <w:sz w:val="20"/>
                <w:szCs w:val="20"/>
                <w:color w:val="auto"/>
              </w:rPr>
            </w:pPr>
            <w:r>
              <w:rPr>
                <w:rFonts w:ascii="Arial" w:cs="Arial" w:eastAsia="Arial" w:hAnsi="Arial"/>
                <w:sz w:val="14"/>
                <w:szCs w:val="14"/>
                <w:b w:val="1"/>
                <w:bCs w:val="1"/>
                <w:color w:val="auto"/>
                <w:w w:val="92"/>
              </w:rPr>
              <w:t>December 31,</w:t>
            </w:r>
          </w:p>
        </w:tc>
        <w:tc>
          <w:tcPr>
            <w:tcW w:w="1220" w:type="dxa"/>
            <w:vAlign w:val="bottom"/>
            <w:tcBorders>
              <w:bottom w:val="single" w:sz="8" w:color="auto"/>
            </w:tcBorders>
          </w:tcPr>
          <w:p>
            <w:pPr>
              <w:spacing w:after="0"/>
              <w:rPr>
                <w:sz w:val="16"/>
                <w:szCs w:val="16"/>
                <w:color w:val="auto"/>
              </w:rPr>
            </w:pPr>
          </w:p>
        </w:tc>
      </w:tr>
      <w:tr>
        <w:trPr>
          <w:trHeight w:val="181"/>
        </w:trPr>
        <w:tc>
          <w:tcPr>
            <w:tcW w:w="76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r>
      <w:tr>
        <w:trPr>
          <w:trHeight w:val="20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price (estimated fair value per common share on grant date)</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$21.40 to $47.25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to $10.99</w:t>
            </w:r>
          </w:p>
        </w:tc>
      </w:tr>
      <w:tr>
        <w:trPr>
          <w:trHeight w:val="211"/>
        </w:trPr>
        <w:tc>
          <w:tcPr>
            <w:tcW w:w="76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0.66% to 1.37%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 to 0.47%</w:t>
            </w:r>
          </w:p>
        </w:tc>
      </w:tr>
      <w:tr>
        <w:trPr>
          <w:trHeight w:val="211"/>
        </w:trPr>
        <w:tc>
          <w:tcPr>
            <w:tcW w:w="76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64.8% to 69.4%</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70.1% to 71.2%</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Weighted-average grant-date fair value per stock option</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38.06</w:t>
            </w:r>
          </w:p>
        </w:tc>
        <w:tc>
          <w:tcPr>
            <w:tcW w:w="12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4.16</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Stock option activity during the years ended December 31, 2021 and 2020 was as follows: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4"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4" w:lineRule="exact"/>
              <w:rPr>
                <w:sz w:val="20"/>
                <w:szCs w:val="20"/>
                <w:color w:val="auto"/>
              </w:rPr>
            </w:pPr>
            <w:r>
              <w:rPr>
                <w:rFonts w:ascii="Arial" w:cs="Arial" w:eastAsia="Arial" w:hAnsi="Arial"/>
                <w:sz w:val="14"/>
                <w:szCs w:val="14"/>
                <w:b w:val="1"/>
                <w:bCs w:val="1"/>
                <w:color w:val="auto"/>
                <w:w w:val="86"/>
              </w:rPr>
              <w:t>Exercise</w:t>
            </w:r>
          </w:p>
        </w:tc>
        <w:tc>
          <w:tcPr>
            <w:tcW w:w="152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80" w:type="dxa"/>
            <w:vAlign w:val="bottom"/>
          </w:tcPr>
          <w:p>
            <w:pPr>
              <w:jc w:val="center"/>
              <w:ind w:right="183"/>
              <w:spacing w:after="0" w:line="13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Price/Share</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(Years)</w:t>
            </w:r>
          </w:p>
        </w:tc>
        <w:tc>
          <w:tcPr>
            <w:tcW w:w="260" w:type="dxa"/>
            <w:vAlign w:val="bottom"/>
          </w:tcPr>
          <w:p>
            <w:pPr>
              <w:spacing w:after="0"/>
              <w:rPr>
                <w:sz w:val="16"/>
                <w:szCs w:val="16"/>
                <w:color w:val="auto"/>
              </w:rPr>
            </w:pPr>
          </w:p>
        </w:tc>
        <w:tc>
          <w:tcPr>
            <w:tcW w:w="1180" w:type="dxa"/>
            <w:vAlign w:val="bottom"/>
          </w:tcPr>
          <w:p>
            <w:pPr>
              <w:jc w:val="center"/>
              <w:ind w:right="183"/>
              <w:spacing w:after="0" w:line="188" w:lineRule="exact"/>
              <w:rPr>
                <w:sz w:val="20"/>
                <w:szCs w:val="20"/>
                <w:color w:val="auto"/>
              </w:rPr>
            </w:pPr>
            <w:r>
              <w:rPr>
                <w:rFonts w:ascii="Arial" w:cs="Arial" w:eastAsia="Arial" w:hAnsi="Arial"/>
                <w:sz w:val="14"/>
                <w:szCs w:val="14"/>
                <w:b w:val="1"/>
                <w:bCs w:val="1"/>
                <w:color w:val="auto"/>
                <w:w w:val="85"/>
              </w:rPr>
              <w:t xml:space="preserve">Value </w:t>
            </w:r>
            <w:r>
              <w:rPr>
                <w:rFonts w:ascii="Arial" w:cs="Arial" w:eastAsia="Arial" w:hAnsi="Arial"/>
                <w:sz w:val="18"/>
                <w:szCs w:val="18"/>
                <w:b w:val="1"/>
                <w:bCs w:val="1"/>
                <w:color w:val="auto"/>
                <w:w w:val="85"/>
                <w:vertAlign w:val="superscript"/>
              </w:rPr>
              <w:t>(1)</w:t>
            </w:r>
          </w:p>
        </w:tc>
        <w:tc>
          <w:tcPr>
            <w:tcW w:w="0" w:type="dxa"/>
            <w:vAlign w:val="bottom"/>
          </w:tcPr>
          <w:p>
            <w:pPr>
              <w:spacing w:after="0"/>
              <w:rPr>
                <w:sz w:val="1"/>
                <w:szCs w:val="1"/>
                <w:color w:val="auto"/>
              </w:rPr>
            </w:pPr>
          </w:p>
        </w:tc>
      </w:tr>
      <w:tr>
        <w:trPr>
          <w:trHeight w:val="207"/>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297,142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1"/>
        </w:trPr>
        <w:tc>
          <w:tcPr>
            <w:tcW w:w="4780" w:type="dxa"/>
            <w:vAlign w:val="bottom"/>
          </w:tcPr>
          <w:p>
            <w:pPr>
              <w:ind w:left="34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1,741,384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(197,179)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8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(4,608)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Expired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tcPr>
          <w:p>
            <w:pPr>
              <w:ind w:left="20"/>
              <w:spacing w:after="0"/>
              <w:rPr>
                <w:sz w:val="20"/>
                <w:szCs w:val="20"/>
                <w:color w:val="auto"/>
              </w:rPr>
            </w:pPr>
            <w:r>
              <w:rPr>
                <w:rFonts w:ascii="Arial" w:cs="Arial" w:eastAsia="Arial" w:hAnsi="Arial"/>
                <w:sz w:val="16"/>
                <w:szCs w:val="16"/>
                <w:color w:val="auto"/>
              </w:rPr>
              <w:t>Outstanding - December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1,836,739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68,981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tcPr>
          <w:p>
            <w:pPr>
              <w:ind w:left="340"/>
              <w:spacing w:after="0"/>
              <w:rPr>
                <w:sz w:val="20"/>
                <w:szCs w:val="20"/>
                <w:color w:val="auto"/>
              </w:rPr>
            </w:pPr>
            <w:r>
              <w:rPr>
                <w:rFonts w:ascii="Arial" w:cs="Arial" w:eastAsia="Arial" w:hAnsi="Arial"/>
                <w:sz w:val="16"/>
                <w:szCs w:val="16"/>
                <w:color w:val="auto"/>
              </w:rPr>
              <w:t>Exercised</w:t>
            </w:r>
          </w:p>
        </w:tc>
        <w:tc>
          <w:tcPr>
            <w:tcW w:w="1440" w:type="dxa"/>
            <w:vAlign w:val="bottom"/>
          </w:tcPr>
          <w:p>
            <w:pPr>
              <w:jc w:val="right"/>
              <w:spacing w:after="0"/>
              <w:rPr>
                <w:sz w:val="20"/>
                <w:szCs w:val="20"/>
                <w:color w:val="auto"/>
              </w:rPr>
            </w:pPr>
            <w:r>
              <w:rPr>
                <w:rFonts w:ascii="Arial" w:cs="Arial" w:eastAsia="Arial" w:hAnsi="Arial"/>
                <w:sz w:val="16"/>
                <w:szCs w:val="16"/>
                <w:color w:val="auto"/>
              </w:rPr>
              <w:t>(24,959)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tcPr>
          <w:p>
            <w:pPr>
              <w:ind w:left="340"/>
              <w:spacing w:after="0"/>
              <w:rPr>
                <w:sz w:val="20"/>
                <w:szCs w:val="20"/>
                <w:color w:val="auto"/>
              </w:rPr>
            </w:pPr>
            <w:r>
              <w:rPr>
                <w:rFonts w:ascii="Arial" w:cs="Arial" w:eastAsia="Arial" w:hAnsi="Arial"/>
                <w:sz w:val="16"/>
                <w:szCs w:val="16"/>
                <w:color w:val="auto"/>
              </w:rPr>
              <w:t>Expired</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2021</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2,759,830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 December 31, 2021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8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889,458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16,339</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1,898,212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320" w:right="120" w:hanging="313"/>
        <w:spacing w:after="0" w:line="289" w:lineRule="auto"/>
        <w:tabs>
          <w:tab w:leader="none" w:pos="312"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Represents the total </w:t>
      </w:r>
      <w:r>
        <w:rPr>
          <w:rFonts w:ascii="Arial" w:cs="Arial" w:eastAsia="Arial" w:hAnsi="Arial"/>
          <w:sz w:val="13"/>
          <w:szCs w:val="13"/>
          <w:i w:val="1"/>
          <w:iCs w:val="1"/>
          <w:color w:val="auto"/>
        </w:rPr>
        <w:t>difference</w:t>
      </w:r>
      <w:r>
        <w:rPr>
          <w:rFonts w:ascii="Arial" w:cs="Arial" w:eastAsia="Arial" w:hAnsi="Arial"/>
          <w:sz w:val="13"/>
          <w:szCs w:val="13"/>
          <w:color w:val="auto"/>
        </w:rPr>
        <w:t xml:space="preserve"> between the estimated stock price fair value as of December 31, 2021 and the stock option exercise price,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number of in-the-money options as of December 31, 2021. The amount of any intrinsic value will change in relation to any increases or decreases in the then-determined fair value of the Company’s common stock.</w:t>
      </w:r>
    </w:p>
    <w:p>
      <w:pPr>
        <w:spacing w:after="0" w:line="167" w:lineRule="exact"/>
        <w:rPr>
          <w:sz w:val="20"/>
          <w:szCs w:val="20"/>
          <w:color w:val="auto"/>
        </w:rPr>
      </w:pPr>
    </w:p>
    <w:p>
      <w:pPr>
        <w:ind w:right="160" w:firstLine="883"/>
        <w:spacing w:after="0" w:line="271" w:lineRule="auto"/>
        <w:rPr>
          <w:sz w:val="20"/>
          <w:szCs w:val="20"/>
          <w:color w:val="auto"/>
        </w:rPr>
      </w:pPr>
      <w:r>
        <w:rPr>
          <w:rFonts w:ascii="Arial" w:cs="Arial" w:eastAsia="Arial" w:hAnsi="Arial"/>
          <w:sz w:val="18"/>
          <w:szCs w:val="18"/>
          <w:color w:val="auto"/>
        </w:rPr>
        <w:t>The total grant-date fair value of options that vested during the years ended December 31, 2021 and 2020 was $16.3 million and $12.7 million,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information with respect to stock option grants as of December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Exercisable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Granted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Granted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1380" w:type="dxa"/>
            <w:vAlign w:val="bottom"/>
            <w:gridSpan w:val="2"/>
          </w:tcPr>
          <w:p>
            <w:pPr>
              <w:jc w:val="center"/>
              <w:ind w:right="80"/>
              <w:spacing w:after="0" w:line="134"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13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80"/>
              <w:spacing w:after="0" w:line="134"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80" w:type="dxa"/>
            <w:vAlign w:val="bottom"/>
            <w:gridSpan w:val="2"/>
          </w:tcPr>
          <w:p>
            <w:pPr>
              <w:jc w:val="center"/>
              <w:ind w:right="80"/>
              <w:spacing w:after="0" w:line="134" w:lineRule="exact"/>
              <w:rPr>
                <w:sz w:val="20"/>
                <w:szCs w:val="20"/>
                <w:color w:val="auto"/>
              </w:rPr>
            </w:pPr>
            <w:r>
              <w:rPr>
                <w:rFonts w:ascii="Arial" w:cs="Arial" w:eastAsia="Arial" w:hAnsi="Arial"/>
                <w:sz w:val="14"/>
                <w:szCs w:val="14"/>
                <w:b w:val="1"/>
                <w:bCs w:val="1"/>
                <w:color w:val="auto"/>
                <w:w w:val="92"/>
              </w:rPr>
              <w:t>Remaining</w:t>
            </w:r>
          </w:p>
        </w:tc>
        <w:tc>
          <w:tcPr>
            <w:tcW w:w="140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4"/>
        </w:trPr>
        <w:tc>
          <w:tcPr>
            <w:tcW w:w="298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Exercise Price</w:t>
            </w:r>
          </w:p>
        </w:tc>
        <w:tc>
          <w:tcPr>
            <w:tcW w:w="138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1"/>
                <w:szCs w:val="11"/>
                <w:color w:val="auto"/>
              </w:rPr>
            </w:pPr>
          </w:p>
        </w:tc>
        <w:tc>
          <w:tcPr>
            <w:tcW w:w="1200" w:type="dxa"/>
            <w:vAlign w:val="bottom"/>
            <w:gridSpan w:val="2"/>
          </w:tcPr>
          <w:p>
            <w:pPr>
              <w:jc w:val="center"/>
              <w:ind w:right="280"/>
              <w:spacing w:after="0" w:line="134" w:lineRule="exact"/>
              <w:rPr>
                <w:sz w:val="20"/>
                <w:szCs w:val="20"/>
                <w:color w:val="auto"/>
              </w:rPr>
            </w:pPr>
            <w:r>
              <w:rPr>
                <w:rFonts w:ascii="Arial" w:cs="Arial" w:eastAsia="Arial" w:hAnsi="Arial"/>
                <w:sz w:val="14"/>
                <w:szCs w:val="14"/>
                <w:b w:val="1"/>
                <w:bCs w:val="1"/>
                <w:color w:val="auto"/>
                <w:w w:val="95"/>
              </w:rPr>
              <w:t>Intrinsic</w:t>
            </w:r>
          </w:p>
        </w:tc>
        <w:tc>
          <w:tcPr>
            <w:tcW w:w="1380" w:type="dxa"/>
            <w:vAlign w:val="bottom"/>
            <w:gridSpan w:val="2"/>
          </w:tcPr>
          <w:p>
            <w:pPr>
              <w:jc w:val="center"/>
              <w:ind w:right="80"/>
              <w:spacing w:after="0" w:line="134" w:lineRule="exact"/>
              <w:rPr>
                <w:sz w:val="20"/>
                <w:szCs w:val="20"/>
                <w:color w:val="auto"/>
              </w:rPr>
            </w:pPr>
            <w:r>
              <w:rPr>
                <w:rFonts w:ascii="Arial" w:cs="Arial" w:eastAsia="Arial" w:hAnsi="Arial"/>
                <w:sz w:val="14"/>
                <w:szCs w:val="14"/>
                <w:b w:val="1"/>
                <w:bCs w:val="1"/>
                <w:color w:val="auto"/>
                <w:w w:val="95"/>
              </w:rPr>
              <w:t>Contractual</w:t>
            </w:r>
          </w:p>
        </w:tc>
        <w:tc>
          <w:tcPr>
            <w:tcW w:w="1400" w:type="dxa"/>
            <w:vAlign w:val="bottom"/>
            <w:gridSpan w:val="2"/>
          </w:tcPr>
          <w:p>
            <w:pPr>
              <w:jc w:val="center"/>
              <w:ind w:right="80"/>
              <w:spacing w:after="0" w:line="134"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4" w:lineRule="exact"/>
              <w:rPr>
                <w:sz w:val="20"/>
                <w:szCs w:val="20"/>
                <w:color w:val="auto"/>
              </w:rPr>
            </w:pPr>
            <w:r>
              <w:rPr>
                <w:rFonts w:ascii="Arial" w:cs="Arial" w:eastAsia="Arial" w:hAnsi="Arial"/>
                <w:sz w:val="14"/>
                <w:szCs w:val="14"/>
                <w:b w:val="1"/>
                <w:bCs w:val="1"/>
                <w:color w:val="auto"/>
                <w:w w:val="95"/>
              </w:rPr>
              <w:t>Intrinsic</w:t>
            </w:r>
          </w:p>
        </w:tc>
        <w:tc>
          <w:tcPr>
            <w:tcW w:w="13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6"/>
        </w:trPr>
        <w:tc>
          <w:tcPr>
            <w:tcW w:w="298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Exercisable</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08"/>
        </w:trPr>
        <w:tc>
          <w:tcPr>
            <w:tcW w:w="2880" w:type="dxa"/>
            <w:vAlign w:val="bottom"/>
            <w:tcBorders>
              <w:top w:val="single" w:sz="8" w:color="auto"/>
            </w:tcBorders>
            <w:shd w:val="clear" w:color="auto" w:fill="CCEEFF"/>
          </w:tcPr>
          <w:p>
            <w:pPr>
              <w:jc w:val="right"/>
              <w:ind w:right="1761"/>
              <w:spacing w:after="0"/>
              <w:rPr>
                <w:sz w:val="20"/>
                <w:szCs w:val="20"/>
                <w:color w:val="auto"/>
              </w:rPr>
            </w:pPr>
            <w:r>
              <w:rPr>
                <w:rFonts w:ascii="Arial" w:cs="Arial" w:eastAsia="Arial" w:hAnsi="Arial"/>
                <w:sz w:val="16"/>
                <w:szCs w:val="16"/>
                <w:color w:val="auto"/>
                <w:w w:val="90"/>
              </w:rPr>
              <w:t>$0.001 - $2.005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260,549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227,930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5,064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11"/>
        </w:trPr>
        <w:tc>
          <w:tcPr>
            <w:tcW w:w="2880" w:type="dxa"/>
            <w:vAlign w:val="bottom"/>
          </w:tcPr>
          <w:p>
            <w:pPr>
              <w:jc w:val="right"/>
              <w:ind w:right="1761"/>
              <w:spacing w:after="0"/>
              <w:rPr>
                <w:sz w:val="20"/>
                <w:szCs w:val="20"/>
                <w:color w:val="auto"/>
              </w:rPr>
            </w:pPr>
            <w:r>
              <w:rPr>
                <w:rFonts w:ascii="Arial" w:cs="Arial" w:eastAsia="Arial" w:hAnsi="Arial"/>
                <w:sz w:val="16"/>
                <w:szCs w:val="16"/>
                <w:color w:val="auto"/>
                <w:w w:val="90"/>
              </w:rPr>
              <w:t>$2.006 - $10.99</w:t>
            </w:r>
          </w:p>
        </w:tc>
        <w:tc>
          <w:tcPr>
            <w:tcW w:w="1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1,131,109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23,181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8.34</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490,059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10,043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jc w:val="right"/>
              <w:ind w:right="1761"/>
              <w:spacing w:after="0"/>
              <w:rPr>
                <w:sz w:val="20"/>
                <w:szCs w:val="20"/>
                <w:color w:val="auto"/>
              </w:rPr>
            </w:pPr>
            <w:r>
              <w:rPr>
                <w:rFonts w:ascii="Arial" w:cs="Arial" w:eastAsia="Arial" w:hAnsi="Arial"/>
                <w:sz w:val="16"/>
                <w:szCs w:val="16"/>
                <w:color w:val="auto"/>
                <w:w w:val="90"/>
              </w:rPr>
              <w:t>$11.00 - $23.53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527,041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1"/>
        </w:trPr>
        <w:tc>
          <w:tcPr>
            <w:tcW w:w="2880" w:type="dxa"/>
            <w:vAlign w:val="bottom"/>
          </w:tcPr>
          <w:p>
            <w:pPr>
              <w:jc w:val="right"/>
              <w:ind w:right="1761"/>
              <w:spacing w:after="0"/>
              <w:rPr>
                <w:sz w:val="20"/>
                <w:szCs w:val="20"/>
                <w:color w:val="auto"/>
              </w:rPr>
            </w:pPr>
            <w:r>
              <w:rPr>
                <w:rFonts w:ascii="Arial" w:cs="Arial" w:eastAsia="Arial" w:hAnsi="Arial"/>
                <w:sz w:val="16"/>
                <w:szCs w:val="16"/>
                <w:color w:val="auto"/>
                <w:w w:val="90"/>
              </w:rPr>
              <w:t>$23.54 - $35.67</w:t>
            </w:r>
          </w:p>
        </w:tc>
        <w:tc>
          <w:tcPr>
            <w:tcW w:w="1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292,500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9.44</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jc w:val="right"/>
              <w:ind w:right="1761"/>
              <w:spacing w:after="0"/>
              <w:rPr>
                <w:sz w:val="20"/>
                <w:szCs w:val="20"/>
                <w:color w:val="auto"/>
              </w:rPr>
            </w:pPr>
            <w:r>
              <w:rPr>
                <w:rFonts w:ascii="Arial" w:cs="Arial" w:eastAsia="Arial" w:hAnsi="Arial"/>
                <w:sz w:val="16"/>
                <w:szCs w:val="16"/>
                <w:color w:val="auto"/>
                <w:w w:val="90"/>
              </w:rPr>
              <w:t>$35.68 - $47.25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548,631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7"/>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2,759,830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33,641</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889,458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16,339</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3"/>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480" w:firstLine="883"/>
        <w:spacing w:after="0" w:line="259" w:lineRule="auto"/>
        <w:rPr>
          <w:sz w:val="20"/>
          <w:szCs w:val="20"/>
          <w:color w:val="auto"/>
        </w:rPr>
      </w:pPr>
      <w:r>
        <w:rPr>
          <w:rFonts w:ascii="Arial" w:cs="Arial" w:eastAsia="Arial" w:hAnsi="Arial"/>
          <w:sz w:val="18"/>
          <w:szCs w:val="18"/>
          <w:color w:val="auto"/>
        </w:rPr>
        <w:t>For the year ended December 31, 2021, the Company recorded stock-based compensation expense for stock options of $8.3 million. As of December 31, 2021, there was unrecognized compensation expense of $21.0 million related to unvested stock options, which the Company expects to recognize over a weighted average period of 2.7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Pre-Vesting Exercise Feature of Certain Stock Options</w:t>
      </w:r>
    </w:p>
    <w:p>
      <w:pPr>
        <w:spacing w:after="0" w:line="221" w:lineRule="exact"/>
        <w:rPr>
          <w:sz w:val="20"/>
          <w:szCs w:val="20"/>
          <w:color w:val="auto"/>
        </w:rPr>
      </w:pPr>
    </w:p>
    <w:p>
      <w:pPr>
        <w:ind w:right="80" w:firstLine="883"/>
        <w:spacing w:after="0" w:line="272" w:lineRule="auto"/>
        <w:rPr>
          <w:sz w:val="20"/>
          <w:szCs w:val="20"/>
          <w:color w:val="auto"/>
        </w:rPr>
      </w:pPr>
      <w:r>
        <w:rPr>
          <w:rFonts w:ascii="Arial" w:cs="Arial" w:eastAsia="Arial" w:hAnsi="Arial"/>
          <w:sz w:val="17"/>
          <w:szCs w:val="17"/>
          <w:color w:val="auto"/>
        </w:rPr>
        <w:t>The 2016 Plan permitted certain option holders to exercise awarded options prior to vesting. Upon this early exercise, the options became subject to a restricted stock agreement and remain subject to the same vesting provisions in the corresponding stock option award. These unvested options are subject to repurchase by the Company upon employee termination at the same price exercised. These unvested shares of common stock are reported as issued (but not outstanding) on the accompanying Consolidated Balance Sheets while subject to repurchase by the Company. These shares are also excluded from the basic net loss per share calculation until the repurchase right lapses upon vesting.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firstLine="883"/>
        <w:spacing w:after="0" w:line="281" w:lineRule="auto"/>
        <w:rPr>
          <w:sz w:val="20"/>
          <w:szCs w:val="20"/>
          <w:color w:val="auto"/>
        </w:rPr>
      </w:pPr>
      <w:r>
        <w:rPr>
          <w:rFonts w:ascii="Arial" w:cs="Arial" w:eastAsia="Arial" w:hAnsi="Arial"/>
          <w:sz w:val="17"/>
          <w:szCs w:val="17"/>
          <w:color w:val="auto"/>
        </w:rPr>
        <w:t>The Company initially records a liability for these early exercises that is subsequently reclassified into stockholders’ equity on a pro rata basis as vesting occurs. As of December 31, 2021 and December 31, 2020, the Company recorded the unvested portion of the exercise proceeds of $0.1 million and $0.4 million, respectively, as a liability from pre-vesting exercises in the accompanying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Restricted stock unit activity during the year ended December 31, 2021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left="509"/>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5"/>
              </w:rPr>
              <w:t>Weighted Average Value per</w:t>
            </w:r>
          </w:p>
        </w:tc>
      </w:tr>
      <w:tr>
        <w:trPr>
          <w:trHeight w:val="186"/>
        </w:trPr>
        <w:tc>
          <w:tcPr>
            <w:tcW w:w="7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509"/>
              <w:spacing w:after="0"/>
              <w:rPr>
                <w:sz w:val="20"/>
                <w:szCs w:val="20"/>
                <w:color w:val="auto"/>
              </w:rPr>
            </w:pPr>
            <w:r>
              <w:rPr>
                <w:rFonts w:ascii="Arial" w:cs="Arial" w:eastAsia="Arial" w:hAnsi="Arial"/>
                <w:sz w:val="14"/>
                <w:szCs w:val="14"/>
                <w:b w:val="1"/>
                <w:bCs w:val="1"/>
                <w:color w:val="auto"/>
                <w:w w:val="89"/>
              </w:rPr>
              <w:t>Shares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Share at Grant Date</w:t>
            </w:r>
          </w:p>
        </w:tc>
      </w:tr>
      <w:tr>
        <w:trPr>
          <w:trHeight w:val="208"/>
        </w:trPr>
        <w:tc>
          <w:tcPr>
            <w:tcW w:w="8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 December 31, 2020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680" w:type="dxa"/>
            <w:vAlign w:val="bottom"/>
            <w:gridSpan w:val="3"/>
          </w:tcPr>
          <w:p>
            <w:pPr>
              <w:ind w:left="20"/>
              <w:spacing w:after="0"/>
              <w:rPr>
                <w:sz w:val="20"/>
                <w:szCs w:val="20"/>
                <w:color w:val="auto"/>
              </w:rPr>
            </w:pPr>
            <w:r>
              <w:rPr>
                <w:rFonts w:ascii="Arial" w:cs="Arial" w:eastAsia="Arial" w:hAnsi="Arial"/>
                <w:sz w:val="16"/>
                <w:szCs w:val="16"/>
                <w:color w:val="auto"/>
              </w:rPr>
              <w:t>Granted</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17,251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27.53</w:t>
            </w:r>
          </w:p>
        </w:tc>
      </w:tr>
      <w:tr>
        <w:trPr>
          <w:trHeight w:val="232"/>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 December 31, 2021</w:t>
            </w:r>
          </w:p>
        </w:tc>
        <w:tc>
          <w:tcPr>
            <w:tcW w:w="13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60" w:firstLine="883"/>
        <w:spacing w:after="0" w:line="335" w:lineRule="auto"/>
        <w:rPr>
          <w:sz w:val="20"/>
          <w:szCs w:val="20"/>
          <w:color w:val="auto"/>
        </w:rPr>
      </w:pPr>
      <w:r>
        <w:rPr>
          <w:rFonts w:ascii="Arial" w:cs="Arial" w:eastAsia="Arial" w:hAnsi="Arial"/>
          <w:sz w:val="16"/>
          <w:szCs w:val="16"/>
          <w:color w:val="auto"/>
        </w:rPr>
        <w:t>For the year ended December 31, 2021, the Company recorded stock-based compensation expense for restricted stock units of $0.1 million. As of December 31, 2021, there was approximately $0.4 million of unrecorded expense that will be recognized over a weighted average period of 1.7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w:t>
            </w:r>
            <w:r>
              <w:rPr>
                <w:rFonts w:ascii="Arial" w:cs="Arial" w:eastAsia="Arial" w:hAnsi="Arial"/>
                <w:sz w:val="16"/>
                <w:szCs w:val="16"/>
                <w:i w:val="1"/>
                <w:iCs w:val="1"/>
                <w:color w:val="auto"/>
              </w:rPr>
              <w:t>in thousands</w:t>
            </w:r>
            <w:r>
              <w:rPr>
                <w:rFonts w:ascii="Arial" w:cs="Arial" w:eastAsia="Arial" w:hAnsi="Arial"/>
                <w:sz w:val="16"/>
                <w:szCs w:val="16"/>
                <w:color w:val="auto"/>
              </w:rPr>
              <w:t>)</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Weighted-average shares—basic and 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20,554,086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6,207,367</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share—basic and diluted</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bl>
    <w:p>
      <w:pPr>
        <w:spacing w:after="0" w:line="280" w:lineRule="exact"/>
        <w:rPr>
          <w:sz w:val="20"/>
          <w:szCs w:val="20"/>
          <w:color w:val="auto"/>
        </w:rPr>
      </w:pPr>
    </w:p>
    <w:p>
      <w:pPr>
        <w:ind w:right="260" w:firstLine="883"/>
        <w:spacing w:after="0" w:line="301" w:lineRule="auto"/>
        <w:rPr>
          <w:sz w:val="20"/>
          <w:szCs w:val="20"/>
          <w:color w:val="auto"/>
        </w:rPr>
      </w:pPr>
      <w:r>
        <w:rPr>
          <w:rFonts w:ascii="Arial" w:cs="Arial" w:eastAsia="Arial" w:hAnsi="Arial"/>
          <w:sz w:val="17"/>
          <w:szCs w:val="17"/>
          <w:color w:val="auto"/>
        </w:rPr>
        <w:t>The following outstanding potentially dilutive securities were excluded from the calculation of diluted net loss per share because their impact under the “treasury stock method” and “if-converted method” would have been anti-dilutive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unexercised—vested and unvested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2,759,830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1,836,739</w:t>
            </w: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Stock options early-exercised and unvested</w:t>
            </w:r>
          </w:p>
        </w:tc>
        <w:tc>
          <w:tcPr>
            <w:tcW w:w="1420" w:type="dxa"/>
            <w:vAlign w:val="bottom"/>
          </w:tcPr>
          <w:p>
            <w:pPr>
              <w:jc w:val="right"/>
              <w:spacing w:after="0"/>
              <w:rPr>
                <w:sz w:val="20"/>
                <w:szCs w:val="20"/>
                <w:color w:val="auto"/>
              </w:rPr>
            </w:pPr>
            <w:r>
              <w:rPr>
                <w:rFonts w:ascii="Arial" w:cs="Arial" w:eastAsia="Arial" w:hAnsi="Arial"/>
                <w:sz w:val="16"/>
                <w:szCs w:val="16"/>
                <w:color w:val="auto"/>
              </w:rPr>
              <w:t>27,840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179,375</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units—unvested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17,251</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280" w:type="dxa"/>
            <w:vAlign w:val="bottom"/>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2,804,921</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2,016,114</w:t>
            </w:r>
          </w:p>
        </w:tc>
      </w:tr>
      <w:tr>
        <w:trPr>
          <w:trHeight w:val="23"/>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5" w:lineRule="exact"/>
        <w:rPr>
          <w:sz w:val="20"/>
          <w:szCs w:val="20"/>
          <w:color w:val="auto"/>
        </w:rPr>
      </w:pPr>
    </w:p>
    <w:p>
      <w:pPr>
        <w:ind w:right="120" w:firstLine="883"/>
        <w:spacing w:after="0" w:line="271" w:lineRule="auto"/>
        <w:rPr>
          <w:sz w:val="20"/>
          <w:szCs w:val="20"/>
          <w:color w:val="auto"/>
        </w:rPr>
      </w:pPr>
      <w:r>
        <w:rPr>
          <w:rFonts w:ascii="Arial" w:cs="Arial" w:eastAsia="Arial" w:hAnsi="Arial"/>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Arial" w:cs="Arial" w:eastAsia="Arial" w:hAnsi="Arial"/>
          <w:sz w:val="18"/>
          <w:szCs w:val="18"/>
          <w:i w:val="1"/>
          <w:iCs w:val="1"/>
          <w:color w:val="auto"/>
        </w:rPr>
        <w:t>Note 2(xii)</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Year Ended December 31, 2021</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5"/>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940" w:type="dxa"/>
            <w:vAlign w:val="bottom"/>
          </w:tcPr>
          <w:p>
            <w:pPr>
              <w:jc w:val="right"/>
              <w:ind w:right="362"/>
              <w:spacing w:after="0"/>
              <w:rPr>
                <w:sz w:val="20"/>
                <w:szCs w:val="20"/>
                <w:color w:val="auto"/>
              </w:rPr>
            </w:pPr>
            <w:r>
              <w:rPr>
                <w:rFonts w:ascii="Arial" w:cs="Arial" w:eastAsia="Arial" w:hAnsi="Arial"/>
                <w:sz w:val="14"/>
                <w:szCs w:val="14"/>
                <w:b w:val="1"/>
                <w:bCs w:val="1"/>
                <w:color w:val="auto"/>
              </w:rPr>
              <w:t>Total</w:t>
            </w:r>
          </w:p>
        </w:tc>
      </w:tr>
      <w:tr>
        <w:trPr>
          <w:trHeight w:val="195"/>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211"/>
        </w:trPr>
        <w:tc>
          <w:tcPr>
            <w:tcW w:w="610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171,332</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171,332</w:t>
            </w:r>
          </w:p>
        </w:tc>
      </w:tr>
      <w:tr>
        <w:trPr>
          <w:trHeight w:val="217"/>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in LianBio (included in "marketable securities")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11"/>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Equity warrants in LianBio (included in "other assets")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r>
      <w:tr>
        <w:trPr>
          <w:trHeight w:val="227"/>
        </w:trPr>
        <w:tc>
          <w:tcPr>
            <w:tcW w:w="6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172,478</w:t>
            </w: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86"/>
        </w:trPr>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Year Ended December 31, 2020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5"/>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940" w:type="dxa"/>
            <w:vAlign w:val="bottom"/>
          </w:tcPr>
          <w:p>
            <w:pPr>
              <w:jc w:val="right"/>
              <w:ind w:right="362"/>
              <w:spacing w:after="0"/>
              <w:rPr>
                <w:sz w:val="20"/>
                <w:szCs w:val="20"/>
                <w:color w:val="auto"/>
              </w:rPr>
            </w:pPr>
            <w:r>
              <w:rPr>
                <w:rFonts w:ascii="Arial" w:cs="Arial" w:eastAsia="Arial" w:hAnsi="Arial"/>
                <w:sz w:val="14"/>
                <w:szCs w:val="14"/>
                <w:b w:val="1"/>
                <w:bCs w:val="1"/>
                <w:color w:val="auto"/>
              </w:rPr>
              <w:t>Total</w:t>
            </w:r>
          </w:p>
        </w:tc>
      </w:tr>
      <w:tr>
        <w:trPr>
          <w:trHeight w:val="195"/>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211"/>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Money market funds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168,129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168,129</w:t>
            </w:r>
          </w:p>
        </w:tc>
      </w:tr>
      <w:tr>
        <w:trPr>
          <w:trHeight w:val="227"/>
        </w:trPr>
        <w:tc>
          <w:tcPr>
            <w:tcW w:w="6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Market Funds</w:t>
      </w:r>
    </w:p>
    <w:p>
      <w:pPr>
        <w:spacing w:after="0" w:line="221" w:lineRule="exact"/>
        <w:rPr>
          <w:sz w:val="20"/>
          <w:szCs w:val="20"/>
          <w:color w:val="auto"/>
        </w:rPr>
      </w:pPr>
    </w:p>
    <w:p>
      <w:pPr>
        <w:ind w:right="100" w:firstLine="883"/>
        <w:spacing w:after="0" w:line="255" w:lineRule="auto"/>
        <w:rPr>
          <w:sz w:val="20"/>
          <w:szCs w:val="20"/>
          <w:color w:val="auto"/>
        </w:rPr>
      </w:pPr>
      <w:r>
        <w:rPr>
          <w:rFonts w:ascii="Arial" w:cs="Arial" w:eastAsia="Arial" w:hAnsi="Arial"/>
          <w:sz w:val="18"/>
          <w:szCs w:val="18"/>
          <w:color w:val="auto"/>
        </w:rPr>
        <w:t xml:space="preserve">Money market fund holdings are included in cash and cash equivalents on the accompanying balance sheets and are classified within </w:t>
      </w:r>
      <w:r>
        <w:rPr>
          <w:rFonts w:ascii="Arial" w:cs="Arial" w:eastAsia="Arial" w:hAnsi="Arial"/>
          <w:sz w:val="18"/>
          <w:szCs w:val="18"/>
          <w:i w:val="1"/>
          <w:iCs w:val="1"/>
          <w:color w:val="auto"/>
        </w:rPr>
        <w:t>Level 1</w:t>
      </w:r>
      <w:r>
        <w:rPr>
          <w:rFonts w:ascii="Arial" w:cs="Arial" w:eastAsia="Arial" w:hAnsi="Arial"/>
          <w:sz w:val="18"/>
          <w:szCs w:val="18"/>
          <w:color w:val="auto"/>
        </w:rPr>
        <w:t xml:space="preserve"> of the fair value hierarchy because they have readily-available market prices in active markets that are observable at the measurement date. These money market funds are invested in U.S. Treasury bills and notes, and other obligations issued or guaranteed as to principal and interest by the U.S. Government or its agencies.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48" w:lineRule="exact"/>
        <w:rPr>
          <w:sz w:val="20"/>
          <w:szCs w:val="20"/>
          <w:color w:val="auto"/>
        </w:rPr>
      </w:pPr>
    </w:p>
    <w:p>
      <w:pPr>
        <w:ind w:right="80" w:firstLine="883"/>
        <w:spacing w:after="0" w:line="255" w:lineRule="auto"/>
        <w:rPr>
          <w:sz w:val="20"/>
          <w:szCs w:val="20"/>
          <w:color w:val="auto"/>
        </w:rPr>
      </w:pPr>
      <w:r>
        <w:rPr>
          <w:rFonts w:ascii="Arial" w:cs="Arial" w:eastAsia="Arial" w:hAnsi="Arial"/>
          <w:sz w:val="18"/>
          <w:szCs w:val="18"/>
          <w:color w:val="auto"/>
        </w:rPr>
        <w:t xml:space="preserve">In March 2021, contemporaneous with the China Out-License transaction (see </w:t>
      </w:r>
      <w:r>
        <w:rPr>
          <w:rFonts w:ascii="Arial" w:cs="Arial" w:eastAsia="Arial" w:hAnsi="Arial"/>
          <w:sz w:val="18"/>
          <w:szCs w:val="18"/>
          <w:i w:val="1"/>
          <w:iCs w:val="1"/>
          <w:color w:val="auto"/>
        </w:rPr>
        <w:t>Note 9</w:t>
      </w:r>
      <w:r>
        <w:rPr>
          <w:rFonts w:ascii="Arial" w:cs="Arial" w:eastAsia="Arial" w:hAnsi="Arial"/>
          <w:sz w:val="18"/>
          <w:szCs w:val="18"/>
          <w:color w:val="auto"/>
        </w:rPr>
        <w:t>), the Company and LianBio Ophthalmology Limited (“LianBio”), executed a warrant agreement for the Company to purchase a stated number of common stock in LianBio, a then privately-held pharmaceutical company focused on China. The warrants vest upon the achievement of certain clinical and regulatory events and have an exercise price at common stock par value.</w:t>
      </w:r>
    </w:p>
    <w:p>
      <w:pPr>
        <w:spacing w:after="0" w:line="217" w:lineRule="exact"/>
        <w:rPr>
          <w:sz w:val="20"/>
          <w:szCs w:val="20"/>
          <w:color w:val="auto"/>
        </w:rPr>
      </w:pPr>
    </w:p>
    <w:p>
      <w:pPr>
        <w:ind w:right="220" w:firstLine="883"/>
        <w:spacing w:after="0" w:line="253" w:lineRule="auto"/>
        <w:rPr>
          <w:sz w:val="20"/>
          <w:szCs w:val="20"/>
          <w:color w:val="auto"/>
        </w:rPr>
      </w:pPr>
      <w:r>
        <w:rPr>
          <w:rFonts w:ascii="Arial" w:cs="Arial" w:eastAsia="Arial" w:hAnsi="Arial"/>
          <w:sz w:val="18"/>
          <w:szCs w:val="18"/>
          <w:color w:val="auto"/>
        </w:rPr>
        <w:t xml:space="preserve">These warrants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 the fair value measurement hierarchy. The most significant assumptions used in the option pricing valuation model to determine the fair value as of December 31, 2021, included: the estimated fair value of LianBio common stock (that became a publicly traded company on November 1, 2021), LianBio common stock volatility (based on the historical volatility of similar companies), the probability of achievement of discrete clinical and regulatory milestones for the vesting of each of the three warrants, and the application of an assumed discount rate for the unvested warrants as of December 31, 2021.</w:t>
      </w:r>
    </w:p>
    <w:p>
      <w:pPr>
        <w:spacing w:after="0" w:line="220" w:lineRule="exact"/>
        <w:rPr>
          <w:sz w:val="20"/>
          <w:szCs w:val="20"/>
          <w:color w:val="auto"/>
        </w:rPr>
      </w:pPr>
    </w:p>
    <w:p>
      <w:pPr>
        <w:ind w:right="60" w:firstLine="883"/>
        <w:spacing w:after="0" w:line="307" w:lineRule="auto"/>
        <w:rPr>
          <w:sz w:val="20"/>
          <w:szCs w:val="20"/>
          <w:color w:val="auto"/>
        </w:rPr>
      </w:pPr>
      <w:r>
        <w:rPr>
          <w:rFonts w:ascii="Arial" w:cs="Arial" w:eastAsia="Arial" w:hAnsi="Arial"/>
          <w:sz w:val="16"/>
          <w:szCs w:val="16"/>
          <w:color w:val="auto"/>
        </w:rPr>
        <w:t xml:space="preserve">These warrants allow for "noncash settlement" and therefore met the criteria to be recognized as a "derivative asset" on the accompanying Consolidated Balance Sheet and are presented within "other assets" as of December 31, 2021 (see </w:t>
      </w:r>
      <w:r>
        <w:rPr>
          <w:rFonts w:ascii="Arial" w:cs="Arial" w:eastAsia="Arial" w:hAnsi="Arial"/>
          <w:sz w:val="16"/>
          <w:szCs w:val="16"/>
          <w:i w:val="1"/>
          <w:iCs w:val="1"/>
          <w:color w:val="auto"/>
        </w:rPr>
        <w:t>Note 3(b)</w:t>
      </w:r>
      <w:r>
        <w:rPr>
          <w:rFonts w:ascii="Arial" w:cs="Arial" w:eastAsia="Arial" w:hAnsi="Arial"/>
          <w:sz w:val="16"/>
          <w:szCs w:val="16"/>
          <w:color w:val="auto"/>
        </w:rPr>
        <w:t>). They will be remeasured with a corresponding amount reported in "other (expense) income, net" on the Statement of Operations and Comprehensive Loss at each reporting date, until exercised or expired.</w:t>
      </w:r>
    </w:p>
    <w:p>
      <w:pPr>
        <w:spacing w:after="0" w:line="177" w:lineRule="exact"/>
        <w:rPr>
          <w:sz w:val="20"/>
          <w:szCs w:val="20"/>
          <w:color w:val="auto"/>
        </w:rPr>
      </w:pPr>
    </w:p>
    <w:p>
      <w:pPr>
        <w:ind w:right="20" w:firstLine="883"/>
        <w:spacing w:after="0" w:line="281" w:lineRule="auto"/>
        <w:rPr>
          <w:sz w:val="20"/>
          <w:szCs w:val="20"/>
          <w:color w:val="auto"/>
        </w:rPr>
      </w:pPr>
      <w:r>
        <w:rPr>
          <w:rFonts w:ascii="Arial" w:cs="Arial" w:eastAsia="Arial" w:hAnsi="Arial"/>
          <w:sz w:val="17"/>
          <w:szCs w:val="17"/>
          <w:color w:val="auto"/>
        </w:rPr>
        <w:t xml:space="preserve">During the year ended December 31, 2021, one of these three warrants vested and converted to 78,373 shares of LianBio common stock ("equity securities") which were recorded within "marketable securities" on the accompanying Balance Sheet as of December 31, 2021. The LianBio common stock is classified within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of the fair value hierarchy because their value is based on the closing common stock price of LianBio.</w:t>
      </w:r>
    </w:p>
    <w:p>
      <w:pPr>
        <w:spacing w:after="0" w:line="196" w:lineRule="exact"/>
        <w:rPr>
          <w:sz w:val="20"/>
          <w:szCs w:val="20"/>
          <w:color w:val="auto"/>
        </w:rPr>
      </w:pPr>
    </w:p>
    <w:p>
      <w:pPr>
        <w:ind w:right="320" w:firstLine="883"/>
        <w:spacing w:after="0" w:line="271" w:lineRule="auto"/>
        <w:rPr>
          <w:sz w:val="20"/>
          <w:szCs w:val="20"/>
          <w:color w:val="auto"/>
        </w:rPr>
      </w:pPr>
      <w:r>
        <w:rPr>
          <w:rFonts w:ascii="Arial" w:cs="Arial" w:eastAsia="Arial" w:hAnsi="Arial"/>
          <w:sz w:val="18"/>
          <w:szCs w:val="18"/>
          <w:color w:val="auto"/>
        </w:rPr>
        <w:t>The following table sets forth a summary of the changes in fair value of the equity warrants presented in "other assets" on the accompanying Balance Sheets.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tcPr>
          <w:p>
            <w:pPr>
              <w:jc w:val="right"/>
              <w:ind w:right="162"/>
              <w:spacing w:after="0"/>
              <w:rPr>
                <w:sz w:val="20"/>
                <w:szCs w:val="20"/>
                <w:color w:val="auto"/>
              </w:rPr>
            </w:pPr>
            <w:r>
              <w:rPr>
                <w:rFonts w:ascii="Arial" w:cs="Arial" w:eastAsia="Arial" w:hAnsi="Arial"/>
                <w:sz w:val="14"/>
                <w:szCs w:val="14"/>
                <w:b w:val="1"/>
                <w:bCs w:val="1"/>
                <w:color w:val="auto"/>
                <w:w w:val="94"/>
              </w:rPr>
              <w:t>Equity Warrants, presented on the</w:t>
            </w:r>
          </w:p>
        </w:tc>
        <w:tc>
          <w:tcPr>
            <w:tcW w:w="0" w:type="dxa"/>
            <w:vAlign w:val="bottom"/>
          </w:tcPr>
          <w:p>
            <w:pPr>
              <w:spacing w:after="0"/>
              <w:rPr>
                <w:sz w:val="1"/>
                <w:szCs w:val="1"/>
                <w:color w:val="auto"/>
              </w:rPr>
            </w:pPr>
          </w:p>
        </w:tc>
      </w:tr>
      <w:tr>
        <w:trPr>
          <w:trHeight w:val="186"/>
        </w:trPr>
        <w:tc>
          <w:tcPr>
            <w:tcW w:w="8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Balance Sheets</w:t>
            </w:r>
          </w:p>
        </w:tc>
        <w:tc>
          <w:tcPr>
            <w:tcW w:w="0" w:type="dxa"/>
            <w:vAlign w:val="bottom"/>
          </w:tcPr>
          <w:p>
            <w:pPr>
              <w:spacing w:after="0"/>
              <w:rPr>
                <w:sz w:val="1"/>
                <w:szCs w:val="1"/>
                <w:color w:val="auto"/>
              </w:rPr>
            </w:pPr>
          </w:p>
        </w:tc>
      </w:tr>
      <w:tr>
        <w:trPr>
          <w:trHeight w:val="208"/>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8660" w:type="dxa"/>
            <w:vAlign w:val="bottom"/>
          </w:tcPr>
          <w:p>
            <w:pPr>
              <w:ind w:left="20"/>
              <w:spacing w:after="0" w:line="164" w:lineRule="exact"/>
              <w:rPr>
                <w:sz w:val="20"/>
                <w:szCs w:val="20"/>
                <w:color w:val="auto"/>
              </w:rPr>
            </w:pPr>
            <w:r>
              <w:rPr>
                <w:rFonts w:ascii="Arial" w:cs="Arial" w:eastAsia="Arial" w:hAnsi="Arial"/>
                <w:sz w:val="16"/>
                <w:szCs w:val="16"/>
                <w:color w:val="auto"/>
                <w:w w:val="94"/>
              </w:rPr>
              <w:t>Initial fair value estimate of equity warrants (included in "other assets" within the Consolidated Balance Sheet as of December 31,</w:t>
            </w:r>
          </w:p>
        </w:tc>
        <w:tc>
          <w:tcPr>
            <w:tcW w:w="160" w:type="dxa"/>
            <w:vAlign w:val="bottom"/>
          </w:tcPr>
          <w:p>
            <w:pPr>
              <w:spacing w:after="0"/>
              <w:rPr>
                <w:sz w:val="14"/>
                <w:szCs w:val="14"/>
                <w:color w:val="auto"/>
              </w:rPr>
            </w:pPr>
          </w:p>
        </w:tc>
        <w:tc>
          <w:tcPr>
            <w:tcW w:w="2420" w:type="dxa"/>
            <w:vAlign w:val="bottom"/>
            <w:vMerge w:val="restart"/>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Arial" w:cs="Arial" w:eastAsia="Arial" w:hAnsi="Arial"/>
                <w:sz w:val="16"/>
                <w:szCs w:val="16"/>
                <w:color w:val="auto"/>
              </w:rPr>
              <w:t>2021) upon issuance</w:t>
            </w:r>
          </w:p>
        </w:tc>
        <w:tc>
          <w:tcPr>
            <w:tcW w:w="16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66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w w:val="92"/>
              </w:rPr>
              <w:t>Recognition of equity warrants included in "total revenues" within the Statement of Operations and Comprehensive Loss for the year</w:t>
            </w:r>
          </w:p>
        </w:tc>
        <w:tc>
          <w:tcPr>
            <w:tcW w:w="160" w:type="dxa"/>
            <w:vAlign w:val="bottom"/>
            <w:shd w:val="clear" w:color="auto" w:fill="CCEEFF"/>
          </w:tcPr>
          <w:p>
            <w:pPr>
              <w:spacing w:after="0"/>
              <w:rPr>
                <w:sz w:val="14"/>
                <w:szCs w:val="14"/>
                <w:color w:val="auto"/>
              </w:rPr>
            </w:pPr>
          </w:p>
        </w:tc>
        <w:tc>
          <w:tcPr>
            <w:tcW w:w="2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ended December 31, 2021</w:t>
            </w:r>
          </w:p>
        </w:tc>
        <w:tc>
          <w:tcPr>
            <w:tcW w:w="160" w:type="dxa"/>
            <w:vAlign w:val="bottom"/>
            <w:shd w:val="clear" w:color="auto" w:fill="CCEEFF"/>
          </w:tcPr>
          <w:p>
            <w:pPr>
              <w:spacing w:after="0"/>
              <w:rPr>
                <w:sz w:val="18"/>
                <w:szCs w:val="18"/>
                <w:color w:val="auto"/>
              </w:rPr>
            </w:pPr>
          </w:p>
        </w:tc>
        <w:tc>
          <w:tcPr>
            <w:tcW w:w="2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660" w:type="dxa"/>
            <w:vAlign w:val="bottom"/>
          </w:tcPr>
          <w:p>
            <w:pPr>
              <w:ind w:left="20"/>
              <w:spacing w:after="0" w:line="164" w:lineRule="exact"/>
              <w:rPr>
                <w:sz w:val="20"/>
                <w:szCs w:val="20"/>
                <w:color w:val="auto"/>
              </w:rPr>
            </w:pPr>
            <w:r>
              <w:rPr>
                <w:rFonts w:ascii="Arial" w:cs="Arial" w:eastAsia="Arial" w:hAnsi="Arial"/>
                <w:sz w:val="16"/>
                <w:szCs w:val="16"/>
                <w:color w:val="auto"/>
                <w:w w:val="94"/>
              </w:rPr>
              <w:t>Revaluation of equity warrants included in "other (expense) income, net" within the Statement of Operations and Comprehensive</w:t>
            </w:r>
          </w:p>
        </w:tc>
        <w:tc>
          <w:tcPr>
            <w:tcW w:w="160" w:type="dxa"/>
            <w:vAlign w:val="bottom"/>
          </w:tcPr>
          <w:p>
            <w:pPr>
              <w:spacing w:after="0"/>
              <w:rPr>
                <w:sz w:val="14"/>
                <w:szCs w:val="14"/>
                <w:color w:val="auto"/>
              </w:rPr>
            </w:pPr>
          </w:p>
        </w:tc>
        <w:tc>
          <w:tcPr>
            <w:tcW w:w="2420" w:type="dxa"/>
            <w:vAlign w:val="bottom"/>
            <w:vMerge w:val="restart"/>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Arial" w:cs="Arial" w:eastAsia="Arial" w:hAnsi="Arial"/>
                <w:sz w:val="16"/>
                <w:szCs w:val="16"/>
                <w:color w:val="auto"/>
              </w:rPr>
              <w:t>Loss for the year ended December 31, 2021</w:t>
            </w:r>
          </w:p>
        </w:tc>
        <w:tc>
          <w:tcPr>
            <w:tcW w:w="16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66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w w:val="93"/>
              </w:rPr>
              <w:t>Exercise the first tranche of equity warrants into LianBio common stock (included in "marketable securities" within the Consolidated</w:t>
            </w:r>
          </w:p>
        </w:tc>
        <w:tc>
          <w:tcPr>
            <w:tcW w:w="160" w:type="dxa"/>
            <w:vAlign w:val="bottom"/>
            <w:shd w:val="clear" w:color="auto" w:fill="CCEEFF"/>
          </w:tcPr>
          <w:p>
            <w:pPr>
              <w:spacing w:after="0"/>
              <w:rPr>
                <w:sz w:val="14"/>
                <w:szCs w:val="14"/>
                <w:color w:val="auto"/>
              </w:rPr>
            </w:pPr>
          </w:p>
        </w:tc>
        <w:tc>
          <w:tcPr>
            <w:tcW w:w="2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Sheet as of December 31, 2021) on November 1, 2021 upon LianBio's IPO</w:t>
            </w:r>
          </w:p>
        </w:tc>
        <w:tc>
          <w:tcPr>
            <w:tcW w:w="16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Fair value as of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180" w:hanging="173"/>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&amp; CONTINGENCIES</w:t>
      </w:r>
    </w:p>
    <w:p>
      <w:pPr>
        <w:spacing w:after="0" w:line="22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Facility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1" w:lineRule="exact"/>
        <w:rPr>
          <w:sz w:val="20"/>
          <w:szCs w:val="20"/>
          <w:color w:val="auto"/>
        </w:rPr>
      </w:pPr>
    </w:p>
    <w:p>
      <w:pPr>
        <w:ind w:right="100" w:firstLine="883"/>
        <w:spacing w:after="0" w:line="301" w:lineRule="auto"/>
        <w:rPr>
          <w:sz w:val="20"/>
          <w:szCs w:val="20"/>
          <w:color w:val="auto"/>
        </w:rPr>
      </w:pPr>
      <w:r>
        <w:rPr>
          <w:rFonts w:ascii="Arial" w:cs="Arial" w:eastAsia="Arial" w:hAnsi="Arial"/>
          <w:sz w:val="17"/>
          <w:szCs w:val="17"/>
          <w:color w:val="auto"/>
        </w:rPr>
        <w:t>In the ordinary course of business, the Company enters lease agreements with unaffiliated third parties for facilities and office equipment. As of December 31, 2021 and 2020, the Company had three active leases in Irvine, California, for adjacent office and laboratory suites.</w:t>
      </w:r>
    </w:p>
    <w:p>
      <w:pPr>
        <w:spacing w:after="0" w:line="178" w:lineRule="exact"/>
        <w:rPr>
          <w:sz w:val="20"/>
          <w:szCs w:val="20"/>
          <w:color w:val="auto"/>
        </w:rPr>
      </w:pPr>
    </w:p>
    <w:p>
      <w:pPr>
        <w:ind w:right="20" w:firstLine="883"/>
        <w:spacing w:after="0" w:line="254" w:lineRule="auto"/>
        <w:rPr>
          <w:sz w:val="20"/>
          <w:szCs w:val="20"/>
          <w:color w:val="auto"/>
        </w:rPr>
      </w:pPr>
      <w:r>
        <w:rPr>
          <w:rFonts w:ascii="Arial" w:cs="Arial" w:eastAsia="Arial" w:hAnsi="Arial"/>
          <w:sz w:val="17"/>
          <w:szCs w:val="17"/>
          <w:color w:val="auto"/>
        </w:rPr>
        <w:t>In January 2021, the Company entered into a six-month lease for an additional administrative office suite that was not capitalized due to its under 12-month term. The company does not recognize lease asset and liabilities for leases with a term of 12 months or less. On July 30, 2021, the Company executed an amendment to extend the term of this lease and lease an additional office suite, both expiring January 31, 2024. This amendment was accounted for as a "lease modification" and resulted in the recognition of an "operating lease right-of-use asset" valued at $0.7 million as of the execution date. The Company's two other capitalized facility leases commenced on June 1, 2020 and also expire on January 31, 2024. One includes a renewal option that was not reasonably certain to be exercised at the time of lease commencement.</w:t>
      </w:r>
    </w:p>
    <w:p>
      <w:pPr>
        <w:spacing w:after="0" w:line="203" w:lineRule="exact"/>
        <w:rPr>
          <w:sz w:val="20"/>
          <w:szCs w:val="20"/>
          <w:color w:val="auto"/>
        </w:rPr>
      </w:pPr>
    </w:p>
    <w:p>
      <w:pPr>
        <w:ind w:right="20" w:firstLine="883"/>
        <w:spacing w:after="0" w:line="244" w:lineRule="auto"/>
        <w:rPr>
          <w:sz w:val="20"/>
          <w:szCs w:val="20"/>
          <w:color w:val="auto"/>
        </w:rPr>
      </w:pPr>
      <w:r>
        <w:rPr>
          <w:rFonts w:ascii="Arial" w:cs="Arial" w:eastAsia="Arial" w:hAnsi="Arial"/>
          <w:sz w:val="18"/>
          <w:szCs w:val="18"/>
          <w:color w:val="auto"/>
        </w:rPr>
        <w:t>The Company's operating leases have annual rent that is payable monthly and carry fixed annual increases. Under these arrangements, real estate taxes, certain operating expenses, and common area maintenance are paid by the Company. Since these costs are variable in nature, they are excluded from the measurement of the reported right-of-use asset and liability and are expensed as incurred.</w:t>
      </w:r>
    </w:p>
    <w:p>
      <w:pPr>
        <w:spacing w:after="0" w:line="198" w:lineRule="exact"/>
        <w:rPr>
          <w:sz w:val="20"/>
          <w:szCs w:val="20"/>
          <w:color w:val="auto"/>
        </w:rPr>
      </w:pPr>
    </w:p>
    <w:p>
      <w:pPr>
        <w:ind w:right="40" w:firstLine="883"/>
        <w:spacing w:after="0" w:line="232" w:lineRule="auto"/>
        <w:rPr>
          <w:sz w:val="20"/>
          <w:szCs w:val="20"/>
          <w:color w:val="auto"/>
        </w:rPr>
      </w:pPr>
      <w:r>
        <w:rPr>
          <w:rFonts w:ascii="Arial" w:cs="Arial" w:eastAsia="Arial" w:hAnsi="Arial"/>
          <w:sz w:val="18"/>
          <w:szCs w:val="18"/>
          <w:color w:val="auto"/>
        </w:rPr>
        <w:t>In December 2020, the Company recorded a $15 thousand impairment of its "operating lease right-of-use lease assets" in connection with its decision to early terminate one of the leases, which was completed in January 2021. During the years ended December 31, 2021 and December 31, 2020, the Company had no sublease arrangements with it as lessor.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Reporting Captions</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below table summarizes the lease asset and liability accounts presented on the accompanying Consolidated Balance Sheets: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16"/>
                <w:szCs w:val="16"/>
                <w:color w:val="auto"/>
              </w:rPr>
            </w:pPr>
          </w:p>
        </w:tc>
        <w:tc>
          <w:tcPr>
            <w:tcW w:w="37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Consolidated Balance Sheet Caption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5"/>
              </w:rPr>
              <w:t>December 31, 2020</w:t>
            </w:r>
          </w:p>
        </w:tc>
      </w:tr>
      <w:tr>
        <w:trPr>
          <w:trHeight w:val="23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 non-current</w:t>
            </w: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liability - current</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1"/>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lease liability - non-current</w:t>
            </w:r>
          </w:p>
        </w:tc>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r>
      <w:tr>
        <w:trPr>
          <w:trHeight w:val="23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3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21" w:lineRule="exact"/>
        <w:rPr>
          <w:sz w:val="20"/>
          <w:szCs w:val="20"/>
          <w:color w:val="auto"/>
        </w:rPr>
      </w:pPr>
    </w:p>
    <w:p>
      <w:pPr>
        <w:ind w:firstLine="883"/>
        <w:spacing w:after="0" w:line="275" w:lineRule="auto"/>
        <w:rPr>
          <w:sz w:val="20"/>
          <w:szCs w:val="20"/>
          <w:color w:val="auto"/>
        </w:rPr>
      </w:pPr>
      <w:r>
        <w:rPr>
          <w:rFonts w:ascii="Arial" w:cs="Arial" w:eastAsia="Arial" w:hAnsi="Arial"/>
          <w:sz w:val="17"/>
          <w:szCs w:val="17"/>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in the accompanying Statements of Operations and Comprehensive Loss. The company combines lease and non-lease components in the recognition of lease expense. The components of lease cost were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7"/>
              </w:rPr>
              <w:t>Year Ended December 31,</w:t>
            </w:r>
          </w:p>
        </w:tc>
        <w:tc>
          <w:tcPr>
            <w:tcW w:w="1340" w:type="dxa"/>
            <w:vAlign w:val="bottom"/>
            <w:tcBorders>
              <w:bottom w:val="single" w:sz="8" w:color="auto"/>
            </w:tcBorders>
          </w:tcPr>
          <w:p>
            <w:pPr>
              <w:spacing w:after="0"/>
              <w:rPr>
                <w:sz w:val="16"/>
                <w:szCs w:val="16"/>
                <w:color w:val="auto"/>
              </w:rPr>
            </w:pPr>
          </w:p>
        </w:tc>
      </w:tr>
      <w:tr>
        <w:trPr>
          <w:trHeight w:val="185"/>
        </w:trPr>
        <w:tc>
          <w:tcPr>
            <w:tcW w:w="67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2020</w:t>
            </w:r>
          </w:p>
        </w:tc>
      </w:tr>
      <w:tr>
        <w:trPr>
          <w:trHeight w:val="208"/>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1"/>
        </w:trPr>
        <w:tc>
          <w:tcPr>
            <w:tcW w:w="67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3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1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760" w:type="dxa"/>
            <w:vAlign w:val="bottom"/>
          </w:tcPr>
          <w:p>
            <w:pPr>
              <w:ind w:left="20"/>
              <w:spacing w:after="0"/>
              <w:rPr>
                <w:sz w:val="20"/>
                <w:szCs w:val="20"/>
                <w:color w:val="auto"/>
              </w:rPr>
            </w:pPr>
            <w:r>
              <w:rPr>
                <w:rFonts w:ascii="Arial" w:cs="Arial" w:eastAsia="Arial" w:hAnsi="Arial"/>
                <w:sz w:val="16"/>
                <w:szCs w:val="16"/>
                <w:color w:val="auto"/>
              </w:rPr>
              <w:t>Total lease cost</w:t>
            </w:r>
          </w:p>
        </w:tc>
        <w:tc>
          <w:tcPr>
            <w:tcW w:w="1340" w:type="dxa"/>
            <w:vAlign w:val="bottom"/>
            <w:tcBorders>
              <w:bottom w:val="single" w:sz="8" w:color="auto"/>
            </w:tcBorders>
          </w:tcPr>
          <w:p>
            <w:pPr>
              <w:jc w:val="right"/>
              <w:ind w:right="1163"/>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3"/>
        </w:trPr>
        <w:tc>
          <w:tcPr>
            <w:tcW w:w="67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Weighted-Average Remaining Lease Term and Applied Discount Rate</w:t>
      </w:r>
    </w:p>
    <w:p>
      <w:pPr>
        <w:spacing w:after="0" w:line="221" w:lineRule="exact"/>
        <w:rPr>
          <w:sz w:val="20"/>
          <w:szCs w:val="20"/>
          <w:color w:val="auto"/>
        </w:rPr>
      </w:pPr>
    </w:p>
    <w:p>
      <w:pPr>
        <w:ind w:right="60" w:firstLine="883"/>
        <w:spacing w:after="0" w:line="259" w:lineRule="auto"/>
        <w:rPr>
          <w:sz w:val="20"/>
          <w:szCs w:val="20"/>
          <w:color w:val="auto"/>
        </w:rPr>
      </w:pPr>
      <w:r>
        <w:rPr>
          <w:rFonts w:ascii="Arial" w:cs="Arial" w:eastAsia="Arial" w:hAnsi="Arial"/>
          <w:sz w:val="18"/>
          <w:szCs w:val="18"/>
          <w:color w:val="auto"/>
        </w:rPr>
        <w:t>As of December 31, 2021 and 2020, the Company's active facility leases had a weighted average remaining lease term of 2 years, 1 month and 2 years, 10 months, respectively. The weighted-average estimated incremental borrowing rate of 10% was utilized to present value future minimum lease payments since an implicit interest rate was not readily determinable.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Contractual Lease Payments</w:t>
      </w:r>
    </w:p>
    <w:p>
      <w:pPr>
        <w:spacing w:after="0" w:line="221" w:lineRule="exact"/>
        <w:rPr>
          <w:sz w:val="20"/>
          <w:szCs w:val="20"/>
          <w:color w:val="auto"/>
        </w:rPr>
      </w:pPr>
    </w:p>
    <w:p>
      <w:pPr>
        <w:ind w:right="40" w:firstLine="883"/>
        <w:spacing w:after="0" w:line="271" w:lineRule="auto"/>
        <w:rPr>
          <w:sz w:val="20"/>
          <w:szCs w:val="20"/>
          <w:color w:val="auto"/>
        </w:rPr>
      </w:pPr>
      <w:r>
        <w:rPr>
          <w:rFonts w:ascii="Arial" w:cs="Arial" w:eastAsia="Arial" w:hAnsi="Arial"/>
          <w:sz w:val="18"/>
          <w:szCs w:val="18"/>
          <w:color w:val="auto"/>
        </w:rPr>
        <w:t>The below table summarizes the (i) minimum lease payments over the next five years and thereafter, (ii) lease arrangement imputed interest, and (iii) present value of future lease payments: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Leases - future payments</w:t>
            </w: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December 31, 2021</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1"/>
        </w:trPr>
        <w:tc>
          <w:tcPr>
            <w:tcW w:w="9020" w:type="dxa"/>
            <w:vAlign w:val="bottom"/>
          </w:tcPr>
          <w:p>
            <w:pPr>
              <w:ind w:left="20"/>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761</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1"/>
        </w:trPr>
        <w:tc>
          <w:tcPr>
            <w:tcW w:w="9020" w:type="dxa"/>
            <w:vAlign w:val="bottom"/>
          </w:tcPr>
          <w:p>
            <w:pPr>
              <w:ind w:left="20"/>
              <w:spacing w:after="0"/>
              <w:rPr>
                <w:sz w:val="20"/>
                <w:szCs w:val="20"/>
                <w:color w:val="auto"/>
              </w:rPr>
            </w:pPr>
            <w:r>
              <w:rPr>
                <w:rFonts w:ascii="Arial" w:cs="Arial" w:eastAsia="Arial" w:hAnsi="Arial"/>
                <w:sz w:val="16"/>
                <w:szCs w:val="16"/>
                <w:color w:val="auto"/>
              </w:rPr>
              <w:t>2025</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Total future lease payments, undiscounted</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1,341</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3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Present value of operating lease payments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r>
      <w:tr>
        <w:trPr>
          <w:trHeight w:val="23"/>
        </w:trPr>
        <w:tc>
          <w:tcPr>
            <w:tcW w:w="9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In-License Agreements for Lotilaner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2019 Agreement for Skin and Eye Disease or Conditions in Humans</w:t>
      </w:r>
    </w:p>
    <w:p>
      <w:pPr>
        <w:spacing w:after="0" w:line="234" w:lineRule="exact"/>
        <w:rPr>
          <w:sz w:val="20"/>
          <w:szCs w:val="20"/>
          <w:color w:val="auto"/>
        </w:rPr>
      </w:pPr>
    </w:p>
    <w:p>
      <w:pPr>
        <w:ind w:right="20" w:firstLine="883"/>
        <w:spacing w:after="0" w:line="255" w:lineRule="auto"/>
        <w:rPr>
          <w:sz w:val="20"/>
          <w:szCs w:val="20"/>
          <w:color w:val="auto"/>
        </w:rPr>
      </w:pPr>
      <w:r>
        <w:rPr>
          <w:rFonts w:ascii="Arial" w:cs="Arial" w:eastAsia="Arial" w:hAnsi="Arial"/>
          <w:sz w:val="18"/>
          <w:szCs w:val="18"/>
          <w:color w:val="auto"/>
        </w:rPr>
        <w:t>In January 2019, the Company entered into a license agreement with Elanco Tiergesundheit AG (“Elanco”) for exclusive worldwide rights to certain intellectual property for the development and commercialization of lotilaner in the treatment or cure of any eye or skin disease or condition in humans (the "Eye and Derm Elanco Agreement"). The Company has sole financial responsibility for related development, regulatory, and commercialization activities.</w:t>
      </w:r>
    </w:p>
    <w:p>
      <w:pPr>
        <w:spacing w:after="0" w:line="204" w:lineRule="exact"/>
        <w:rPr>
          <w:sz w:val="20"/>
          <w:szCs w:val="20"/>
          <w:color w:val="auto"/>
        </w:rPr>
      </w:pPr>
    </w:p>
    <w:p>
      <w:pPr>
        <w:ind w:right="420" w:firstLine="883"/>
        <w:spacing w:after="0" w:line="242" w:lineRule="auto"/>
        <w:rPr>
          <w:sz w:val="20"/>
          <w:szCs w:val="20"/>
          <w:color w:val="auto"/>
        </w:rPr>
      </w:pPr>
      <w:r>
        <w:rPr>
          <w:rFonts w:ascii="Arial" w:cs="Arial" w:eastAsia="Arial" w:hAnsi="Arial"/>
          <w:sz w:val="17"/>
          <w:szCs w:val="17"/>
          <w:color w:val="auto"/>
        </w:rPr>
        <w:t>The Company paid a $1.0 million upfront payment at execution of the Eye and Derm Elanco Agreement. In September 2020, the Company made a required $1.0 million clinical milestone payment associated with the first two U.S. pivotal trials for the treatment of Demodex blepharitis. The Company paid an additional $2.0 million for its second pivotal trial milestone in April 2021, which was recorded within “research and development” expense in the accompanying Statements of Operations and Comprehensive Loss for year ended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883"/>
        <w:spacing w:after="0" w:line="237" w:lineRule="auto"/>
        <w:rPr>
          <w:sz w:val="20"/>
          <w:szCs w:val="20"/>
          <w:color w:val="auto"/>
        </w:rPr>
      </w:pPr>
      <w:r>
        <w:rPr>
          <w:rFonts w:ascii="Arial" w:cs="Arial" w:eastAsia="Arial" w:hAnsi="Arial"/>
          <w:sz w:val="18"/>
          <w:szCs w:val="18"/>
          <w:color w:val="auto"/>
        </w:rPr>
        <w:t>The Company may make further cash payments to Elanco pursuant to the Eye and Derm Elanco Agreement upon achievement of certain clinical milestones in the treatment of human skin diseases using lotilaner for an aggregate maximum of $3.0 million and various commercial and sales threshold milestones for an aggregate maximum of $79.0 million. 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except for territories in which the Company achieved applicable regulatory approval prior to sublicense execution.</w:t>
      </w:r>
    </w:p>
    <w:p>
      <w:pPr>
        <w:spacing w:after="0" w:line="218" w:lineRule="exact"/>
        <w:rPr>
          <w:sz w:val="20"/>
          <w:szCs w:val="20"/>
          <w:color w:val="auto"/>
        </w:rPr>
      </w:pPr>
    </w:p>
    <w:p>
      <w:pPr>
        <w:ind w:right="480" w:firstLine="883"/>
        <w:spacing w:after="0" w:line="271" w:lineRule="auto"/>
        <w:rPr>
          <w:sz w:val="20"/>
          <w:szCs w:val="20"/>
          <w:color w:val="auto"/>
        </w:rPr>
      </w:pPr>
      <w:r>
        <w:rPr>
          <w:rFonts w:ascii="Arial" w:cs="Arial" w:eastAsia="Arial" w:hAnsi="Arial"/>
          <w:sz w:val="18"/>
          <w:szCs w:val="18"/>
          <w:color w:val="auto"/>
        </w:rPr>
        <w:t xml:space="preserve">As part of the China Out-License discussed in </w:t>
      </w:r>
      <w:r>
        <w:rPr>
          <w:rFonts w:ascii="Arial" w:cs="Arial" w:eastAsia="Arial" w:hAnsi="Arial"/>
          <w:sz w:val="18"/>
          <w:szCs w:val="18"/>
          <w:i w:val="1"/>
          <w:iCs w:val="1"/>
          <w:color w:val="auto"/>
        </w:rPr>
        <w:t>Note 9</w:t>
      </w:r>
      <w:r>
        <w:rPr>
          <w:rFonts w:ascii="Arial" w:cs="Arial" w:eastAsia="Arial" w:hAnsi="Arial"/>
          <w:sz w:val="18"/>
          <w:szCs w:val="18"/>
          <w:color w:val="auto"/>
        </w:rPr>
        <w:t>, the Company made a required contractual payment in the amount of $2.5 million to Elanco as part of the receipt of $25 million of initial proceeds from LianBio during the second quarter of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2020 Agreement for All Other Diseases or Conditions in Humans</w:t>
      </w:r>
    </w:p>
    <w:p>
      <w:pPr>
        <w:spacing w:after="0" w:line="248" w:lineRule="exact"/>
        <w:rPr>
          <w:sz w:val="20"/>
          <w:szCs w:val="20"/>
          <w:color w:val="auto"/>
        </w:rPr>
      </w:pPr>
    </w:p>
    <w:p>
      <w:pPr>
        <w:ind w:firstLine="642"/>
        <w:spacing w:after="0" w:line="270" w:lineRule="auto"/>
        <w:rPr>
          <w:sz w:val="20"/>
          <w:szCs w:val="20"/>
          <w:color w:val="auto"/>
        </w:rPr>
      </w:pPr>
      <w:r>
        <w:rPr>
          <w:rFonts w:ascii="Arial" w:cs="Arial" w:eastAsia="Arial" w:hAnsi="Arial"/>
          <w:sz w:val="17"/>
          <w:szCs w:val="17"/>
          <w:color w:val="auto"/>
        </w:rPr>
        <w:t>In September 2020, the Company executed an expanded in-license agreement with Elanco, granting the Company a worldwide license to certain intellectual property for the development and commercialization of lotilaner treatment, palliation, prevention, or cure of "all other" diseases and conditions in humans (i.e., beyond that of the eye or skin), the “All Human Uses Elanco Agreement.” The Company issued Elanco 222,460 shares of its common stock at the execution of the All Human Uses Elanco Agreement. The fair value of these shares was $3.1 million ($14.0003 per share, approximating the issuance price of the Company's Series C preferred stock in September 2020) and is reported within “research and development” expense within the accompanying Statements of Operations and Comprehensive Loss for the year ended December 31, 2020.</w:t>
      </w:r>
    </w:p>
    <w:p>
      <w:pPr>
        <w:spacing w:after="0" w:line="205" w:lineRule="exact"/>
        <w:rPr>
          <w:sz w:val="20"/>
          <w:szCs w:val="20"/>
          <w:color w:val="auto"/>
        </w:rPr>
      </w:pPr>
    </w:p>
    <w:p>
      <w:pPr>
        <w:ind w:firstLine="642"/>
        <w:spacing w:after="0" w:line="293" w:lineRule="auto"/>
        <w:rPr>
          <w:sz w:val="20"/>
          <w:szCs w:val="20"/>
          <w:color w:val="auto"/>
        </w:rPr>
      </w:pPr>
      <w:r>
        <w:rPr>
          <w:rFonts w:ascii="Arial" w:cs="Arial" w:eastAsia="Arial" w:hAnsi="Arial"/>
          <w:sz w:val="16"/>
          <w:szCs w:val="16"/>
          <w:color w:val="auto"/>
        </w:rPr>
        <w:t>The Company is required to make further cash payments to Elanco under the All Human Uses Elanco Agreement upon the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product sales. If the Company receives certain types of payments from its sublicensees, it will also be obligated to pay Elanco a variable percentage in the low to mid double-digits of such proceeds, except for territories in which the Company achieved applicable regulatory approval prior to sublicense execution.</w:t>
      </w:r>
    </w:p>
    <w:p>
      <w:pPr>
        <w:spacing w:after="0" w:line="188" w:lineRule="exact"/>
        <w:rPr>
          <w:sz w:val="20"/>
          <w:szCs w:val="20"/>
          <w:color w:val="auto"/>
        </w:rPr>
      </w:pPr>
    </w:p>
    <w:p>
      <w:pPr>
        <w:ind w:right="40" w:firstLine="642"/>
        <w:spacing w:after="0" w:line="293" w:lineRule="auto"/>
        <w:rPr>
          <w:sz w:val="20"/>
          <w:szCs w:val="20"/>
          <w:color w:val="auto"/>
        </w:rPr>
      </w:pPr>
      <w:r>
        <w:rPr>
          <w:rFonts w:ascii="Arial" w:cs="Arial" w:eastAsia="Arial" w:hAnsi="Arial"/>
          <w:sz w:val="16"/>
          <w:szCs w:val="16"/>
          <w:color w:val="auto"/>
        </w:rPr>
        <w:t xml:space="preserve">In March 2021, the Company entered into an out-license agreement with LianBio (see </w:t>
      </w:r>
      <w:r>
        <w:rPr>
          <w:rFonts w:ascii="Arial" w:cs="Arial" w:eastAsia="Arial" w:hAnsi="Arial"/>
          <w:sz w:val="16"/>
          <w:szCs w:val="16"/>
          <w:i w:val="1"/>
          <w:iCs w:val="1"/>
          <w:color w:val="auto"/>
        </w:rPr>
        <w:t>Note 9</w:t>
      </w:r>
      <w:r>
        <w:rPr>
          <w:rFonts w:ascii="Arial" w:cs="Arial" w:eastAsia="Arial" w:hAnsi="Arial"/>
          <w:sz w:val="16"/>
          <w:szCs w:val="16"/>
          <w:color w:val="auto"/>
        </w:rPr>
        <w:t>), which obligated it to grant Elanco an additional fixed 187,500 shares of the Company's common stock that were otherwise required to be granted no later than the 18-month anniversary of the All Human Uses Elanco Agreement for the Company's continued license exclusivity. These additional shares were valued at $5.5 million based on the Company's stock closing price of $29.30 per share (on the date the issuance became contractually required) and is reported within "research and development" expense within the accompanying Statements of Operations and Comprehensive Loss for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Employment Agreements</w:t>
      </w:r>
    </w:p>
    <w:p>
      <w:pPr>
        <w:spacing w:after="0" w:line="225" w:lineRule="exact"/>
        <w:rPr>
          <w:sz w:val="20"/>
          <w:szCs w:val="20"/>
          <w:color w:val="auto"/>
        </w:rPr>
      </w:pPr>
    </w:p>
    <w:p>
      <w:pPr>
        <w:ind w:right="200" w:firstLine="642"/>
        <w:spacing w:after="0" w:line="259" w:lineRule="auto"/>
        <w:rPr>
          <w:sz w:val="20"/>
          <w:szCs w:val="20"/>
          <w:color w:val="auto"/>
        </w:rPr>
      </w:pPr>
      <w:r>
        <w:rPr>
          <w:rFonts w:ascii="Arial" w:cs="Arial" w:eastAsia="Arial" w:hAnsi="Arial"/>
          <w:sz w:val="18"/>
          <w:szCs w:val="18"/>
          <w:color w:val="auto"/>
        </w:rPr>
        <w:t>The Company has entered into employment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Litigation Contingencies</w:t>
      </w:r>
    </w:p>
    <w:p>
      <w:pPr>
        <w:spacing w:after="0" w:line="225" w:lineRule="exact"/>
        <w:rPr>
          <w:sz w:val="20"/>
          <w:szCs w:val="20"/>
          <w:color w:val="auto"/>
        </w:rPr>
      </w:pPr>
    </w:p>
    <w:p>
      <w:pPr>
        <w:ind w:right="40" w:firstLine="642"/>
        <w:spacing w:after="0" w:line="259" w:lineRule="auto"/>
        <w:rPr>
          <w:sz w:val="20"/>
          <w:szCs w:val="20"/>
          <w:color w:val="auto"/>
        </w:rPr>
      </w:pPr>
      <w:r>
        <w:rPr>
          <w:rFonts w:ascii="Arial" w:cs="Arial" w:eastAsia="Arial" w:hAnsi="Arial"/>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Indemnities and Guarantees</w:t>
      </w:r>
    </w:p>
    <w:p>
      <w:pPr>
        <w:spacing w:after="0" w:line="225" w:lineRule="exact"/>
        <w:rPr>
          <w:sz w:val="20"/>
          <w:szCs w:val="20"/>
          <w:color w:val="auto"/>
        </w:rPr>
      </w:pPr>
    </w:p>
    <w:p>
      <w:pPr>
        <w:ind w:right="140" w:firstLine="642"/>
        <w:spacing w:after="0" w:line="259" w:lineRule="auto"/>
        <w:rPr>
          <w:sz w:val="20"/>
          <w:szCs w:val="20"/>
          <w:color w:val="auto"/>
        </w:rPr>
      </w:pPr>
      <w:r>
        <w:rPr>
          <w:rFonts w:ascii="Arial" w:cs="Arial" w:eastAsia="Arial" w:hAnsi="Arial"/>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Company has not been obligated to make any such payments to date and no liabilities have been recorded for this contingency in the accompanying Balance Sheets.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OUT-LICENSE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Out-License of TP-03 Commercial Rights in Greater China in March 2021</w:t>
      </w:r>
    </w:p>
    <w:p>
      <w:pPr>
        <w:spacing w:after="0" w:line="248" w:lineRule="exact"/>
        <w:rPr>
          <w:sz w:val="20"/>
          <w:szCs w:val="20"/>
          <w:color w:val="auto"/>
        </w:rPr>
      </w:pPr>
    </w:p>
    <w:p>
      <w:pPr>
        <w:ind w:right="260" w:firstLine="1008"/>
        <w:spacing w:after="0"/>
        <w:rPr>
          <w:sz w:val="20"/>
          <w:szCs w:val="20"/>
          <w:color w:val="auto"/>
        </w:rPr>
      </w:pPr>
      <w:r>
        <w:rPr>
          <w:rFonts w:ascii="Arial" w:cs="Arial" w:eastAsia="Arial" w:hAnsi="Arial"/>
          <w:sz w:val="18"/>
          <w:szCs w:val="18"/>
          <w:color w:val="auto"/>
        </w:rPr>
        <w:t>On March 26, 2021, the Company entered into an out-license agreement with LianBio for its exclusive development and commercialization rights of TP-03 (lotilaner ophthalmic solution, 0.25%) in the People’s Republic of China, Hong Kong, Macau, and Taiwan (the “China Territory”) for the treatment of Demodex blepharitis and Meibomian Gland Disease (the “China Out-License”). LianBio is contractually responsible for all clinical development and commercialization activities and costs within the China Territory.</w:t>
      </w:r>
    </w:p>
    <w:p>
      <w:pPr>
        <w:spacing w:after="0" w:line="215" w:lineRule="exact"/>
        <w:rPr>
          <w:sz w:val="20"/>
          <w:szCs w:val="20"/>
          <w:color w:val="auto"/>
        </w:rPr>
      </w:pPr>
    </w:p>
    <w:p>
      <w:pPr>
        <w:ind w:right="160" w:firstLine="963"/>
        <w:spacing w:after="0" w:line="255" w:lineRule="auto"/>
        <w:rPr>
          <w:sz w:val="20"/>
          <w:szCs w:val="20"/>
          <w:color w:val="auto"/>
        </w:rPr>
      </w:pPr>
      <w:r>
        <w:rPr>
          <w:rFonts w:ascii="Arial" w:cs="Arial" w:eastAsia="Arial" w:hAnsi="Arial"/>
          <w:sz w:val="18"/>
          <w:szCs w:val="18"/>
          <w:color w:val="auto"/>
        </w:rPr>
        <w:t>The Company received payments from LianBio totaling $25 million in April and May 2021 as initial consideration, and a total of $30 million in June and August 2021 for the achievement of two clinical development milestones.</w:t>
      </w:r>
    </w:p>
    <w:p>
      <w:pPr>
        <w:spacing w:after="0" w:line="202" w:lineRule="exact"/>
        <w:rPr>
          <w:sz w:val="20"/>
          <w:szCs w:val="20"/>
          <w:color w:val="auto"/>
        </w:rPr>
      </w:pPr>
    </w:p>
    <w:p>
      <w:pPr>
        <w:ind w:right="300" w:firstLine="963"/>
        <w:spacing w:after="0" w:line="280" w:lineRule="auto"/>
        <w:rPr>
          <w:sz w:val="20"/>
          <w:szCs w:val="20"/>
          <w:color w:val="auto"/>
        </w:rPr>
      </w:pPr>
      <w:r>
        <w:rPr>
          <w:rFonts w:ascii="Arial" w:cs="Arial" w:eastAsia="Arial" w:hAnsi="Arial"/>
          <w:sz w:val="16"/>
          <w:szCs w:val="16"/>
          <w:color w:val="auto"/>
        </w:rPr>
        <w:t>The Company is also eligible to receive other payments and consideration from LianBio upon achievement of certain additional milestones, including: (i) TP-03 clinical development and regulatory milestones, and a supply agreement milestone of up to $50 million, (ii) TP-03 sales-based milestones for the China Territory of up to $100 million, (iii) tiered mid-to-high-teen royalties for China Territory TP-03 product sales, and (iv) LianBio equity warrants, which are subject to three TP-03 clinical/regulatory achievements for complete vesting, of which one tranche vested in June 2021.</w:t>
      </w:r>
    </w:p>
    <w:p>
      <w:pPr>
        <w:spacing w:after="0" w:line="185" w:lineRule="exact"/>
        <w:rPr>
          <w:sz w:val="20"/>
          <w:szCs w:val="20"/>
          <w:color w:val="auto"/>
        </w:rPr>
      </w:pPr>
    </w:p>
    <w:p>
      <w:pPr>
        <w:jc w:val="both"/>
        <w:ind w:right="120" w:firstLine="963"/>
        <w:spacing w:after="0"/>
        <w:rPr>
          <w:sz w:val="20"/>
          <w:szCs w:val="20"/>
          <w:color w:val="auto"/>
        </w:rPr>
      </w:pPr>
      <w:r>
        <w:rPr>
          <w:rFonts w:ascii="Arial" w:cs="Arial" w:eastAsia="Arial" w:hAnsi="Arial"/>
          <w:sz w:val="18"/>
          <w:szCs w:val="18"/>
          <w:color w:val="auto"/>
        </w:rPr>
        <w:t xml:space="preserve">The Company recognized "license fees" and "collaboration revenue" for the year ended December 31, 2021 of $53.1 million and $4.0 million, respectively, in the accompanying Consolidated Statements of Operations and Comprehensive Loss, in accordance with the revenue recognition accounting policy described in </w:t>
      </w:r>
      <w:r>
        <w:rPr>
          <w:rFonts w:ascii="Arial" w:cs="Arial" w:eastAsia="Arial" w:hAnsi="Arial"/>
          <w:sz w:val="18"/>
          <w:szCs w:val="18"/>
          <w:i w:val="1"/>
          <w:iCs w:val="1"/>
          <w:color w:val="auto"/>
        </w:rPr>
        <w:t>Note 2(vi).</w:t>
      </w:r>
      <w:r>
        <w:rPr>
          <w:rFonts w:ascii="Arial" w:cs="Arial" w:eastAsia="Arial" w:hAnsi="Arial"/>
          <w:sz w:val="18"/>
          <w:szCs w:val="18"/>
          <w:color w:val="auto"/>
        </w:rPr>
        <w:t xml:space="preserve"> These amounts represent an allocation of the transaction price based upon the satisfaction of the performance obligations in the China Out-License</w:t>
      </w:r>
      <w:r>
        <w:rPr>
          <w:rFonts w:ascii="Arial" w:cs="Arial" w:eastAsia="Arial" w:hAnsi="Arial"/>
          <w:sz w:val="18"/>
          <w:szCs w:val="18"/>
          <w:i w:val="1"/>
          <w:iCs w:val="1"/>
          <w:color w:val="auto"/>
        </w:rPr>
        <w:t>.</w:t>
      </w:r>
    </w:p>
    <w:p>
      <w:pPr>
        <w:spacing w:after="0" w:line="202" w:lineRule="exact"/>
        <w:rPr>
          <w:sz w:val="20"/>
          <w:szCs w:val="20"/>
          <w:color w:val="auto"/>
        </w:rPr>
      </w:pPr>
    </w:p>
    <w:p>
      <w:pPr>
        <w:ind w:right="20" w:firstLine="963"/>
        <w:spacing w:after="0" w:line="235" w:lineRule="auto"/>
        <w:rPr>
          <w:sz w:val="20"/>
          <w:szCs w:val="20"/>
          <w:color w:val="auto"/>
        </w:rPr>
      </w:pPr>
      <w:r>
        <w:rPr>
          <w:rFonts w:ascii="Arial" w:cs="Arial" w:eastAsia="Arial" w:hAnsi="Arial"/>
          <w:sz w:val="17"/>
          <w:szCs w:val="17"/>
          <w:color w:val="auto"/>
        </w:rPr>
        <w:t xml:space="preserve">These revenue amounts were each recognized upon satisfaction of the following performance obligations (i) the transfer of TP-03 license rights in the China Territory to LianBio and (ii) the actual or partial completion of clinical activities and related data for the Company's pivotal trials of TP-03 in the treatment of Demodex blepharitis. As part of this revenue recognition model, the Company was required to value the LianBio equity warrants, applying a discounted cash flow model with highly subjective inputs for this then-private, pre-revenue company and also considered the probability of achievement of requisite vesting events. Subsequent adjustments to the estimated initial fair value of these warrants are reported within "total revenues" and "other (expense) income" on the accompanying Statements of Operations and Comprehensive Loss for the year ended December 31, 2021. The first tranche of these warrants vested and were exercised to LianBio shares and are reported within "marketable securities" on the accompanying Balance Sheet as of December 31, 2021 (see </w:t>
      </w:r>
      <w:r>
        <w:rPr>
          <w:rFonts w:ascii="Arial" w:cs="Arial" w:eastAsia="Arial" w:hAnsi="Arial"/>
          <w:sz w:val="17"/>
          <w:szCs w:val="17"/>
          <w:i w:val="1"/>
          <w:iCs w:val="1"/>
          <w:color w:val="auto"/>
        </w:rPr>
        <w:t>Note 7</w:t>
      </w:r>
      <w:r>
        <w:rPr>
          <w:rFonts w:ascii="Arial" w:cs="Arial" w:eastAsia="Arial" w:hAnsi="Arial"/>
          <w:sz w:val="17"/>
          <w:szCs w:val="17"/>
          <w:color w:val="auto"/>
        </w:rPr>
        <w:t>).</w:t>
      </w:r>
    </w:p>
    <w:p>
      <w:pPr>
        <w:spacing w:after="0" w:line="221" w:lineRule="exact"/>
        <w:rPr>
          <w:sz w:val="20"/>
          <w:szCs w:val="20"/>
          <w:color w:val="auto"/>
        </w:rPr>
      </w:pPr>
    </w:p>
    <w:p>
      <w:pPr>
        <w:jc w:val="both"/>
        <w:ind w:right="200" w:firstLine="963"/>
        <w:spacing w:after="0" w:line="259" w:lineRule="auto"/>
        <w:rPr>
          <w:sz w:val="20"/>
          <w:szCs w:val="20"/>
          <w:color w:val="auto"/>
        </w:rPr>
      </w:pPr>
      <w:r>
        <w:rPr>
          <w:rFonts w:ascii="Arial" w:cs="Arial" w:eastAsia="Arial" w:hAnsi="Arial"/>
          <w:sz w:val="18"/>
          <w:szCs w:val="18"/>
          <w:color w:val="auto"/>
        </w:rPr>
        <w:t>In future periods, the Company may recognize additional revenue from contractual receipts due from LianBio as (1) performance obligations are satisfied related to the completion of the TP-03 pivotal trial and as associated clinical data and reports are delivered, (2) regulatory approval events are achieved, and (3) LianBio records product sales of TP-03 in the China Territory.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loss from operations before provision for income taxes were as follows:</w:t>
      </w:r>
    </w:p>
    <w:p>
      <w:pPr>
        <w:spacing w:after="0" w:line="24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Year Ended</w:t>
      </w: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(26,810)</w:t>
            </w:r>
          </w:p>
        </w:tc>
      </w:tr>
      <w:tr>
        <w:trPr>
          <w:trHeight w:val="205"/>
        </w:trPr>
        <w:tc>
          <w:tcPr>
            <w:tcW w:w="8280" w:type="dxa"/>
            <w:vAlign w:val="bottom"/>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(26,810)</w:t>
            </w:r>
          </w:p>
        </w:tc>
      </w:tr>
      <w:tr>
        <w:trPr>
          <w:trHeight w:val="23"/>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provision for income taxes from operations were as follows:</w:t>
      </w:r>
    </w:p>
    <w:p>
      <w:pPr>
        <w:spacing w:after="0" w:line="24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Year Ended</w:t>
      </w: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9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1"/>
        </w:trPr>
        <w:tc>
          <w:tcPr>
            <w:tcW w:w="8280" w:type="dxa"/>
            <w:vAlign w:val="bottom"/>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828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1"/>
        </w:trPr>
        <w:tc>
          <w:tcPr>
            <w:tcW w:w="8280" w:type="dxa"/>
            <w:vAlign w:val="bottom"/>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280" w:type="dxa"/>
            <w:vAlign w:val="bottom"/>
          </w:tcPr>
          <w:p>
            <w:pPr>
              <w:ind w:left="20"/>
              <w:spacing w:after="0"/>
              <w:rPr>
                <w:sz w:val="20"/>
                <w:szCs w:val="20"/>
                <w:color w:val="auto"/>
              </w:rPr>
            </w:pPr>
            <w:r>
              <w:rPr>
                <w:rFonts w:ascii="Arial" w:cs="Arial" w:eastAsia="Arial" w:hAnsi="Arial"/>
                <w:sz w:val="16"/>
                <w:szCs w:val="16"/>
                <w:color w:val="auto"/>
              </w:rPr>
              <w:t>Total income tax provision</w:t>
            </w: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right="200" w:firstLine="883"/>
        <w:spacing w:after="0" w:line="271" w:lineRule="auto"/>
        <w:rPr>
          <w:sz w:val="20"/>
          <w:szCs w:val="20"/>
          <w:color w:val="auto"/>
        </w:rPr>
      </w:pPr>
      <w:r>
        <w:rPr>
          <w:rFonts w:ascii="Arial" w:cs="Arial" w:eastAsia="Arial" w:hAnsi="Arial"/>
          <w:sz w:val="18"/>
          <w:szCs w:val="18"/>
          <w:color w:val="auto"/>
        </w:rPr>
        <w:t>A reconciliation of income taxes was computed by applying the federal statutory income tax rate in each period to the pretax loss for the years ended December 31, 2021 and 2020, and adjusted for certain classes of transactions, as summarized below:</w:t>
      </w:r>
    </w:p>
    <w:p>
      <w:pPr>
        <w:spacing w:after="0" w:line="195"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tax benefit at statutory rate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(2,891)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State income tax, net of federal benefit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Permanent items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credits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Change in fair value of equity warrants and equity securities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valuation allowance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6,138</w:t>
            </w:r>
          </w:p>
        </w:tc>
      </w:tr>
      <w:tr>
        <w:trPr>
          <w:trHeight w:val="23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Significant components of the deferred tax assets and liabilities were as follows:</w:t>
      </w:r>
    </w:p>
    <w:p>
      <w:pPr>
        <w:spacing w:after="0" w:line="242"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Net operating loss carry forwards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4,934</w:t>
            </w:r>
          </w:p>
        </w:tc>
        <w:tc>
          <w:tcPr>
            <w:tcW w:w="1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credit carryforwards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 before valuation allowance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12,735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7,623</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valuation allowance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(12,059)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(7,475)</w:t>
            </w:r>
          </w:p>
        </w:tc>
        <w:tc>
          <w:tcPr>
            <w:tcW w:w="0" w:type="dxa"/>
            <w:vAlign w:val="bottom"/>
          </w:tcPr>
          <w:p>
            <w:pPr>
              <w:spacing w:after="0"/>
              <w:rPr>
                <w:sz w:val="1"/>
                <w:szCs w:val="1"/>
                <w:color w:val="auto"/>
              </w:rPr>
            </w:pPr>
          </w:p>
        </w:tc>
      </w:tr>
      <w:tr>
        <w:trPr>
          <w:trHeight w:val="23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Deferred tax liabilities, net:</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revenue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40" w:firstLine="883"/>
        <w:spacing w:after="0" w:line="25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The Company maintains a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$12.1 million and $7.5 million at December 31, 2021 and 2020, respectively.</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 December 31, 2021, the Company has federal and California net operating loss carryforwards of approximately $23.1 million and $24.7</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As a result of the Tax Cuts and Jobs Act of 2017 (the "Tax Act"), for U.S. income tax purposes, net operating losses generated prior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can be carried forward for up to 20 years, while net operating losses generated after December 31, 2017 can be carried forward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indefinitely, but are limited to 80% utilization against taxable income. The Company’s total federal net operating loss of $23.1 million will not expire but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will only be able to be offset 80% of future taxable income within each year. The California net operating losses will begin to expire in 2037. 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the Company had federal and California research and development tax credits of $3.0 million and $1.1 million, respectively. The federal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tax credits begin to expire in 2040 unless previously utilized, and the California credit carryforwards are available indefinitely.</w:t>
      </w:r>
    </w:p>
    <w:p>
      <w:pPr>
        <w:spacing w:after="0" w:line="231" w:lineRule="exact"/>
        <w:rPr>
          <w:sz w:val="20"/>
          <w:szCs w:val="20"/>
          <w:color w:val="auto"/>
        </w:rPr>
      </w:pPr>
    </w:p>
    <w:p>
      <w:pPr>
        <w:ind w:firstLine="883"/>
        <w:spacing w:after="0" w:line="252" w:lineRule="auto"/>
        <w:rPr>
          <w:sz w:val="20"/>
          <w:szCs w:val="20"/>
          <w:color w:val="auto"/>
        </w:rPr>
      </w:pPr>
      <w:r>
        <w:rPr>
          <w:rFonts w:ascii="Arial" w:cs="Arial" w:eastAsia="Arial" w:hAnsi="Arial"/>
          <w:sz w:val="18"/>
          <w:szCs w:val="18"/>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94" w:lineRule="exact"/>
        <w:rPr>
          <w:sz w:val="20"/>
          <w:szCs w:val="20"/>
          <w:color w:val="auto"/>
        </w:rPr>
      </w:pPr>
    </w:p>
    <w:p>
      <w:pPr>
        <w:ind w:firstLine="883"/>
        <w:spacing w:after="0" w:line="267"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December 31, 2020, the Company had gross unrecognized tax benefits of $3.0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on the accompanying Balance Sheets at December 31, 2021 and has not recognized interest and/or penalties on the accompanying Statements of Operations for the years ended December 31, 2021 or 2020.</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changes to the gross unrecognized tax benefits:</w:t>
      </w:r>
    </w:p>
    <w:p>
      <w:pPr>
        <w:spacing w:after="0" w:line="242"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2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Additions related to current year positions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related to prior year positions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Decreases related to prior year positions</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2"/>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92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00" w:firstLine="883"/>
        <w:spacing w:after="0" w:line="255" w:lineRule="auto"/>
        <w:rPr>
          <w:sz w:val="20"/>
          <w:szCs w:val="20"/>
          <w:color w:val="auto"/>
        </w:rPr>
      </w:pPr>
      <w:r>
        <w:rPr>
          <w:rFonts w:ascii="Arial" w:cs="Arial" w:eastAsia="Arial" w:hAnsi="Arial"/>
          <w:sz w:val="18"/>
          <w:szCs w:val="18"/>
          <w:color w:val="auto"/>
        </w:rPr>
        <w:t>The Company is subject to taxation in the U.S. Federal jurisdiction and California.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2021 and 2020 and the years then ended. Further, the Company is not currently under examination by any federal, state, or local tax authority.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with Hercules Capital and Silicon Valley Bank</w:t>
      </w:r>
    </w:p>
    <w:p>
      <w:pPr>
        <w:spacing w:after="0" w:line="221" w:lineRule="exact"/>
        <w:rPr>
          <w:sz w:val="20"/>
          <w:szCs w:val="20"/>
          <w:color w:val="auto"/>
        </w:rPr>
      </w:pPr>
    </w:p>
    <w:p>
      <w:pPr>
        <w:ind w:firstLine="883"/>
        <w:spacing w:after="0" w:line="259" w:lineRule="auto"/>
        <w:rPr>
          <w:sz w:val="20"/>
          <w:szCs w:val="20"/>
          <w:color w:val="auto"/>
        </w:rPr>
      </w:pPr>
      <w:r>
        <w:rPr>
          <w:rFonts w:ascii="Arial" w:cs="Arial" w:eastAsia="Arial" w:hAnsi="Arial"/>
          <w:sz w:val="17"/>
          <w:szCs w:val="17"/>
          <w:color w:val="auto"/>
        </w:rPr>
        <w:t>On February 2, 2022, the Company executed a loan and security agreement (the "Credit Facility") with Hercules Capital, Inc. ("Hercules") and Silicon Valley Bank ("SVB"). The Credit Facility provides an aggregate principal amount of up to $175 million with tranched availability as follows: $40 million at closing with $20 million drawn in February 2022, $25 million upon submission of a new drug application with the FDA for TP-03, $35 million upon FDA approval of TP-03, and $75 million upon achievement of certain revenue thresholds and other conditions.</w:t>
      </w:r>
    </w:p>
    <w:p>
      <w:pPr>
        <w:spacing w:after="0" w:line="186" w:lineRule="exact"/>
        <w:rPr>
          <w:sz w:val="20"/>
          <w:szCs w:val="20"/>
          <w:color w:val="auto"/>
        </w:rPr>
      </w:pPr>
    </w:p>
    <w:p>
      <w:pPr>
        <w:ind w:right="80" w:firstLine="883"/>
        <w:spacing w:after="0"/>
        <w:rPr>
          <w:sz w:val="20"/>
          <w:szCs w:val="20"/>
          <w:color w:val="auto"/>
        </w:rPr>
      </w:pPr>
      <w:r>
        <w:rPr>
          <w:rFonts w:ascii="Arial" w:cs="Arial" w:eastAsia="Arial" w:hAnsi="Arial"/>
          <w:sz w:val="18"/>
          <w:szCs w:val="18"/>
          <w:color w:val="auto"/>
        </w:rPr>
        <w:t>Each of the tranches may be drawn down in $5 million increments at the Company's election. The Credit Facility includes a four-year interest only period and is extendable to five years upon meeting certain conditions. There is no warrant coverage to the lenders.</w:t>
      </w: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the Effectiveness of Disclosure Controls and Procedures</w:t>
      </w:r>
    </w:p>
    <w:p>
      <w:pPr>
        <w:spacing w:after="0" w:line="234" w:lineRule="exact"/>
        <w:rPr>
          <w:sz w:val="20"/>
          <w:szCs w:val="20"/>
          <w:color w:val="auto"/>
        </w:rPr>
      </w:pPr>
    </w:p>
    <w:p>
      <w:pPr>
        <w:ind w:right="20" w:firstLine="883"/>
        <w:spacing w:after="0" w:line="290" w:lineRule="auto"/>
        <w:rPr>
          <w:sz w:val="20"/>
          <w:szCs w:val="20"/>
          <w:color w:val="auto"/>
        </w:rPr>
      </w:pPr>
      <w:r>
        <w:rPr>
          <w:rFonts w:ascii="Arial" w:cs="Arial" w:eastAsia="Arial" w:hAnsi="Arial"/>
          <w:sz w:val="16"/>
          <w:szCs w:val="16"/>
          <w:color w:val="auto"/>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177" w:lineRule="exact"/>
        <w:rPr>
          <w:sz w:val="20"/>
          <w:szCs w:val="20"/>
          <w:color w:val="auto"/>
        </w:rPr>
      </w:pPr>
    </w:p>
    <w:p>
      <w:pPr>
        <w:ind w:right="40" w:firstLine="883"/>
        <w:spacing w:after="0" w:line="236"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the design and operation of our disclosure controls and procedures (as defined in Rules 13a-15(e) under the Exchange Act) as of December 31, 2021. Based upon that evaluation, our Chief Executive Officer and Chief Financial Officer have concluded that as of December 31, 2021, the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34" w:lineRule="exact"/>
        <w:rPr>
          <w:sz w:val="20"/>
          <w:szCs w:val="20"/>
          <w:color w:val="auto"/>
        </w:rPr>
      </w:pPr>
    </w:p>
    <w:p>
      <w:pPr>
        <w:ind w:right="140" w:firstLine="883"/>
        <w:spacing w:after="0" w:line="27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Rules 13a-15(f) and 15d-15(f). We maintain internal control over financial reporting designed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right="100" w:firstLine="883"/>
        <w:spacing w:after="0" w:line="262" w:lineRule="auto"/>
        <w:rPr>
          <w:sz w:val="20"/>
          <w:szCs w:val="20"/>
          <w:color w:val="auto"/>
        </w:rPr>
      </w:pPr>
      <w:r>
        <w:rPr>
          <w:rFonts w:ascii="Arial" w:cs="Arial" w:eastAsia="Arial" w:hAnsi="Arial"/>
          <w:sz w:val="16"/>
          <w:szCs w:val="16"/>
          <w:color w:val="auto"/>
        </w:rPr>
        <w:t>Under the supervision and with the participation of our Chief Executive Officer and our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at the reasonable assurance level as of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4" w:lineRule="exact"/>
        <w:rPr>
          <w:sz w:val="20"/>
          <w:szCs w:val="20"/>
          <w:color w:val="auto"/>
        </w:rPr>
      </w:pPr>
    </w:p>
    <w:p>
      <w:pPr>
        <w:ind w:firstLine="883"/>
        <w:spacing w:after="0" w:line="317" w:lineRule="auto"/>
        <w:rPr>
          <w:sz w:val="20"/>
          <w:szCs w:val="20"/>
          <w:color w:val="auto"/>
        </w:rPr>
      </w:pPr>
      <w:r>
        <w:rPr>
          <w:rFonts w:ascii="Arial" w:cs="Arial" w:eastAsia="Arial" w:hAnsi="Arial"/>
          <w:sz w:val="16"/>
          <w:szCs w:val="16"/>
          <w:color w:val="auto"/>
        </w:rPr>
        <w:t>There have been no changes in our internal control over financial reporting (as defined by Exchange Act Rule 13a-15(f) and 15d-15(f)) that have materially affected, or are reasonably likely to materially affect, our internal control over financial reporting during the quarter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1" w:lineRule="exact"/>
        <w:rPr>
          <w:sz w:val="20"/>
          <w:szCs w:val="20"/>
          <w:color w:val="auto"/>
        </w:rPr>
      </w:pPr>
    </w:p>
    <w:p>
      <w:pPr>
        <w:ind w:right="80" w:firstLine="437"/>
        <w:spacing w:after="0" w:line="234"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133" w:name="page134"/>
    <w:bookmarkEnd w:id="133"/>
    <w:p>
      <w:pPr>
        <w:jc w:val="center"/>
        <w:ind w:right="7959"/>
        <w:spacing w:after="0"/>
        <w:rPr>
          <w:sz w:val="20"/>
          <w:szCs w:val="20"/>
          <w:color w:val="auto"/>
        </w:rPr>
      </w:pPr>
      <w:r>
        <w:rPr>
          <w:rFonts w:ascii="Arial" w:cs="Arial" w:eastAsia="Arial" w:hAnsi="Arial"/>
          <w:sz w:val="16"/>
          <w:szCs w:val="16"/>
          <w:b w:val="1"/>
          <w:bCs w:val="1"/>
          <w:color w:val="auto"/>
        </w:rPr>
        <w:t>Item 9B. Other Information.</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097" w:right="1440"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firstLine="883"/>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December 31, 2021 (the "Proxy Statement"), and is incorporated in this Annual Report on Form 10-K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information required by this item will be contained in our Proxy Statement and is incorporated in this Annual Report on Form 10-K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information required by this item will be contained in our Proxy Statement and is incorporated in this Annual Report on Form 10-K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information required by this item will be contained in our Proxy Statement and is incorporated in this Annual Report on Form 10-K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information required by this item will be contained in our Proxy Statement and is incorporated in this Annual Report on Form 10-K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83" w:right="379" w:bottom="1440" w:gutter="0" w:footer="0" w:header="0"/>
        </w:sectPr>
      </w:pPr>
    </w:p>
    <w:bookmarkStart w:id="135" w:name="page136"/>
    <w:bookmarkEnd w:id="135"/>
    <w:p>
      <w:pPr>
        <w:jc w:val="center"/>
        <w:ind w:right="-539"/>
        <w:spacing w:after="0"/>
        <w:rPr>
          <w:sz w:val="20"/>
          <w:szCs w:val="20"/>
          <w:color w:val="auto"/>
        </w:rPr>
      </w:pPr>
      <w:r>
        <w:rPr>
          <w:rFonts w:ascii="Arial" w:cs="Arial" w:eastAsia="Arial" w:hAnsi="Arial"/>
          <w:sz w:val="18"/>
          <w:szCs w:val="18"/>
          <w:b w:val="1"/>
          <w:bCs w:val="1"/>
          <w:color w:val="auto"/>
        </w:rPr>
        <w:t>Part IV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ind w:left="240" w:hanging="233"/>
        <w:spacing w:after="0"/>
        <w:tabs>
          <w:tab w:leader="none" w:pos="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47" w:lineRule="exact"/>
        <w:rPr>
          <w:rFonts w:ascii="Arial" w:cs="Arial" w:eastAsia="Arial" w:hAnsi="Arial"/>
          <w:sz w:val="18"/>
          <w:szCs w:val="18"/>
          <w:color w:val="auto"/>
        </w:rPr>
      </w:pPr>
    </w:p>
    <w:p>
      <w:pPr>
        <w:ind w:left="900" w:hanging="251"/>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Financial Statements (included in Part II of this Annual Report on Form 10-K):</w:t>
      </w:r>
    </w:p>
    <w:p>
      <w:pPr>
        <w:spacing w:after="0" w:line="247" w:lineRule="exact"/>
        <w:rPr>
          <w:rFonts w:ascii="Arial" w:cs="Arial" w:eastAsia="Arial" w:hAnsi="Arial"/>
          <w:sz w:val="18"/>
          <w:szCs w:val="18"/>
          <w:color w:val="auto"/>
        </w:rPr>
      </w:pPr>
    </w:p>
    <w:p>
      <w:pPr>
        <w:ind w:left="1280" w:hanging="310"/>
        <w:spacing w:after="0"/>
        <w:tabs>
          <w:tab w:leader="none" w:pos="12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9" w:lineRule="exact"/>
        <w:rPr>
          <w:rFonts w:ascii="Arial" w:cs="Arial" w:eastAsia="Arial" w:hAnsi="Arial"/>
          <w:sz w:val="18"/>
          <w:szCs w:val="18"/>
          <w:color w:val="auto"/>
        </w:rPr>
      </w:pPr>
    </w:p>
    <w:p>
      <w:pPr>
        <w:ind w:left="1280" w:hanging="310"/>
        <w:spacing w:after="0"/>
        <w:tabs>
          <w:tab w:leader="none" w:pos="12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Balance Sheets</w:t>
      </w:r>
    </w:p>
    <w:p>
      <w:pPr>
        <w:spacing w:after="0" w:line="6" w:lineRule="exact"/>
        <w:rPr>
          <w:rFonts w:ascii="Arial" w:cs="Arial" w:eastAsia="Arial" w:hAnsi="Arial"/>
          <w:sz w:val="18"/>
          <w:szCs w:val="18"/>
          <w:color w:val="auto"/>
        </w:rPr>
      </w:pPr>
    </w:p>
    <w:p>
      <w:pPr>
        <w:ind w:left="1280" w:hanging="310"/>
        <w:spacing w:after="0"/>
        <w:tabs>
          <w:tab w:leader="none" w:pos="12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Statements of Operations and Comprehensive Loss</w:t>
      </w:r>
    </w:p>
    <w:p>
      <w:pPr>
        <w:spacing w:after="0" w:line="6" w:lineRule="exact"/>
        <w:rPr>
          <w:rFonts w:ascii="Arial" w:cs="Arial" w:eastAsia="Arial" w:hAnsi="Arial"/>
          <w:sz w:val="18"/>
          <w:szCs w:val="18"/>
          <w:color w:val="auto"/>
        </w:rPr>
      </w:pPr>
    </w:p>
    <w:p>
      <w:pPr>
        <w:ind w:left="1280" w:hanging="310"/>
        <w:spacing w:after="0"/>
        <w:tabs>
          <w:tab w:leader="none" w:pos="12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Statements of Stockholder's Equity</w:t>
      </w:r>
    </w:p>
    <w:p>
      <w:pPr>
        <w:spacing w:after="0" w:line="6" w:lineRule="exact"/>
        <w:rPr>
          <w:rFonts w:ascii="Arial" w:cs="Arial" w:eastAsia="Arial" w:hAnsi="Arial"/>
          <w:sz w:val="18"/>
          <w:szCs w:val="18"/>
          <w:color w:val="auto"/>
        </w:rPr>
      </w:pPr>
    </w:p>
    <w:p>
      <w:pPr>
        <w:ind w:left="1280" w:hanging="310"/>
        <w:spacing w:after="0"/>
        <w:tabs>
          <w:tab w:leader="none" w:pos="12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Statements of Cash Flows</w:t>
      </w:r>
    </w:p>
    <w:p>
      <w:pPr>
        <w:spacing w:after="0" w:line="6" w:lineRule="exact"/>
        <w:rPr>
          <w:rFonts w:ascii="Arial" w:cs="Arial" w:eastAsia="Arial" w:hAnsi="Arial"/>
          <w:sz w:val="18"/>
          <w:szCs w:val="18"/>
          <w:color w:val="auto"/>
        </w:rPr>
      </w:pPr>
    </w:p>
    <w:p>
      <w:pPr>
        <w:ind w:left="1280" w:hanging="310"/>
        <w:spacing w:after="0"/>
        <w:tabs>
          <w:tab w:leader="none" w:pos="12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234" w:lineRule="exact"/>
        <w:rPr>
          <w:rFonts w:ascii="Arial" w:cs="Arial" w:eastAsia="Arial" w:hAnsi="Arial"/>
          <w:sz w:val="18"/>
          <w:szCs w:val="18"/>
          <w:color w:val="auto"/>
        </w:rPr>
      </w:pPr>
    </w:p>
    <w:p>
      <w:pPr>
        <w:ind w:left="900" w:hanging="251"/>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All financial statement schedules are omitted because the information is inapplicable or presented in the notes to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exhibits are included herein or incorporated herein by reference:</w:t>
      </w:r>
    </w:p>
    <w:p>
      <w:pPr>
        <w:sectPr>
          <w:pgSz w:w="11900" w:h="16838" w:orient="portrait"/>
          <w:cols w:equalWidth="0" w:num="1">
            <w:col w:w="10720"/>
          </w:cols>
          <w:pgMar w:left="320" w:top="109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0"/>
          </w:cols>
          <w:pgMar w:left="320" w:top="1097" w:right="859" w:bottom="1440" w:gutter="0" w:footer="0" w:header="0"/>
          <w:type w:val="continuous"/>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37"/>
          </w:tcPr>
          <w:p>
            <w:pPr>
              <w:ind w:left="160"/>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jc w:val="center"/>
              <w:ind w:right="49"/>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tcPr>
          <w:p>
            <w:pPr>
              <w:ind w:left="440"/>
              <w:spacing w:after="0"/>
              <w:rPr>
                <w:sz w:val="20"/>
                <w:szCs w:val="20"/>
                <w:color w:val="auto"/>
              </w:rPr>
            </w:pPr>
            <w:r>
              <w:rPr>
                <w:rFonts w:ascii="Arial" w:cs="Arial" w:eastAsia="Arial" w:hAnsi="Arial"/>
                <w:sz w:val="14"/>
                <w:szCs w:val="14"/>
                <w:b w:val="1"/>
                <w:bCs w:val="1"/>
                <w:color w:val="auto"/>
              </w:rPr>
              <w:t>File No.</w:t>
            </w:r>
          </w:p>
        </w:tc>
        <w:tc>
          <w:tcPr>
            <w:tcW w:w="1400" w:type="dxa"/>
            <w:vAlign w:val="bottom"/>
          </w:tcPr>
          <w:p>
            <w:pPr>
              <w:ind w:left="600"/>
              <w:spacing w:after="0"/>
              <w:rPr>
                <w:sz w:val="20"/>
                <w:szCs w:val="20"/>
                <w:color w:val="auto"/>
              </w:rPr>
            </w:pPr>
            <w:r>
              <w:rPr>
                <w:rFonts w:ascii="Arial" w:cs="Arial" w:eastAsia="Arial" w:hAnsi="Arial"/>
                <w:sz w:val="14"/>
                <w:szCs w:val="14"/>
                <w:b w:val="1"/>
                <w:bCs w:val="1"/>
                <w:color w:val="auto"/>
              </w:rPr>
              <w:t>Exhibit</w:t>
            </w:r>
          </w:p>
        </w:tc>
        <w:tc>
          <w:tcPr>
            <w:tcW w:w="1700" w:type="dxa"/>
            <w:vAlign w:val="bottom"/>
          </w:tcPr>
          <w:p>
            <w:pPr>
              <w:jc w:val="center"/>
              <w:ind w:left="69"/>
              <w:spacing w:after="0"/>
              <w:rPr>
                <w:sz w:val="20"/>
                <w:szCs w:val="20"/>
                <w:color w:val="auto"/>
              </w:rPr>
            </w:pPr>
            <w:r>
              <w:rPr>
                <w:rFonts w:ascii="Arial" w:cs="Arial" w:eastAsia="Arial" w:hAnsi="Arial"/>
                <w:sz w:val="14"/>
                <w:szCs w:val="14"/>
                <w:b w:val="1"/>
                <w:bCs w:val="1"/>
                <w:color w:val="auto"/>
                <w:w w:val="94"/>
              </w:rPr>
              <w:t>Filing Date</w:t>
            </w:r>
          </w:p>
        </w:tc>
        <w:tc>
          <w:tcPr>
            <w:tcW w:w="900" w:type="dxa"/>
            <w:vAlign w:val="bottom"/>
          </w:tcPr>
          <w:p>
            <w:pPr>
              <w:jc w:val="center"/>
              <w:ind w:left="9"/>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00" w:type="dxa"/>
            <w:vAlign w:val="bottom"/>
          </w:tcPr>
          <w:p>
            <w:pPr>
              <w:jc w:val="center"/>
              <w:ind w:left="9"/>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5"/>
        </w:trPr>
        <w:tc>
          <w:tcPr>
            <w:tcW w:w="1080" w:type="dxa"/>
            <w:vAlign w:val="bottom"/>
            <w:vMerge w:val="restart"/>
          </w:tcPr>
          <w:p>
            <w:pPr>
              <w:spacing w:after="0"/>
              <w:rPr>
                <w:sz w:val="20"/>
                <w:szCs w:val="20"/>
                <w:color w:val="auto"/>
              </w:rPr>
            </w:pPr>
            <w:r>
              <w:rPr>
                <w:rFonts w:ascii="Arial" w:cs="Arial" w:eastAsia="Arial" w:hAnsi="Arial"/>
                <w:sz w:val="14"/>
                <w:szCs w:val="14"/>
                <w:color w:val="auto"/>
              </w:rPr>
              <w:t>3.1</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bottom w:val="single" w:sz="8" w:color="0000FF"/>
            </w:tcBorders>
            <w:gridSpan w:val="29"/>
          </w:tcPr>
          <w:p>
            <w:pPr>
              <w:spacing w:after="0" w:line="154" w:lineRule="exact"/>
              <w:rPr>
                <w:rFonts w:ascii="Arial" w:cs="Arial" w:eastAsia="Arial" w:hAnsi="Arial"/>
                <w:sz w:val="14"/>
                <w:szCs w:val="14"/>
                <w:color w:val="0000FF"/>
                <w:w w:val="92"/>
              </w:rPr>
            </w:pPr>
            <w:hyperlink r:id="rId159">
              <w:r>
                <w:rPr>
                  <w:rFonts w:ascii="Arial" w:cs="Arial" w:eastAsia="Arial" w:hAnsi="Arial"/>
                  <w:sz w:val="14"/>
                  <w:szCs w:val="14"/>
                  <w:color w:val="0000FF"/>
                  <w:w w:val="92"/>
                </w:rPr>
                <w:t>Amended and Restated Certificate of Incorporation of Registrant.</w:t>
              </w:r>
            </w:hyperlink>
          </w:p>
        </w:tc>
        <w:tc>
          <w:tcPr>
            <w:tcW w:w="420" w:type="dxa"/>
            <w:vAlign w:val="bottom"/>
            <w:gridSpan w:val="16"/>
          </w:tcPr>
          <w:p>
            <w:pPr>
              <w:spacing w:after="0"/>
              <w:rPr>
                <w:sz w:val="13"/>
                <w:szCs w:val="13"/>
                <w:color w:val="auto"/>
              </w:rPr>
            </w:pPr>
          </w:p>
        </w:tc>
        <w:tc>
          <w:tcPr>
            <w:tcW w:w="820" w:type="dxa"/>
            <w:vAlign w:val="bottom"/>
          </w:tcPr>
          <w:p>
            <w:pPr>
              <w:jc w:val="center"/>
              <w:ind w:right="49"/>
              <w:spacing w:after="0" w:line="154" w:lineRule="exact"/>
              <w:rPr>
                <w:sz w:val="20"/>
                <w:szCs w:val="20"/>
                <w:color w:val="auto"/>
              </w:rPr>
            </w:pPr>
            <w:r>
              <w:rPr>
                <w:rFonts w:ascii="Arial" w:cs="Arial" w:eastAsia="Arial" w:hAnsi="Arial"/>
                <w:sz w:val="14"/>
                <w:szCs w:val="14"/>
                <w:color w:val="auto"/>
              </w:rPr>
              <w:t>8-K</w:t>
            </w:r>
          </w:p>
        </w:tc>
        <w:tc>
          <w:tcPr>
            <w:tcW w:w="1140" w:type="dxa"/>
            <w:vAlign w:val="bottom"/>
          </w:tcPr>
          <w:p>
            <w:pPr>
              <w:jc w:val="center"/>
              <w:ind w:left="129"/>
              <w:spacing w:after="0" w:line="154" w:lineRule="exact"/>
              <w:rPr>
                <w:sz w:val="20"/>
                <w:szCs w:val="20"/>
                <w:color w:val="auto"/>
              </w:rPr>
            </w:pPr>
            <w:r>
              <w:rPr>
                <w:rFonts w:ascii="Arial" w:cs="Arial" w:eastAsia="Arial" w:hAnsi="Arial"/>
                <w:sz w:val="14"/>
                <w:szCs w:val="14"/>
                <w:color w:val="auto"/>
                <w:w w:val="92"/>
              </w:rPr>
              <w:t>001-39614</w:t>
            </w:r>
          </w:p>
        </w:tc>
        <w:tc>
          <w:tcPr>
            <w:tcW w:w="1400" w:type="dxa"/>
            <w:vAlign w:val="bottom"/>
          </w:tcPr>
          <w:p>
            <w:pPr>
              <w:jc w:val="center"/>
              <w:ind w:left="189"/>
              <w:spacing w:after="0" w:line="154" w:lineRule="exact"/>
              <w:rPr>
                <w:sz w:val="20"/>
                <w:szCs w:val="20"/>
                <w:color w:val="auto"/>
              </w:rPr>
            </w:pPr>
            <w:r>
              <w:rPr>
                <w:rFonts w:ascii="Arial" w:cs="Arial" w:eastAsia="Arial" w:hAnsi="Arial"/>
                <w:sz w:val="14"/>
                <w:szCs w:val="14"/>
                <w:color w:val="auto"/>
                <w:w w:val="92"/>
              </w:rPr>
              <w:t>3.1</w:t>
            </w:r>
          </w:p>
        </w:tc>
        <w:tc>
          <w:tcPr>
            <w:tcW w:w="1700" w:type="dxa"/>
            <w:vAlign w:val="bottom"/>
          </w:tcPr>
          <w:p>
            <w:pPr>
              <w:jc w:val="center"/>
              <w:ind w:left="69"/>
              <w:spacing w:after="0" w:line="154" w:lineRule="exact"/>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6"/>
                <w:szCs w:val="16"/>
                <w:color w:val="auto"/>
              </w:rPr>
            </w:pPr>
          </w:p>
        </w:tc>
        <w:tc>
          <w:tcPr>
            <w:tcW w:w="2600" w:type="dxa"/>
            <w:vAlign w:val="bottom"/>
            <w:tcBorders>
              <w:bottom w:val="single" w:sz="8" w:color="0000FF"/>
            </w:tcBorders>
            <w:gridSpan w:val="13"/>
          </w:tcPr>
          <w:p>
            <w:pPr>
              <w:spacing w:after="0"/>
              <w:rPr>
                <w:rFonts w:ascii="Arial" w:cs="Arial" w:eastAsia="Arial" w:hAnsi="Arial"/>
                <w:sz w:val="14"/>
                <w:szCs w:val="14"/>
                <w:color w:val="0000FF"/>
                <w:w w:val="91"/>
              </w:rPr>
            </w:pPr>
            <w:hyperlink r:id="rId160">
              <w:r>
                <w:rPr>
                  <w:rFonts w:ascii="Arial" w:cs="Arial" w:eastAsia="Arial" w:hAnsi="Arial"/>
                  <w:sz w:val="14"/>
                  <w:szCs w:val="14"/>
                  <w:color w:val="0000FF"/>
                  <w:w w:val="91"/>
                </w:rPr>
                <w:t>Amended and Restated Bylaws of Registrant.</w:t>
              </w:r>
            </w:hyperlink>
          </w:p>
        </w:tc>
        <w:tc>
          <w:tcPr>
            <w:tcW w:w="1560" w:type="dxa"/>
            <w:vAlign w:val="bottom"/>
            <w:gridSpan w:val="32"/>
          </w:tcPr>
          <w:p>
            <w:pPr>
              <w:spacing w:after="0"/>
              <w:rPr>
                <w:sz w:val="16"/>
                <w:szCs w:val="16"/>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2"/>
              </w:rPr>
              <w:t>001-39614</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92"/>
              </w:rPr>
              <w:t>3.2</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6"/>
                <w:szCs w:val="16"/>
                <w:color w:val="auto"/>
              </w:rPr>
            </w:pPr>
          </w:p>
        </w:tc>
        <w:tc>
          <w:tcPr>
            <w:tcW w:w="2700" w:type="dxa"/>
            <w:vAlign w:val="bottom"/>
            <w:tcBorders>
              <w:bottom w:val="single" w:sz="8" w:color="0000FF"/>
            </w:tcBorders>
            <w:gridSpan w:val="14"/>
          </w:tcPr>
          <w:p>
            <w:pPr>
              <w:spacing w:after="0"/>
              <w:rPr>
                <w:rFonts w:ascii="Arial" w:cs="Arial" w:eastAsia="Arial" w:hAnsi="Arial"/>
                <w:sz w:val="14"/>
                <w:szCs w:val="14"/>
                <w:color w:val="0000FF"/>
                <w:w w:val="93"/>
              </w:rPr>
            </w:pPr>
            <w:hyperlink r:id="rId161">
              <w:r>
                <w:rPr>
                  <w:rFonts w:ascii="Arial" w:cs="Arial" w:eastAsia="Arial" w:hAnsi="Arial"/>
                  <w:sz w:val="14"/>
                  <w:szCs w:val="14"/>
                  <w:color w:val="0000FF"/>
                  <w:w w:val="93"/>
                </w:rPr>
                <w:t>Form of Registrant’s common stock certificate.</w:t>
              </w:r>
            </w:hyperlink>
          </w:p>
        </w:tc>
        <w:tc>
          <w:tcPr>
            <w:tcW w:w="1460" w:type="dxa"/>
            <w:vAlign w:val="bottom"/>
            <w:gridSpan w:val="31"/>
          </w:tcPr>
          <w:p>
            <w:pPr>
              <w:spacing w:after="0"/>
              <w:rPr>
                <w:sz w:val="16"/>
                <w:szCs w:val="16"/>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92"/>
              </w:rPr>
              <w:t>4.1</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w:anchor="page141">
              <w:r>
                <w:rPr>
                  <w:rFonts w:ascii="Arial" w:cs="Arial" w:eastAsia="Arial" w:hAnsi="Arial"/>
                  <w:sz w:val="14"/>
                  <w:szCs w:val="14"/>
                  <w:color w:val="0000FF"/>
                </w:rPr>
                <w:t>Description of the Registrant’s securities registered pursuant to</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10-K</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2"/>
              </w:rPr>
              <w:t>001-39614</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92"/>
              </w:rPr>
              <w:t>4.2</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4"/>
              </w:rPr>
              <w:t>March 31, 2021</w:t>
            </w:r>
          </w:p>
        </w:tc>
        <w:tc>
          <w:tcPr>
            <w:tcW w:w="900" w:type="dxa"/>
            <w:vAlign w:val="bottom"/>
          </w:tcPr>
          <w:p>
            <w:pPr>
              <w:jc w:val="center"/>
              <w:ind w:left="9"/>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16"/>
          </w:tcPr>
          <w:p>
            <w:pPr>
              <w:spacing w:after="0" w:line="141" w:lineRule="exact"/>
              <w:rPr>
                <w:rFonts w:ascii="Arial" w:cs="Arial" w:eastAsia="Arial" w:hAnsi="Arial"/>
                <w:sz w:val="14"/>
                <w:szCs w:val="14"/>
                <w:color w:val="0000FF"/>
                <w:w w:val="91"/>
              </w:rPr>
            </w:pPr>
            <w:hyperlink w:anchor="page141">
              <w:r>
                <w:rPr>
                  <w:rFonts w:ascii="Arial" w:cs="Arial" w:eastAsia="Arial" w:hAnsi="Arial"/>
                  <w:sz w:val="14"/>
                  <w:szCs w:val="14"/>
                  <w:color w:val="0000FF"/>
                  <w:w w:val="91"/>
                </w:rPr>
                <w:t>Section 12 of the Securities Exchange Act of 1934.</w:t>
              </w:r>
            </w:hyperlink>
          </w:p>
        </w:tc>
        <w:tc>
          <w:tcPr>
            <w:tcW w:w="68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r:id="rId162">
              <w:r>
                <w:rPr>
                  <w:rFonts w:ascii="Arial" w:cs="Arial" w:eastAsia="Arial" w:hAnsi="Arial"/>
                  <w:sz w:val="14"/>
                  <w:szCs w:val="14"/>
                  <w:color w:val="0000FF"/>
                </w:rPr>
                <w:t>Amended and Restated Investors’ Rights Agreement, dated</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92"/>
              </w:rPr>
              <w:t>4.2</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80" w:type="dxa"/>
            <w:vAlign w:val="bottom"/>
            <w:tcBorders>
              <w:top w:val="single" w:sz="8" w:color="0000FF"/>
            </w:tcBorders>
            <w:gridSpan w:val="19"/>
          </w:tcPr>
          <w:p>
            <w:pPr>
              <w:spacing w:after="0" w:line="141" w:lineRule="exact"/>
              <w:rPr>
                <w:rFonts w:ascii="Arial" w:cs="Arial" w:eastAsia="Arial" w:hAnsi="Arial"/>
                <w:sz w:val="14"/>
                <w:szCs w:val="14"/>
                <w:color w:val="0000FF"/>
                <w:w w:val="92"/>
              </w:rPr>
            </w:pPr>
            <w:hyperlink r:id="rId162">
              <w:r>
                <w:rPr>
                  <w:rFonts w:ascii="Arial" w:cs="Arial" w:eastAsia="Arial" w:hAnsi="Arial"/>
                  <w:sz w:val="14"/>
                  <w:szCs w:val="14"/>
                  <w:color w:val="0000FF"/>
                  <w:w w:val="92"/>
                </w:rPr>
                <w:t>September 24, 2020, by and among the Registrant and the</w:t>
              </w:r>
            </w:hyperlink>
          </w:p>
        </w:tc>
        <w:tc>
          <w:tcPr>
            <w:tcW w:w="780" w:type="dxa"/>
            <w:vAlign w:val="bottom"/>
            <w:gridSpan w:val="26"/>
          </w:tcPr>
          <w:p>
            <w:pPr>
              <w:spacing w:after="0" w:line="141" w:lineRule="exact"/>
              <w:rPr>
                <w:rFonts w:ascii="Arial" w:cs="Arial" w:eastAsia="Arial" w:hAnsi="Arial"/>
                <w:sz w:val="14"/>
                <w:szCs w:val="14"/>
                <w:color w:val="0000FF"/>
              </w:rPr>
            </w:pPr>
            <w:hyperlink r:id="rId162">
              <w:r>
                <w:rPr>
                  <w:rFonts w:ascii="Arial" w:cs="Arial" w:eastAsia="Arial" w:hAnsi="Arial"/>
                  <w:sz w:val="14"/>
                  <w:szCs w:val="14"/>
                  <w:color w:val="0000FF"/>
                </w:rPr>
                <w:t>other</w:t>
              </w:r>
            </w:hyperlink>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top w:val="single" w:sz="8" w:color="0000FF"/>
            </w:tcBorders>
            <w:gridSpan w:val="26"/>
          </w:tcPr>
          <w:p>
            <w:pPr>
              <w:spacing w:after="0" w:line="141" w:lineRule="exact"/>
              <w:rPr>
                <w:rFonts w:ascii="Arial" w:cs="Arial" w:eastAsia="Arial" w:hAnsi="Arial"/>
                <w:sz w:val="14"/>
                <w:szCs w:val="14"/>
                <w:color w:val="0000FF"/>
              </w:rPr>
            </w:pPr>
            <w:hyperlink r:id="rId162">
              <w:r>
                <w:rPr>
                  <w:rFonts w:ascii="Arial" w:cs="Arial" w:eastAsia="Arial" w:hAnsi="Arial"/>
                  <w:sz w:val="14"/>
                  <w:szCs w:val="14"/>
                  <w:color w:val="0000FF"/>
                </w:rPr>
                <w:t>parties thereto.</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6"/>
              </w:rPr>
            </w:pPr>
            <w:hyperlink r:id="rId163">
              <w:r>
                <w:rPr>
                  <w:rFonts w:ascii="Arial" w:cs="Arial" w:eastAsia="Arial" w:hAnsi="Arial"/>
                  <w:sz w:val="14"/>
                  <w:szCs w:val="14"/>
                  <w:color w:val="0000FF"/>
                  <w:w w:val="96"/>
                </w:rPr>
                <w:t>Form of Indemnification Agreement between the Registrant and each</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10.1</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12"/>
          </w:tcPr>
          <w:p>
            <w:pPr>
              <w:spacing w:after="0" w:line="141" w:lineRule="exact"/>
              <w:rPr>
                <w:rFonts w:ascii="Arial" w:cs="Arial" w:eastAsia="Arial" w:hAnsi="Arial"/>
                <w:sz w:val="14"/>
                <w:szCs w:val="14"/>
                <w:color w:val="0000FF"/>
                <w:w w:val="92"/>
              </w:rPr>
            </w:pPr>
            <w:hyperlink r:id="rId163">
              <w:r>
                <w:rPr>
                  <w:rFonts w:ascii="Arial" w:cs="Arial" w:eastAsia="Arial" w:hAnsi="Arial"/>
                  <w:sz w:val="14"/>
                  <w:szCs w:val="14"/>
                  <w:color w:val="0000FF"/>
                  <w:w w:val="92"/>
                </w:rPr>
                <w:t>of its directors and executive officers.</w:t>
              </w:r>
            </w:hyperlink>
          </w:p>
        </w:tc>
        <w:tc>
          <w:tcPr>
            <w:tcW w:w="184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4"/>
              </w:rPr>
            </w:pPr>
            <w:hyperlink r:id="rId164">
              <w:r>
                <w:rPr>
                  <w:rFonts w:ascii="Arial" w:cs="Arial" w:eastAsia="Arial" w:hAnsi="Arial"/>
                  <w:sz w:val="14"/>
                  <w:szCs w:val="14"/>
                  <w:color w:val="0000FF"/>
                  <w:w w:val="94"/>
                </w:rPr>
                <w:t>Tarsus Pharmaceuticals, Inc. 2016 Stock Plan, as amended and forms</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10.2</w:t>
            </w:r>
          </w:p>
        </w:tc>
        <w:tc>
          <w:tcPr>
            <w:tcW w:w="1700" w:type="dxa"/>
            <w:vAlign w:val="bottom"/>
          </w:tcPr>
          <w:p>
            <w:pPr>
              <w:jc w:val="center"/>
              <w:ind w:left="89"/>
              <w:spacing w:after="0"/>
              <w:rPr>
                <w:sz w:val="20"/>
                <w:szCs w:val="20"/>
                <w:color w:val="auto"/>
              </w:rPr>
            </w:pPr>
            <w:r>
              <w:rPr>
                <w:rFonts w:ascii="Arial" w:cs="Arial" w:eastAsia="Arial" w:hAnsi="Arial"/>
                <w:sz w:val="14"/>
                <w:szCs w:val="14"/>
                <w:color w:val="auto"/>
                <w:w w:val="89"/>
              </w:rPr>
              <w:t>September 25,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8"/>
          </w:tcPr>
          <w:p>
            <w:pPr>
              <w:spacing w:after="0" w:line="141" w:lineRule="exact"/>
              <w:rPr>
                <w:rFonts w:ascii="Arial" w:cs="Arial" w:eastAsia="Arial" w:hAnsi="Arial"/>
                <w:sz w:val="14"/>
                <w:szCs w:val="14"/>
                <w:color w:val="0000FF"/>
                <w:w w:val="88"/>
              </w:rPr>
            </w:pPr>
            <w:hyperlink r:id="rId164">
              <w:r>
                <w:rPr>
                  <w:rFonts w:ascii="Arial" w:cs="Arial" w:eastAsia="Arial" w:hAnsi="Arial"/>
                  <w:sz w:val="14"/>
                  <w:szCs w:val="14"/>
                  <w:color w:val="0000FF"/>
                  <w:w w:val="88"/>
                </w:rPr>
                <w:t>of agreements thereunder.</w:t>
              </w:r>
            </w:hyperlink>
          </w:p>
        </w:tc>
        <w:tc>
          <w:tcPr>
            <w:tcW w:w="2500" w:type="dxa"/>
            <w:vAlign w:val="bottom"/>
            <w:tcBorders>
              <w:top w:val="single" w:sz="8" w:color="0000FF"/>
            </w:tcBorders>
            <w:gridSpan w:val="3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7"/>
              </w:rPr>
            </w:pPr>
            <w:hyperlink r:id="rId165">
              <w:r>
                <w:rPr>
                  <w:rFonts w:ascii="Arial" w:cs="Arial" w:eastAsia="Arial" w:hAnsi="Arial"/>
                  <w:sz w:val="14"/>
                  <w:szCs w:val="14"/>
                  <w:color w:val="0000FF"/>
                  <w:w w:val="97"/>
                </w:rPr>
                <w:t>Tarsus Pharmaceuticals, Inc. 2020 Equity Incentive Plan and form of</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S-8</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333-249571</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99.2</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39"/>
          </w:tcPr>
          <w:p>
            <w:pPr>
              <w:spacing w:after="0" w:line="141" w:lineRule="exact"/>
              <w:rPr>
                <w:rFonts w:ascii="Arial" w:cs="Arial" w:eastAsia="Arial" w:hAnsi="Arial"/>
                <w:sz w:val="14"/>
                <w:szCs w:val="14"/>
                <w:color w:val="0000FF"/>
              </w:rPr>
            </w:pPr>
            <w:hyperlink r:id="rId165">
              <w:r>
                <w:rPr>
                  <w:rFonts w:ascii="Arial" w:cs="Arial" w:eastAsia="Arial" w:hAnsi="Arial"/>
                  <w:sz w:val="14"/>
                  <w:szCs w:val="14"/>
                  <w:color w:val="0000FF"/>
                </w:rPr>
                <w:t>agreements thereunder.</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6"/>
                <w:szCs w:val="16"/>
                <w:color w:val="auto"/>
              </w:rPr>
            </w:pPr>
          </w:p>
        </w:tc>
        <w:tc>
          <w:tcPr>
            <w:tcW w:w="3800" w:type="dxa"/>
            <w:vAlign w:val="bottom"/>
            <w:tcBorders>
              <w:bottom w:val="single" w:sz="8" w:color="0000FF"/>
            </w:tcBorders>
            <w:gridSpan w:val="32"/>
          </w:tcPr>
          <w:p>
            <w:pPr>
              <w:spacing w:after="0"/>
              <w:rPr>
                <w:rFonts w:ascii="Arial" w:cs="Arial" w:eastAsia="Arial" w:hAnsi="Arial"/>
                <w:sz w:val="14"/>
                <w:szCs w:val="14"/>
                <w:color w:val="0000FF"/>
                <w:w w:val="90"/>
              </w:rPr>
            </w:pPr>
            <w:hyperlink r:id="rId166">
              <w:r>
                <w:rPr>
                  <w:rFonts w:ascii="Arial" w:cs="Arial" w:eastAsia="Arial" w:hAnsi="Arial"/>
                  <w:sz w:val="14"/>
                  <w:szCs w:val="14"/>
                  <w:color w:val="0000FF"/>
                  <w:w w:val="90"/>
                </w:rPr>
                <w:t>Tarsus Pharmaceuticals, Inc. 2020 Employee Stock Purchase Plan.</w:t>
              </w:r>
            </w:hyperlink>
          </w:p>
        </w:tc>
        <w:tc>
          <w:tcPr>
            <w:tcW w:w="360" w:type="dxa"/>
            <w:vAlign w:val="bottom"/>
            <w:gridSpan w:val="13"/>
          </w:tcPr>
          <w:p>
            <w:pPr>
              <w:spacing w:after="0"/>
              <w:rPr>
                <w:sz w:val="16"/>
                <w:szCs w:val="16"/>
                <w:color w:val="auto"/>
              </w:rPr>
            </w:pPr>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S-8</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333-249571</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99.3</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6"/>
              </w:rPr>
            </w:pPr>
            <w:hyperlink r:id="rId167">
              <w:r>
                <w:rPr>
                  <w:rFonts w:ascii="Arial" w:cs="Arial" w:eastAsia="Arial" w:hAnsi="Arial"/>
                  <w:sz w:val="14"/>
                  <w:szCs w:val="14"/>
                  <w:color w:val="0000FF"/>
                  <w:w w:val="96"/>
                </w:rPr>
                <w:t>Amended and Restated Offer Letter, dated October 8, 2020, between</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10.5</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38"/>
          </w:tcPr>
          <w:p>
            <w:pPr>
              <w:spacing w:after="0" w:line="141" w:lineRule="exact"/>
              <w:rPr>
                <w:rFonts w:ascii="Arial" w:cs="Arial" w:eastAsia="Arial" w:hAnsi="Arial"/>
                <w:sz w:val="14"/>
                <w:szCs w:val="14"/>
                <w:color w:val="0000FF"/>
              </w:rPr>
            </w:pPr>
            <w:hyperlink r:id="rId167">
              <w:r>
                <w:rPr>
                  <w:rFonts w:ascii="Arial" w:cs="Arial" w:eastAsia="Arial" w:hAnsi="Arial"/>
                  <w:sz w:val="14"/>
                  <w:szCs w:val="14"/>
                  <w:color w:val="0000FF"/>
                </w:rPr>
                <w:t>the Registrant and Bobak Azamian, M.D., Ph.D.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8"/>
              </w:rPr>
            </w:pPr>
            <w:hyperlink r:id="rId168">
              <w:r>
                <w:rPr>
                  <w:rFonts w:ascii="Arial" w:cs="Arial" w:eastAsia="Arial" w:hAnsi="Arial"/>
                  <w:sz w:val="14"/>
                  <w:szCs w:val="14"/>
                  <w:color w:val="0000FF"/>
                  <w:w w:val="98"/>
                </w:rPr>
                <w:t>Offer Letter, dated March 15, 2020, between the Registrant and Leo</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10.6</w:t>
            </w:r>
          </w:p>
        </w:tc>
        <w:tc>
          <w:tcPr>
            <w:tcW w:w="1700" w:type="dxa"/>
            <w:vAlign w:val="bottom"/>
          </w:tcPr>
          <w:p>
            <w:pPr>
              <w:jc w:val="center"/>
              <w:ind w:left="89"/>
              <w:spacing w:after="0"/>
              <w:rPr>
                <w:sz w:val="20"/>
                <w:szCs w:val="20"/>
                <w:color w:val="auto"/>
              </w:rPr>
            </w:pPr>
            <w:r>
              <w:rPr>
                <w:rFonts w:ascii="Arial" w:cs="Arial" w:eastAsia="Arial" w:hAnsi="Arial"/>
                <w:sz w:val="14"/>
                <w:szCs w:val="14"/>
                <w:color w:val="auto"/>
                <w:w w:val="89"/>
              </w:rPr>
              <w:t>September 25,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0000FF"/>
              <w:bottom w:val="single" w:sz="8" w:color="0000FF"/>
            </w:tcBorders>
            <w:gridSpan w:val="4"/>
          </w:tcPr>
          <w:p>
            <w:pPr>
              <w:spacing w:after="0" w:line="141" w:lineRule="exact"/>
              <w:rPr>
                <w:rFonts w:ascii="Arial" w:cs="Arial" w:eastAsia="Arial" w:hAnsi="Arial"/>
                <w:sz w:val="14"/>
                <w:szCs w:val="14"/>
                <w:color w:val="0000FF"/>
                <w:w w:val="91"/>
              </w:rPr>
            </w:pPr>
            <w:hyperlink r:id="rId168">
              <w:r>
                <w:rPr>
                  <w:rFonts w:ascii="Arial" w:cs="Arial" w:eastAsia="Arial" w:hAnsi="Arial"/>
                  <w:sz w:val="14"/>
                  <w:szCs w:val="14"/>
                  <w:color w:val="0000FF"/>
                  <w:w w:val="91"/>
                </w:rPr>
                <w:t>M. Greenstein.</w:t>
              </w:r>
            </w:hyperlink>
          </w:p>
        </w:tc>
        <w:tc>
          <w:tcPr>
            <w:tcW w:w="3020" w:type="dxa"/>
            <w:vAlign w:val="bottom"/>
            <w:tcBorders>
              <w:top w:val="single" w:sz="8" w:color="0000FF"/>
            </w:tcBorders>
            <w:gridSpan w:val="3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4"/>
              </w:rPr>
            </w:pPr>
            <w:hyperlink r:id="rId169">
              <w:r>
                <w:rPr>
                  <w:rFonts w:ascii="Arial" w:cs="Arial" w:eastAsia="Arial" w:hAnsi="Arial"/>
                  <w:sz w:val="14"/>
                  <w:szCs w:val="14"/>
                  <w:color w:val="0000FF"/>
                  <w:w w:val="94"/>
                </w:rPr>
                <w:t>Offer Letter, dated June 4, 2020, between the Registrant and Seshadri</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10.7</w:t>
            </w:r>
          </w:p>
        </w:tc>
        <w:tc>
          <w:tcPr>
            <w:tcW w:w="1700" w:type="dxa"/>
            <w:vAlign w:val="bottom"/>
          </w:tcPr>
          <w:p>
            <w:pPr>
              <w:jc w:val="center"/>
              <w:ind w:left="89"/>
              <w:spacing w:after="0"/>
              <w:rPr>
                <w:sz w:val="20"/>
                <w:szCs w:val="20"/>
                <w:color w:val="auto"/>
              </w:rPr>
            </w:pPr>
            <w:r>
              <w:rPr>
                <w:rFonts w:ascii="Arial" w:cs="Arial" w:eastAsia="Arial" w:hAnsi="Arial"/>
                <w:sz w:val="14"/>
                <w:szCs w:val="14"/>
                <w:color w:val="auto"/>
                <w:w w:val="89"/>
              </w:rPr>
              <w:t>September 25,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43"/>
          </w:tcPr>
          <w:p>
            <w:pPr>
              <w:spacing w:after="0" w:line="141" w:lineRule="exact"/>
              <w:rPr>
                <w:rFonts w:ascii="Arial" w:cs="Arial" w:eastAsia="Arial" w:hAnsi="Arial"/>
                <w:sz w:val="14"/>
                <w:szCs w:val="14"/>
                <w:color w:val="0000FF"/>
              </w:rPr>
            </w:pPr>
            <w:hyperlink r:id="rId169">
              <w:r>
                <w:rPr>
                  <w:rFonts w:ascii="Arial" w:cs="Arial" w:eastAsia="Arial" w:hAnsi="Arial"/>
                  <w:sz w:val="14"/>
                  <w:szCs w:val="14"/>
                  <w:color w:val="0000FF"/>
                </w:rPr>
                <w:t>Neervannan, Ph.D.</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r:id="rId170">
              <w:r>
                <w:rPr>
                  <w:rFonts w:ascii="Arial" w:cs="Arial" w:eastAsia="Arial" w:hAnsi="Arial"/>
                  <w:sz w:val="14"/>
                  <w:szCs w:val="14"/>
                  <w:color w:val="0000FF"/>
                </w:rPr>
                <w:t>Offer Letter, dated October 29, 2018, between the Registrant and</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10.8</w:t>
            </w:r>
          </w:p>
        </w:tc>
        <w:tc>
          <w:tcPr>
            <w:tcW w:w="1700" w:type="dxa"/>
            <w:vAlign w:val="bottom"/>
          </w:tcPr>
          <w:p>
            <w:pPr>
              <w:jc w:val="center"/>
              <w:ind w:left="89"/>
              <w:spacing w:after="0"/>
              <w:rPr>
                <w:sz w:val="20"/>
                <w:szCs w:val="20"/>
                <w:color w:val="auto"/>
              </w:rPr>
            </w:pPr>
            <w:r>
              <w:rPr>
                <w:rFonts w:ascii="Arial" w:cs="Arial" w:eastAsia="Arial" w:hAnsi="Arial"/>
                <w:sz w:val="14"/>
                <w:szCs w:val="14"/>
                <w:color w:val="auto"/>
                <w:w w:val="89"/>
              </w:rPr>
              <w:t>September 25,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5"/>
          </w:tcPr>
          <w:p>
            <w:pPr>
              <w:spacing w:after="0" w:line="141" w:lineRule="exact"/>
              <w:rPr>
                <w:rFonts w:ascii="Arial" w:cs="Arial" w:eastAsia="Arial" w:hAnsi="Arial"/>
                <w:sz w:val="14"/>
                <w:szCs w:val="14"/>
                <w:color w:val="0000FF"/>
                <w:w w:val="95"/>
              </w:rPr>
            </w:pPr>
            <w:hyperlink r:id="rId170">
              <w:r>
                <w:rPr>
                  <w:rFonts w:ascii="Arial" w:cs="Arial" w:eastAsia="Arial" w:hAnsi="Arial"/>
                  <w:sz w:val="14"/>
                  <w:szCs w:val="14"/>
                  <w:color w:val="0000FF"/>
                  <w:w w:val="95"/>
                </w:rPr>
                <w:t>Mark Holdbrook.</w:t>
              </w:r>
            </w:hyperlink>
          </w:p>
        </w:tc>
        <w:tc>
          <w:tcPr>
            <w:tcW w:w="272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9"/>
              </w:rPr>
            </w:pPr>
            <w:hyperlink r:id="rId171">
              <w:r>
                <w:rPr>
                  <w:rFonts w:ascii="Arial" w:cs="Arial" w:eastAsia="Arial" w:hAnsi="Arial"/>
                  <w:sz w:val="14"/>
                  <w:szCs w:val="14"/>
                  <w:color w:val="0000FF"/>
                  <w:w w:val="99"/>
                </w:rPr>
                <w:t>Offer Letter, dated June 22, 2020, between the Registrant and Aziz</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10.9</w:t>
            </w:r>
          </w:p>
        </w:tc>
        <w:tc>
          <w:tcPr>
            <w:tcW w:w="1700" w:type="dxa"/>
            <w:vAlign w:val="bottom"/>
          </w:tcPr>
          <w:p>
            <w:pPr>
              <w:jc w:val="center"/>
              <w:ind w:left="89"/>
              <w:spacing w:after="0"/>
              <w:rPr>
                <w:sz w:val="20"/>
                <w:szCs w:val="20"/>
                <w:color w:val="auto"/>
              </w:rPr>
            </w:pPr>
            <w:r>
              <w:rPr>
                <w:rFonts w:ascii="Arial" w:cs="Arial" w:eastAsia="Arial" w:hAnsi="Arial"/>
                <w:sz w:val="14"/>
                <w:szCs w:val="14"/>
                <w:color w:val="auto"/>
                <w:w w:val="89"/>
              </w:rPr>
              <w:t>September 25,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33"/>
          </w:tcPr>
          <w:p>
            <w:pPr>
              <w:spacing w:after="0" w:line="141" w:lineRule="exact"/>
              <w:rPr>
                <w:rFonts w:ascii="Arial" w:cs="Arial" w:eastAsia="Arial" w:hAnsi="Arial"/>
                <w:sz w:val="14"/>
                <w:szCs w:val="14"/>
                <w:color w:val="0000FF"/>
              </w:rPr>
            </w:pPr>
            <w:hyperlink r:id="rId171">
              <w:r>
                <w:rPr>
                  <w:rFonts w:ascii="Arial" w:cs="Arial" w:eastAsia="Arial" w:hAnsi="Arial"/>
                  <w:sz w:val="14"/>
                  <w:szCs w:val="14"/>
                  <w:color w:val="0000FF"/>
                </w:rPr>
                <w:t>Mottiwala.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10.10†</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6"/>
              </w:rPr>
            </w:pPr>
            <w:hyperlink r:id="rId172">
              <w:r>
                <w:rPr>
                  <w:rFonts w:ascii="Arial" w:cs="Arial" w:eastAsia="Arial" w:hAnsi="Arial"/>
                  <w:sz w:val="14"/>
                  <w:szCs w:val="14"/>
                  <w:color w:val="0000FF"/>
                  <w:w w:val="96"/>
                </w:rPr>
                <w:t>License Agreement, dated January 31, 2019, between the Registrant</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91"/>
              </w:rPr>
              <w:t>10.10</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tcBorders>
              <w:top w:val="single" w:sz="8" w:color="0000FF"/>
              <w:bottom w:val="single" w:sz="8" w:color="0000FF"/>
            </w:tcBorders>
            <w:gridSpan w:val="9"/>
          </w:tcPr>
          <w:p>
            <w:pPr>
              <w:spacing w:after="0" w:line="141" w:lineRule="exact"/>
              <w:rPr>
                <w:rFonts w:ascii="Arial" w:cs="Arial" w:eastAsia="Arial" w:hAnsi="Arial"/>
                <w:sz w:val="14"/>
                <w:szCs w:val="14"/>
                <w:color w:val="0000FF"/>
                <w:w w:val="91"/>
              </w:rPr>
            </w:pPr>
            <w:hyperlink r:id="rId172">
              <w:r>
                <w:rPr>
                  <w:rFonts w:ascii="Arial" w:cs="Arial" w:eastAsia="Arial" w:hAnsi="Arial"/>
                  <w:sz w:val="14"/>
                  <w:szCs w:val="14"/>
                  <w:color w:val="0000FF"/>
                  <w:w w:val="91"/>
                </w:rPr>
                <w:t>and Elanco Tiergesundheit AG.</w:t>
              </w:r>
            </w:hyperlink>
          </w:p>
        </w:tc>
        <w:tc>
          <w:tcPr>
            <w:tcW w:w="2100" w:type="dxa"/>
            <w:vAlign w:val="bottom"/>
            <w:tcBorders>
              <w:top w:val="single" w:sz="8" w:color="0000FF"/>
            </w:tcBorders>
            <w:gridSpan w:val="2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10.11†</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r:id="rId173">
              <w:r>
                <w:rPr>
                  <w:rFonts w:ascii="Arial" w:cs="Arial" w:eastAsia="Arial" w:hAnsi="Arial"/>
                  <w:sz w:val="14"/>
                  <w:szCs w:val="14"/>
                  <w:color w:val="0000FF"/>
                </w:rPr>
                <w:t>Amendment to License Agreement, dated September 3, 2020,</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91"/>
              </w:rPr>
              <w:t>10.11</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18"/>
          </w:tcPr>
          <w:p>
            <w:pPr>
              <w:spacing w:after="0" w:line="141" w:lineRule="exact"/>
              <w:rPr>
                <w:rFonts w:ascii="Arial" w:cs="Arial" w:eastAsia="Arial" w:hAnsi="Arial"/>
                <w:sz w:val="14"/>
                <w:szCs w:val="14"/>
                <w:color w:val="0000FF"/>
                <w:w w:val="91"/>
              </w:rPr>
            </w:pPr>
            <w:hyperlink r:id="rId173">
              <w:r>
                <w:rPr>
                  <w:rFonts w:ascii="Arial" w:cs="Arial" w:eastAsia="Arial" w:hAnsi="Arial"/>
                  <w:sz w:val="14"/>
                  <w:szCs w:val="14"/>
                  <w:color w:val="0000FF"/>
                  <w:w w:val="91"/>
                </w:rPr>
                <w:t>between the Registrant and Elanco Tiergesundheit AG.</w:t>
              </w:r>
            </w:hyperlink>
          </w:p>
        </w:tc>
        <w:tc>
          <w:tcPr>
            <w:tcW w:w="4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4"/>
              </w:rPr>
            </w:pPr>
            <w:hyperlink r:id="rId174">
              <w:r>
                <w:rPr>
                  <w:rFonts w:ascii="Arial" w:cs="Arial" w:eastAsia="Arial" w:hAnsi="Arial"/>
                  <w:sz w:val="14"/>
                  <w:szCs w:val="14"/>
                  <w:color w:val="0000FF"/>
                  <w:w w:val="94"/>
                </w:rPr>
                <w:t>License Agreement, dated September 3, 2020, between the Registrant</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91"/>
              </w:rPr>
              <w:t>10.12</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tcBorders>
              <w:top w:val="single" w:sz="8" w:color="0000FF"/>
              <w:bottom w:val="single" w:sz="8" w:color="0000FF"/>
            </w:tcBorders>
            <w:gridSpan w:val="9"/>
          </w:tcPr>
          <w:p>
            <w:pPr>
              <w:spacing w:after="0" w:line="141" w:lineRule="exact"/>
              <w:rPr>
                <w:rFonts w:ascii="Arial" w:cs="Arial" w:eastAsia="Arial" w:hAnsi="Arial"/>
                <w:sz w:val="14"/>
                <w:szCs w:val="14"/>
                <w:color w:val="0000FF"/>
                <w:w w:val="91"/>
              </w:rPr>
            </w:pPr>
            <w:hyperlink r:id="rId174">
              <w:r>
                <w:rPr>
                  <w:rFonts w:ascii="Arial" w:cs="Arial" w:eastAsia="Arial" w:hAnsi="Arial"/>
                  <w:sz w:val="14"/>
                  <w:szCs w:val="14"/>
                  <w:color w:val="0000FF"/>
                  <w:w w:val="91"/>
                </w:rPr>
                <w:t>and Elanco Tiergesundheit AG.</w:t>
              </w:r>
            </w:hyperlink>
          </w:p>
        </w:tc>
        <w:tc>
          <w:tcPr>
            <w:tcW w:w="2240" w:type="dxa"/>
            <w:vAlign w:val="bottom"/>
            <w:tcBorders>
              <w:top w:val="single" w:sz="8" w:color="0000FF"/>
            </w:tcBorders>
            <w:gridSpan w:val="35"/>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10.13</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r:id="rId175">
              <w:r>
                <w:rPr>
                  <w:rFonts w:ascii="Arial" w:cs="Arial" w:eastAsia="Arial" w:hAnsi="Arial"/>
                  <w:sz w:val="14"/>
                  <w:szCs w:val="14"/>
                  <w:color w:val="0000FF"/>
                </w:rPr>
                <w:t>Office Lease, dated May 28, 2020, between the Registrant and</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91"/>
              </w:rPr>
              <w:t>10.13</w:t>
            </w:r>
          </w:p>
        </w:tc>
        <w:tc>
          <w:tcPr>
            <w:tcW w:w="1700" w:type="dxa"/>
            <w:vAlign w:val="bottom"/>
          </w:tcPr>
          <w:p>
            <w:pPr>
              <w:jc w:val="center"/>
              <w:ind w:left="89"/>
              <w:spacing w:after="0"/>
              <w:rPr>
                <w:sz w:val="20"/>
                <w:szCs w:val="20"/>
                <w:color w:val="auto"/>
              </w:rPr>
            </w:pPr>
            <w:r>
              <w:rPr>
                <w:rFonts w:ascii="Arial" w:cs="Arial" w:eastAsia="Arial" w:hAnsi="Arial"/>
                <w:sz w:val="14"/>
                <w:szCs w:val="14"/>
                <w:color w:val="auto"/>
                <w:w w:val="89"/>
              </w:rPr>
              <w:t>September 25,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tcBorders>
            <w:gridSpan w:val="24"/>
          </w:tcPr>
          <w:p>
            <w:pPr>
              <w:spacing w:after="0" w:line="141" w:lineRule="exact"/>
              <w:rPr>
                <w:rFonts w:ascii="Arial" w:cs="Arial" w:eastAsia="Arial" w:hAnsi="Arial"/>
                <w:sz w:val="14"/>
                <w:szCs w:val="14"/>
                <w:color w:val="0000FF"/>
              </w:rPr>
            </w:pPr>
            <w:hyperlink r:id="rId175">
              <w:r>
                <w:rPr>
                  <w:rFonts w:ascii="Arial" w:cs="Arial" w:eastAsia="Arial" w:hAnsi="Arial"/>
                  <w:sz w:val="14"/>
                  <w:szCs w:val="14"/>
                  <w:color w:val="0000FF"/>
                </w:rPr>
                <w:t>Discovery Business Center LLC.</w:t>
              </w:r>
            </w:hyperlink>
          </w:p>
        </w:tc>
        <w:tc>
          <w:tcPr>
            <w:tcW w:w="1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10.14^*</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w w:val="99"/>
              </w:rPr>
            </w:pPr>
            <w:hyperlink r:id="rId176">
              <w:r>
                <w:rPr>
                  <w:rFonts w:ascii="Arial" w:cs="Arial" w:eastAsia="Arial" w:hAnsi="Arial"/>
                  <w:sz w:val="14"/>
                  <w:szCs w:val="14"/>
                  <w:color w:val="0000FF"/>
                  <w:w w:val="99"/>
                </w:rPr>
                <w:t>Sublease Agreement, dated May 29, 2020, between the Registrant</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91"/>
              </w:rPr>
              <w:t>10.14</w:t>
            </w:r>
          </w:p>
        </w:tc>
        <w:tc>
          <w:tcPr>
            <w:tcW w:w="1700" w:type="dxa"/>
            <w:vAlign w:val="bottom"/>
          </w:tcPr>
          <w:p>
            <w:pPr>
              <w:jc w:val="center"/>
              <w:ind w:left="89"/>
              <w:spacing w:after="0"/>
              <w:rPr>
                <w:sz w:val="20"/>
                <w:szCs w:val="20"/>
                <w:color w:val="auto"/>
              </w:rPr>
            </w:pPr>
            <w:r>
              <w:rPr>
                <w:rFonts w:ascii="Arial" w:cs="Arial" w:eastAsia="Arial" w:hAnsi="Arial"/>
                <w:sz w:val="14"/>
                <w:szCs w:val="14"/>
                <w:color w:val="auto"/>
                <w:w w:val="89"/>
              </w:rPr>
              <w:t>September 25,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000FF"/>
            </w:tcBorders>
            <w:gridSpan w:val="30"/>
          </w:tcPr>
          <w:p>
            <w:pPr>
              <w:spacing w:after="0" w:line="141" w:lineRule="exact"/>
              <w:rPr>
                <w:rFonts w:ascii="Arial" w:cs="Arial" w:eastAsia="Arial" w:hAnsi="Arial"/>
                <w:sz w:val="14"/>
                <w:szCs w:val="14"/>
                <w:color w:val="0000FF"/>
                <w:w w:val="97"/>
              </w:rPr>
            </w:pPr>
            <w:hyperlink r:id="rId176">
              <w:r>
                <w:rPr>
                  <w:rFonts w:ascii="Arial" w:cs="Arial" w:eastAsia="Arial" w:hAnsi="Arial"/>
                  <w:sz w:val="14"/>
                  <w:szCs w:val="14"/>
                  <w:color w:val="0000FF"/>
                  <w:w w:val="97"/>
                </w:rPr>
                <w:t>and Avent, Inc., as amended by First Amendment to Sublease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Borders>
              <w:top w:val="single" w:sz="8" w:color="0000FF"/>
            </w:tcBorders>
            <w:gridSpan w:val="21"/>
          </w:tcPr>
          <w:p>
            <w:pPr>
              <w:spacing w:after="0" w:line="141" w:lineRule="exact"/>
              <w:rPr>
                <w:rFonts w:ascii="Arial" w:cs="Arial" w:eastAsia="Arial" w:hAnsi="Arial"/>
                <w:sz w:val="14"/>
                <w:szCs w:val="14"/>
                <w:color w:val="0000FF"/>
                <w:w w:val="92"/>
              </w:rPr>
            </w:pPr>
            <w:hyperlink r:id="rId176">
              <w:r>
                <w:rPr>
                  <w:rFonts w:ascii="Arial" w:cs="Arial" w:eastAsia="Arial" w:hAnsi="Arial"/>
                  <w:sz w:val="14"/>
                  <w:szCs w:val="14"/>
                  <w:color w:val="0000FF"/>
                  <w:w w:val="92"/>
                </w:rPr>
                <w:t>Agreement, dated July 30, 2020, between the Registrant and</w:t>
              </w:r>
            </w:hyperlink>
          </w:p>
        </w:tc>
        <w:tc>
          <w:tcPr>
            <w:tcW w:w="640" w:type="dxa"/>
            <w:vAlign w:val="bottom"/>
            <w:gridSpan w:val="24"/>
          </w:tcPr>
          <w:p>
            <w:pPr>
              <w:spacing w:after="0" w:line="141" w:lineRule="exact"/>
              <w:rPr>
                <w:rFonts w:ascii="Arial" w:cs="Arial" w:eastAsia="Arial" w:hAnsi="Arial"/>
                <w:sz w:val="14"/>
                <w:szCs w:val="14"/>
                <w:color w:val="0000FF"/>
              </w:rPr>
            </w:pPr>
            <w:hyperlink r:id="rId176">
              <w:r>
                <w:rPr>
                  <w:rFonts w:ascii="Arial" w:cs="Arial" w:eastAsia="Arial" w:hAnsi="Arial"/>
                  <w:sz w:val="14"/>
                  <w:szCs w:val="14"/>
                  <w:color w:val="0000FF"/>
                </w:rPr>
                <w:t>Avent,</w:t>
              </w:r>
            </w:hyperlink>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0000FF"/>
              <w:bottom w:val="single" w:sz="8" w:color="0000FF"/>
            </w:tcBorders>
          </w:tcPr>
          <w:p>
            <w:pPr>
              <w:spacing w:after="0" w:line="141" w:lineRule="exact"/>
              <w:rPr>
                <w:rFonts w:ascii="Arial" w:cs="Arial" w:eastAsia="Arial" w:hAnsi="Arial"/>
                <w:sz w:val="14"/>
                <w:szCs w:val="14"/>
                <w:color w:val="0000FF"/>
                <w:w w:val="88"/>
              </w:rPr>
            </w:pPr>
            <w:hyperlink r:id="rId176">
              <w:r>
                <w:rPr>
                  <w:rFonts w:ascii="Arial" w:cs="Arial" w:eastAsia="Arial" w:hAnsi="Arial"/>
                  <w:sz w:val="14"/>
                  <w:szCs w:val="14"/>
                  <w:color w:val="0000FF"/>
                  <w:w w:val="88"/>
                </w:rPr>
                <w:t>Inc.</w:t>
              </w:r>
            </w:hyperlink>
          </w:p>
        </w:tc>
        <w:tc>
          <w:tcPr>
            <w:tcW w:w="3640" w:type="dxa"/>
            <w:vAlign w:val="bottom"/>
            <w:tcBorders>
              <w:top w:val="single" w:sz="8" w:color="0000FF"/>
            </w:tcBorders>
            <w:gridSpan w:val="3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6"/>
                <w:szCs w:val="16"/>
                <w:color w:val="auto"/>
              </w:rPr>
            </w:pPr>
          </w:p>
        </w:tc>
        <w:tc>
          <w:tcPr>
            <w:tcW w:w="1960" w:type="dxa"/>
            <w:vAlign w:val="bottom"/>
            <w:tcBorders>
              <w:bottom w:val="single" w:sz="8" w:color="0000FF"/>
            </w:tcBorders>
            <w:gridSpan w:val="11"/>
          </w:tcPr>
          <w:p>
            <w:pPr>
              <w:spacing w:after="0"/>
              <w:rPr>
                <w:rFonts w:ascii="Arial" w:cs="Arial" w:eastAsia="Arial" w:hAnsi="Arial"/>
                <w:sz w:val="14"/>
                <w:szCs w:val="14"/>
                <w:color w:val="0000FF"/>
                <w:w w:val="90"/>
              </w:rPr>
            </w:pPr>
            <w:hyperlink r:id="rId177">
              <w:r>
                <w:rPr>
                  <w:rFonts w:ascii="Arial" w:cs="Arial" w:eastAsia="Arial" w:hAnsi="Arial"/>
                  <w:sz w:val="14"/>
                  <w:szCs w:val="14"/>
                  <w:color w:val="0000FF"/>
                  <w:w w:val="90"/>
                </w:rPr>
                <w:t>Management Cash Incentive Plan.</w:t>
              </w:r>
            </w:hyperlink>
          </w:p>
        </w:tc>
        <w:tc>
          <w:tcPr>
            <w:tcW w:w="2200" w:type="dxa"/>
            <w:vAlign w:val="bottom"/>
            <w:gridSpan w:val="34"/>
          </w:tcPr>
          <w:p>
            <w:pPr>
              <w:spacing w:after="0"/>
              <w:rPr>
                <w:sz w:val="16"/>
                <w:szCs w:val="16"/>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91"/>
              </w:rPr>
              <w:t>10.15</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1"/>
              </w:rPr>
              <w:t>October 9,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10.16†</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r:id="rId178">
              <w:r>
                <w:rPr>
                  <w:rFonts w:ascii="Arial" w:cs="Arial" w:eastAsia="Arial" w:hAnsi="Arial"/>
                  <w:sz w:val="14"/>
                  <w:szCs w:val="14"/>
                  <w:color w:val="0000FF"/>
                </w:rPr>
                <w:t>Development and License Agreement, dated March 26, 2021,</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140" w:type="dxa"/>
            <w:vAlign w:val="bottom"/>
          </w:tcPr>
          <w:p>
            <w:pPr>
              <w:jc w:val="center"/>
              <w:ind w:left="129"/>
              <w:spacing w:after="0"/>
              <w:rPr>
                <w:sz w:val="20"/>
                <w:szCs w:val="20"/>
                <w:color w:val="auto"/>
              </w:rPr>
            </w:pPr>
            <w:r>
              <w:rPr>
                <w:rFonts w:ascii="Arial" w:cs="Arial" w:eastAsia="Arial" w:hAnsi="Arial"/>
                <w:sz w:val="14"/>
                <w:szCs w:val="14"/>
                <w:color w:val="auto"/>
                <w:w w:val="92"/>
              </w:rPr>
              <w:t>001-39614</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87"/>
              </w:rPr>
              <w:t>10.1</w:t>
            </w:r>
          </w:p>
        </w:tc>
        <w:tc>
          <w:tcPr>
            <w:tcW w:w="1700" w:type="dxa"/>
            <w:vAlign w:val="bottom"/>
          </w:tcPr>
          <w:p>
            <w:pPr>
              <w:jc w:val="center"/>
              <w:ind w:left="69"/>
              <w:spacing w:after="0"/>
              <w:rPr>
                <w:sz w:val="20"/>
                <w:szCs w:val="20"/>
                <w:color w:val="auto"/>
              </w:rPr>
            </w:pPr>
            <w:r>
              <w:rPr>
                <w:rFonts w:ascii="Arial" w:cs="Arial" w:eastAsia="Arial" w:hAnsi="Arial"/>
                <w:sz w:val="14"/>
                <w:szCs w:val="14"/>
                <w:color w:val="auto"/>
                <w:w w:val="94"/>
              </w:rPr>
              <w:t>May 11, 2021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tcBorders>
            <w:gridSpan w:val="22"/>
          </w:tcPr>
          <w:p>
            <w:pPr>
              <w:spacing w:after="0" w:line="141" w:lineRule="exact"/>
              <w:rPr>
                <w:rFonts w:ascii="Arial" w:cs="Arial" w:eastAsia="Arial" w:hAnsi="Arial"/>
                <w:sz w:val="14"/>
                <w:szCs w:val="14"/>
                <w:color w:val="0000FF"/>
              </w:rPr>
            </w:pPr>
            <w:hyperlink r:id="rId178">
              <w:r>
                <w:rPr>
                  <w:rFonts w:ascii="Arial" w:cs="Arial" w:eastAsia="Arial" w:hAnsi="Arial"/>
                  <w:sz w:val="14"/>
                  <w:szCs w:val="14"/>
                  <w:color w:val="0000FF"/>
                </w:rPr>
                <w:t>between the Registrant and LianBio Ophthalmology.</w:t>
              </w:r>
            </w:hyperlink>
          </w:p>
        </w:tc>
        <w:tc>
          <w:tcPr>
            <w:tcW w:w="16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1720" w:type="dxa"/>
            <w:vAlign w:val="bottom"/>
            <w:tcBorders>
              <w:left w:val="single" w:sz="8" w:color="0000FF"/>
            </w:tcBorders>
            <w:gridSpan w:val="10"/>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w:anchor="page145">
              <w:r>
                <w:rPr>
                  <w:rFonts w:ascii="Arial" w:cs="Arial" w:eastAsia="Arial" w:hAnsi="Arial"/>
                  <w:sz w:val="14"/>
                  <w:szCs w:val="14"/>
                  <w:color w:val="0000FF"/>
                </w:rPr>
                <w:t>Consent of Independent Registered Public Accounting Firm</w:t>
              </w:r>
            </w:hyperlink>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00" w:type="dxa"/>
            <w:vAlign w:val="bottom"/>
          </w:tcPr>
          <w:p>
            <w:pPr>
              <w:jc w:val="center"/>
              <w:ind w:left="9"/>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2140" w:type="dxa"/>
            <w:vAlign w:val="bottom"/>
            <w:tcBorders>
              <w:left w:val="single" w:sz="8" w:color="0000FF"/>
            </w:tcBorders>
            <w:gridSpan w:val="13"/>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w:anchor="page138">
              <w:r>
                <w:rPr>
                  <w:rFonts w:ascii="Arial" w:cs="Arial" w:eastAsia="Arial" w:hAnsi="Arial"/>
                  <w:sz w:val="14"/>
                  <w:szCs w:val="14"/>
                  <w:color w:val="0000FF"/>
                </w:rPr>
                <w:t>Power of Attorney (included in the signature page to this Annual</w:t>
              </w:r>
            </w:hyperlink>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00" w:type="dxa"/>
            <w:vAlign w:val="bottom"/>
          </w:tcPr>
          <w:p>
            <w:pPr>
              <w:jc w:val="center"/>
              <w:ind w:left="9"/>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tcBorders>
            <w:gridSpan w:val="27"/>
          </w:tcPr>
          <w:p>
            <w:pPr>
              <w:spacing w:after="0" w:line="141" w:lineRule="exact"/>
              <w:rPr>
                <w:rFonts w:ascii="Arial" w:cs="Arial" w:eastAsia="Arial" w:hAnsi="Arial"/>
                <w:sz w:val="14"/>
                <w:szCs w:val="14"/>
                <w:color w:val="0000FF"/>
              </w:rPr>
            </w:pPr>
            <w:hyperlink w:anchor="page138">
              <w:r>
                <w:rPr>
                  <w:rFonts w:ascii="Arial" w:cs="Arial" w:eastAsia="Arial" w:hAnsi="Arial"/>
                  <w:sz w:val="14"/>
                  <w:szCs w:val="14"/>
                  <w:color w:val="0000FF"/>
                </w:rPr>
                <w:t>Report on Form 10-K)</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250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20" w:type="dxa"/>
            <w:vAlign w:val="bottom"/>
          </w:tcPr>
          <w:p>
            <w:pPr>
              <w:spacing w:after="0"/>
              <w:rPr>
                <w:sz w:val="16"/>
                <w:szCs w:val="16"/>
                <w:color w:val="auto"/>
              </w:rPr>
            </w:pPr>
          </w:p>
        </w:tc>
        <w:tc>
          <w:tcPr>
            <w:tcW w:w="4160" w:type="dxa"/>
            <w:vAlign w:val="bottom"/>
            <w:gridSpan w:val="45"/>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Certification of Principal Executive Officer Pursuant to Rules 13a-</w:t>
              </w:r>
            </w:hyperlink>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00" w:type="dxa"/>
            <w:vAlign w:val="bottom"/>
          </w:tcPr>
          <w:p>
            <w:pPr>
              <w:jc w:val="center"/>
              <w:ind w:left="9"/>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32"/>
          </w:tcPr>
          <w:p>
            <w:pPr>
              <w:spacing w:after="0" w:line="141" w:lineRule="exact"/>
              <w:rPr>
                <w:rFonts w:ascii="Arial" w:cs="Arial" w:eastAsia="Arial" w:hAnsi="Arial"/>
                <w:sz w:val="14"/>
                <w:szCs w:val="14"/>
                <w:color w:val="0000FF"/>
                <w:w w:val="90"/>
              </w:rPr>
            </w:pPr>
            <w:hyperlink w:anchor="page146">
              <w:r>
                <w:rPr>
                  <w:rFonts w:ascii="Arial" w:cs="Arial" w:eastAsia="Arial" w:hAnsi="Arial"/>
                  <w:sz w:val="14"/>
                  <w:szCs w:val="14"/>
                  <w:color w:val="0000FF"/>
                  <w:w w:val="90"/>
                </w:rPr>
                <w:t>14(a) and 15d-14(a) under the Securities Exchange Act of 1934, as</w:t>
              </w:r>
            </w:hyperlink>
          </w:p>
        </w:tc>
        <w:tc>
          <w:tcPr>
            <w:tcW w:w="40" w:type="dxa"/>
            <w:vAlign w:val="bottom"/>
            <w:tcBorders>
              <w:bottom w:val="single" w:sz="8" w:color="0000FF"/>
            </w:tcBorders>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bottom w:val="single" w:sz="8" w:color="0000FF"/>
            </w:tcBorders>
            <w:gridSpan w:val="40"/>
          </w:tcPr>
          <w:p>
            <w:pPr>
              <w:spacing w:after="0" w:line="141" w:lineRule="exact"/>
              <w:rPr>
                <w:rFonts w:ascii="Arial" w:cs="Arial" w:eastAsia="Arial" w:hAnsi="Arial"/>
                <w:sz w:val="14"/>
                <w:szCs w:val="14"/>
                <w:color w:val="0000FF"/>
                <w:w w:val="92"/>
              </w:rPr>
            </w:pPr>
            <w:hyperlink w:anchor="page146">
              <w:r>
                <w:rPr>
                  <w:rFonts w:ascii="Arial" w:cs="Arial" w:eastAsia="Arial" w:hAnsi="Arial"/>
                  <w:sz w:val="14"/>
                  <w:szCs w:val="14"/>
                  <w:color w:val="0000FF"/>
                  <w:w w:val="92"/>
                </w:rPr>
                <w:t>Adopted Pursuant to Section 302 of the Sarbanes-Oxley Act of 2002.</w:t>
              </w:r>
            </w:hyperlink>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6"/>
                <w:szCs w:val="16"/>
                <w:color w:val="auto"/>
              </w:rPr>
            </w:pPr>
          </w:p>
        </w:tc>
        <w:tc>
          <w:tcPr>
            <w:tcW w:w="3780" w:type="dxa"/>
            <w:vAlign w:val="bottom"/>
            <w:tcBorders>
              <w:bottom w:val="single" w:sz="8" w:color="0000FF"/>
            </w:tcBorders>
            <w:gridSpan w:val="31"/>
          </w:tcPr>
          <w:p>
            <w:pPr>
              <w:spacing w:after="0"/>
              <w:rPr>
                <w:rFonts w:ascii="Arial" w:cs="Arial" w:eastAsia="Arial" w:hAnsi="Arial"/>
                <w:sz w:val="14"/>
                <w:szCs w:val="14"/>
                <w:color w:val="0000FF"/>
                <w:w w:val="94"/>
              </w:rPr>
            </w:pPr>
            <w:hyperlink w:anchor="page147">
              <w:r>
                <w:rPr>
                  <w:rFonts w:ascii="Arial" w:cs="Arial" w:eastAsia="Arial" w:hAnsi="Arial"/>
                  <w:sz w:val="14"/>
                  <w:szCs w:val="14"/>
                  <w:color w:val="0000FF"/>
                  <w:w w:val="94"/>
                </w:rPr>
                <w:t>Certification of Principal Financial Officer Pursuant to Rules 13a-</w:t>
              </w:r>
            </w:hyperlink>
          </w:p>
        </w:tc>
        <w:tc>
          <w:tcPr>
            <w:tcW w:w="380" w:type="dxa"/>
            <w:vAlign w:val="bottom"/>
            <w:gridSpan w:val="14"/>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00" w:type="dxa"/>
            <w:vAlign w:val="bottom"/>
          </w:tcPr>
          <w:p>
            <w:pPr>
              <w:jc w:val="center"/>
              <w:ind w:left="9"/>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bottom w:val="single" w:sz="8" w:color="0000FF"/>
            </w:tcBorders>
            <w:gridSpan w:val="34"/>
          </w:tcPr>
          <w:p>
            <w:pPr>
              <w:spacing w:after="0" w:line="141" w:lineRule="exact"/>
              <w:rPr>
                <w:rFonts w:ascii="Arial" w:cs="Arial" w:eastAsia="Arial" w:hAnsi="Arial"/>
                <w:sz w:val="14"/>
                <w:szCs w:val="14"/>
                <w:color w:val="0000FF"/>
                <w:w w:val="91"/>
              </w:rPr>
            </w:pPr>
            <w:hyperlink w:anchor="page147">
              <w:r>
                <w:rPr>
                  <w:rFonts w:ascii="Arial" w:cs="Arial" w:eastAsia="Arial" w:hAnsi="Arial"/>
                  <w:sz w:val="14"/>
                  <w:szCs w:val="14"/>
                  <w:color w:val="0000FF"/>
                  <w:w w:val="91"/>
                </w:rPr>
                <w:t>14(a) and 15d-14(a) under the Securities Exchange Act of 1934, as</w:t>
              </w:r>
            </w:hyperlink>
          </w:p>
        </w:tc>
        <w:tc>
          <w:tcPr>
            <w:tcW w:w="320" w:type="dxa"/>
            <w:vAlign w:val="bottom"/>
            <w:gridSpan w:val="11"/>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bottom w:val="single" w:sz="8" w:color="0000FF"/>
            </w:tcBorders>
            <w:gridSpan w:val="40"/>
          </w:tcPr>
          <w:p>
            <w:pPr>
              <w:spacing w:after="0" w:line="141" w:lineRule="exact"/>
              <w:rPr>
                <w:rFonts w:ascii="Arial" w:cs="Arial" w:eastAsia="Arial" w:hAnsi="Arial"/>
                <w:sz w:val="14"/>
                <w:szCs w:val="14"/>
                <w:color w:val="0000FF"/>
                <w:w w:val="92"/>
              </w:rPr>
            </w:pPr>
            <w:hyperlink w:anchor="page147">
              <w:r>
                <w:rPr>
                  <w:rFonts w:ascii="Arial" w:cs="Arial" w:eastAsia="Arial" w:hAnsi="Arial"/>
                  <w:sz w:val="14"/>
                  <w:szCs w:val="14"/>
                  <w:color w:val="0000FF"/>
                  <w:w w:val="92"/>
                </w:rPr>
                <w:t>Adopted Pursuant to Section 302 of the Sarbanes-Oxley Act of 2002.</w:t>
              </w:r>
            </w:hyperlink>
          </w:p>
        </w:tc>
        <w:tc>
          <w:tcPr>
            <w:tcW w:w="20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1097" w:right="339" w:bottom="1440" w:gutter="0" w:footer="0" w:header="0"/>
        </w:sectPr>
      </w:pPr>
    </w:p>
    <w:bookmarkStart w:id="137" w:name="page138"/>
    <w:bookmarkEnd w:id="137"/>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color w:val="auto"/>
              </w:rPr>
              <w:t>32.1*</w:t>
            </w:r>
          </w:p>
        </w:tc>
        <w:tc>
          <w:tcPr>
            <w:tcW w:w="6780" w:type="dxa"/>
            <w:vAlign w:val="bottom"/>
            <w:gridSpan w:val="5"/>
          </w:tcPr>
          <w:p>
            <w:pPr>
              <w:spacing w:after="0"/>
              <w:rPr>
                <w:rFonts w:ascii="Arial" w:cs="Arial" w:eastAsia="Arial" w:hAnsi="Arial"/>
                <w:sz w:val="14"/>
                <w:szCs w:val="14"/>
                <w:color w:val="0000FF"/>
              </w:rPr>
            </w:pPr>
            <w:hyperlink w:anchor="page148">
              <w:r>
                <w:rPr>
                  <w:rFonts w:ascii="Arial" w:cs="Arial" w:eastAsia="Arial" w:hAnsi="Arial"/>
                  <w:sz w:val="14"/>
                  <w:szCs w:val="14"/>
                  <w:color w:val="0000FF"/>
                </w:rPr>
                <w:t>Certification of Principal Executive Officer Pursuant to 18 U.S.C.</w:t>
              </w:r>
            </w:hyperlink>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140"/>
        </w:trPr>
        <w:tc>
          <w:tcPr>
            <w:tcW w:w="1100" w:type="dxa"/>
            <w:vAlign w:val="bottom"/>
          </w:tcPr>
          <w:p>
            <w:pPr>
              <w:spacing w:after="0"/>
              <w:rPr>
                <w:sz w:val="12"/>
                <w:szCs w:val="12"/>
                <w:color w:val="auto"/>
              </w:rPr>
            </w:pPr>
          </w:p>
        </w:tc>
        <w:tc>
          <w:tcPr>
            <w:tcW w:w="3760" w:type="dxa"/>
            <w:vAlign w:val="bottom"/>
            <w:tcBorders>
              <w:top w:val="single" w:sz="8" w:color="0000FF"/>
            </w:tcBorders>
            <w:gridSpan w:val="3"/>
          </w:tcPr>
          <w:p>
            <w:pPr>
              <w:spacing w:after="0" w:line="141" w:lineRule="exact"/>
              <w:rPr>
                <w:rFonts w:ascii="Arial" w:cs="Arial" w:eastAsia="Arial" w:hAnsi="Arial"/>
                <w:sz w:val="14"/>
                <w:szCs w:val="14"/>
                <w:color w:val="0000FF"/>
                <w:w w:val="89"/>
              </w:rPr>
            </w:pPr>
            <w:hyperlink w:anchor="page148">
              <w:r>
                <w:rPr>
                  <w:rFonts w:ascii="Arial" w:cs="Arial" w:eastAsia="Arial" w:hAnsi="Arial"/>
                  <w:sz w:val="14"/>
                  <w:szCs w:val="14"/>
                  <w:color w:val="0000FF"/>
                  <w:w w:val="89"/>
                </w:rPr>
                <w:t>Section 1350, as Adopted Pursuant to Section 906 of the Sarbanes</w:t>
              </w:r>
            </w:hyperlink>
          </w:p>
        </w:tc>
        <w:tc>
          <w:tcPr>
            <w:tcW w:w="3020" w:type="dxa"/>
            <w:vAlign w:val="bottom"/>
            <w:gridSpan w:val="2"/>
          </w:tcPr>
          <w:p>
            <w:pPr>
              <w:jc w:val="right"/>
              <w:ind w:right="2960"/>
              <w:spacing w:after="0" w:line="141" w:lineRule="exact"/>
              <w:rPr>
                <w:rFonts w:ascii="Arial" w:cs="Arial" w:eastAsia="Arial" w:hAnsi="Arial"/>
                <w:sz w:val="14"/>
                <w:szCs w:val="14"/>
                <w:color w:val="0000FF"/>
                <w:w w:val="84"/>
              </w:rPr>
            </w:pPr>
            <w:hyperlink w:anchor="page148">
              <w:r>
                <w:rPr>
                  <w:rFonts w:ascii="Arial" w:cs="Arial" w:eastAsia="Arial" w:hAnsi="Arial"/>
                  <w:sz w:val="14"/>
                  <w:szCs w:val="14"/>
                  <w:color w:val="0000FF"/>
                  <w:w w:val="84"/>
                </w:rPr>
                <w:t>-</w:t>
              </w:r>
            </w:hyperlink>
          </w:p>
        </w:tc>
        <w:tc>
          <w:tcPr>
            <w:tcW w:w="2980" w:type="dxa"/>
            <w:vAlign w:val="bottom"/>
          </w:tcPr>
          <w:p>
            <w:pPr>
              <w:spacing w:after="0"/>
              <w:rPr>
                <w:sz w:val="12"/>
                <w:szCs w:val="12"/>
                <w:color w:val="auto"/>
              </w:rPr>
            </w:pPr>
          </w:p>
        </w:tc>
      </w:tr>
      <w:tr>
        <w:trPr>
          <w:trHeight w:val="140"/>
        </w:trPr>
        <w:tc>
          <w:tcPr>
            <w:tcW w:w="1100" w:type="dxa"/>
            <w:vAlign w:val="bottom"/>
          </w:tcPr>
          <w:p>
            <w:pPr>
              <w:spacing w:after="0"/>
              <w:rPr>
                <w:sz w:val="12"/>
                <w:szCs w:val="12"/>
                <w:color w:val="auto"/>
              </w:rPr>
            </w:pPr>
          </w:p>
        </w:tc>
        <w:tc>
          <w:tcPr>
            <w:tcW w:w="3820" w:type="dxa"/>
            <w:vAlign w:val="bottom"/>
            <w:tcBorders>
              <w:top w:val="single" w:sz="8" w:color="0000FF"/>
            </w:tcBorders>
            <w:gridSpan w:val="4"/>
          </w:tcPr>
          <w:p>
            <w:pPr>
              <w:spacing w:after="0" w:line="141" w:lineRule="exact"/>
              <w:rPr>
                <w:rFonts w:ascii="Arial" w:cs="Arial" w:eastAsia="Arial" w:hAnsi="Arial"/>
                <w:sz w:val="14"/>
                <w:szCs w:val="14"/>
                <w:color w:val="0000FF"/>
              </w:rPr>
            </w:pPr>
            <w:hyperlink w:anchor="page148">
              <w:r>
                <w:rPr>
                  <w:rFonts w:ascii="Arial" w:cs="Arial" w:eastAsia="Arial" w:hAnsi="Arial"/>
                  <w:sz w:val="14"/>
                  <w:szCs w:val="14"/>
                  <w:color w:val="0000FF"/>
                </w:rPr>
                <w:t>Oxley Act of 2002.</w:t>
              </w:r>
            </w:hyperlink>
          </w:p>
        </w:tc>
        <w:tc>
          <w:tcPr>
            <w:tcW w:w="2960" w:type="dxa"/>
            <w:vAlign w:val="bottom"/>
          </w:tcPr>
          <w:p>
            <w:pPr>
              <w:spacing w:after="0"/>
              <w:rPr>
                <w:sz w:val="12"/>
                <w:szCs w:val="12"/>
                <w:color w:val="auto"/>
              </w:rPr>
            </w:pPr>
          </w:p>
        </w:tc>
        <w:tc>
          <w:tcPr>
            <w:tcW w:w="298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4"/>
        </w:trPr>
        <w:tc>
          <w:tcPr>
            <w:tcW w:w="1100" w:type="dxa"/>
            <w:vAlign w:val="bottom"/>
          </w:tcPr>
          <w:p>
            <w:pPr>
              <w:spacing w:after="0"/>
              <w:rPr>
                <w:sz w:val="20"/>
                <w:szCs w:val="20"/>
                <w:color w:val="auto"/>
              </w:rPr>
            </w:pPr>
            <w:r>
              <w:rPr>
                <w:rFonts w:ascii="Arial" w:cs="Arial" w:eastAsia="Arial" w:hAnsi="Arial"/>
                <w:sz w:val="14"/>
                <w:szCs w:val="14"/>
                <w:color w:val="auto"/>
              </w:rPr>
              <w:t>32.2*</w:t>
            </w:r>
          </w:p>
        </w:tc>
        <w:tc>
          <w:tcPr>
            <w:tcW w:w="6780" w:type="dxa"/>
            <w:vAlign w:val="bottom"/>
            <w:gridSpan w:val="5"/>
          </w:tcPr>
          <w:p>
            <w:pPr>
              <w:spacing w:after="0"/>
              <w:rPr>
                <w:rFonts w:ascii="Arial" w:cs="Arial" w:eastAsia="Arial" w:hAnsi="Arial"/>
                <w:sz w:val="14"/>
                <w:szCs w:val="14"/>
                <w:color w:val="0000FF"/>
              </w:rPr>
            </w:pPr>
            <w:hyperlink w:anchor="page149">
              <w:r>
                <w:rPr>
                  <w:rFonts w:ascii="Arial" w:cs="Arial" w:eastAsia="Arial" w:hAnsi="Arial"/>
                  <w:sz w:val="14"/>
                  <w:szCs w:val="14"/>
                  <w:color w:val="0000FF"/>
                </w:rPr>
                <w:t>Certification of Principal Financial Officer Pursuant to 18 U.S.C.</w:t>
              </w:r>
            </w:hyperlink>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140"/>
        </w:trPr>
        <w:tc>
          <w:tcPr>
            <w:tcW w:w="1100" w:type="dxa"/>
            <w:vAlign w:val="bottom"/>
          </w:tcPr>
          <w:p>
            <w:pPr>
              <w:spacing w:after="0"/>
              <w:rPr>
                <w:sz w:val="12"/>
                <w:szCs w:val="12"/>
                <w:color w:val="auto"/>
              </w:rPr>
            </w:pPr>
          </w:p>
        </w:tc>
        <w:tc>
          <w:tcPr>
            <w:tcW w:w="3720" w:type="dxa"/>
            <w:vAlign w:val="bottom"/>
            <w:tcBorders>
              <w:top w:val="single" w:sz="8" w:color="0000FF"/>
            </w:tcBorders>
            <w:gridSpan w:val="2"/>
          </w:tcPr>
          <w:p>
            <w:pPr>
              <w:spacing w:after="0" w:line="141" w:lineRule="exact"/>
              <w:rPr>
                <w:rFonts w:ascii="Arial" w:cs="Arial" w:eastAsia="Arial" w:hAnsi="Arial"/>
                <w:sz w:val="14"/>
                <w:szCs w:val="14"/>
                <w:color w:val="0000FF"/>
                <w:w w:val="88"/>
              </w:rPr>
            </w:pPr>
            <w:hyperlink w:anchor="page149">
              <w:r>
                <w:rPr>
                  <w:rFonts w:ascii="Arial" w:cs="Arial" w:eastAsia="Arial" w:hAnsi="Arial"/>
                  <w:sz w:val="14"/>
                  <w:szCs w:val="14"/>
                  <w:color w:val="0000FF"/>
                  <w:w w:val="88"/>
                </w:rPr>
                <w:t>Section 1350, as Adopted Pursuant to Section 906 of the Sarbanes</w:t>
              </w:r>
            </w:hyperlink>
          </w:p>
        </w:tc>
        <w:tc>
          <w:tcPr>
            <w:tcW w:w="3060" w:type="dxa"/>
            <w:vAlign w:val="bottom"/>
            <w:gridSpan w:val="3"/>
          </w:tcPr>
          <w:p>
            <w:pPr>
              <w:jc w:val="right"/>
              <w:ind w:right="2960"/>
              <w:spacing w:after="0" w:line="141" w:lineRule="exact"/>
              <w:rPr>
                <w:rFonts w:ascii="Arial" w:cs="Arial" w:eastAsia="Arial" w:hAnsi="Arial"/>
                <w:sz w:val="14"/>
                <w:szCs w:val="14"/>
                <w:color w:val="0000FF"/>
              </w:rPr>
            </w:pPr>
            <w:hyperlink w:anchor="page149">
              <w:r>
                <w:rPr>
                  <w:rFonts w:ascii="Arial" w:cs="Arial" w:eastAsia="Arial" w:hAnsi="Arial"/>
                  <w:sz w:val="14"/>
                  <w:szCs w:val="14"/>
                  <w:color w:val="0000FF"/>
                </w:rPr>
                <w:t>-</w:t>
              </w:r>
            </w:hyperlink>
          </w:p>
        </w:tc>
        <w:tc>
          <w:tcPr>
            <w:tcW w:w="2980" w:type="dxa"/>
            <w:vAlign w:val="bottom"/>
          </w:tcPr>
          <w:p>
            <w:pPr>
              <w:spacing w:after="0"/>
              <w:rPr>
                <w:sz w:val="12"/>
                <w:szCs w:val="12"/>
                <w:color w:val="auto"/>
              </w:rPr>
            </w:pPr>
          </w:p>
        </w:tc>
      </w:tr>
      <w:tr>
        <w:trPr>
          <w:trHeight w:val="140"/>
        </w:trPr>
        <w:tc>
          <w:tcPr>
            <w:tcW w:w="1100" w:type="dxa"/>
            <w:vAlign w:val="bottom"/>
          </w:tcPr>
          <w:p>
            <w:pPr>
              <w:spacing w:after="0"/>
              <w:rPr>
                <w:sz w:val="12"/>
                <w:szCs w:val="12"/>
                <w:color w:val="auto"/>
              </w:rPr>
            </w:pPr>
          </w:p>
        </w:tc>
        <w:tc>
          <w:tcPr>
            <w:tcW w:w="3820" w:type="dxa"/>
            <w:vAlign w:val="bottom"/>
            <w:tcBorders>
              <w:top w:val="single" w:sz="8" w:color="0000FF"/>
            </w:tcBorders>
            <w:gridSpan w:val="4"/>
          </w:tcPr>
          <w:p>
            <w:pPr>
              <w:spacing w:after="0" w:line="141" w:lineRule="exact"/>
              <w:rPr>
                <w:rFonts w:ascii="Arial" w:cs="Arial" w:eastAsia="Arial" w:hAnsi="Arial"/>
                <w:sz w:val="14"/>
                <w:szCs w:val="14"/>
                <w:color w:val="0000FF"/>
              </w:rPr>
            </w:pPr>
            <w:hyperlink w:anchor="page149">
              <w:r>
                <w:rPr>
                  <w:rFonts w:ascii="Arial" w:cs="Arial" w:eastAsia="Arial" w:hAnsi="Arial"/>
                  <w:sz w:val="14"/>
                  <w:szCs w:val="14"/>
                  <w:color w:val="0000FF"/>
                </w:rPr>
                <w:t>Oxley Act of 2002.</w:t>
              </w:r>
            </w:hyperlink>
          </w:p>
        </w:tc>
        <w:tc>
          <w:tcPr>
            <w:tcW w:w="2960" w:type="dxa"/>
            <w:vAlign w:val="bottom"/>
          </w:tcPr>
          <w:p>
            <w:pPr>
              <w:spacing w:after="0"/>
              <w:rPr>
                <w:sz w:val="12"/>
                <w:szCs w:val="12"/>
                <w:color w:val="auto"/>
              </w:rPr>
            </w:pPr>
          </w:p>
        </w:tc>
        <w:tc>
          <w:tcPr>
            <w:tcW w:w="298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02"/>
        </w:trPr>
        <w:tc>
          <w:tcPr>
            <w:tcW w:w="1100" w:type="dxa"/>
            <w:vAlign w:val="bottom"/>
          </w:tcPr>
          <w:p>
            <w:pPr>
              <w:spacing w:after="0"/>
              <w:rPr>
                <w:sz w:val="20"/>
                <w:szCs w:val="20"/>
                <w:color w:val="auto"/>
              </w:rPr>
            </w:pPr>
            <w:r>
              <w:rPr>
                <w:rFonts w:ascii="Arial" w:cs="Arial" w:eastAsia="Arial" w:hAnsi="Arial"/>
                <w:sz w:val="14"/>
                <w:szCs w:val="14"/>
                <w:color w:val="auto"/>
              </w:rPr>
              <w:t>101.INS</w:t>
            </w:r>
          </w:p>
        </w:tc>
        <w:tc>
          <w:tcPr>
            <w:tcW w:w="6780" w:type="dxa"/>
            <w:vAlign w:val="bottom"/>
            <w:gridSpan w:val="5"/>
          </w:tcPr>
          <w:p>
            <w:pPr>
              <w:spacing w:after="0"/>
              <w:rPr>
                <w:sz w:val="20"/>
                <w:szCs w:val="20"/>
                <w:color w:val="auto"/>
              </w:rPr>
            </w:pPr>
            <w:r>
              <w:rPr>
                <w:rFonts w:ascii="Arial" w:cs="Arial" w:eastAsia="Arial" w:hAnsi="Arial"/>
                <w:sz w:val="14"/>
                <w:szCs w:val="14"/>
                <w:color w:val="auto"/>
              </w:rPr>
              <w:t>XBRL Instance Document - The instance document does not appear</w:t>
            </w:r>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160"/>
        </w:trPr>
        <w:tc>
          <w:tcPr>
            <w:tcW w:w="1100" w:type="dxa"/>
            <w:vAlign w:val="bottom"/>
          </w:tcPr>
          <w:p>
            <w:pPr>
              <w:spacing w:after="0"/>
              <w:rPr>
                <w:sz w:val="13"/>
                <w:szCs w:val="13"/>
                <w:color w:val="auto"/>
              </w:rPr>
            </w:pPr>
          </w:p>
        </w:tc>
        <w:tc>
          <w:tcPr>
            <w:tcW w:w="6780" w:type="dxa"/>
            <w:vAlign w:val="bottom"/>
            <w:gridSpan w:val="5"/>
          </w:tcPr>
          <w:p>
            <w:pPr>
              <w:spacing w:after="0"/>
              <w:rPr>
                <w:sz w:val="20"/>
                <w:szCs w:val="20"/>
                <w:color w:val="auto"/>
              </w:rPr>
            </w:pPr>
            <w:r>
              <w:rPr>
                <w:rFonts w:ascii="Arial" w:cs="Arial" w:eastAsia="Arial" w:hAnsi="Arial"/>
                <w:sz w:val="14"/>
                <w:szCs w:val="14"/>
                <w:color w:val="auto"/>
              </w:rPr>
              <w:t>in the interactive data file because its XBRL tags are embedded</w:t>
            </w:r>
          </w:p>
        </w:tc>
        <w:tc>
          <w:tcPr>
            <w:tcW w:w="2980" w:type="dxa"/>
            <w:vAlign w:val="bottom"/>
          </w:tcPr>
          <w:p>
            <w:pPr>
              <w:spacing w:after="0"/>
              <w:rPr>
                <w:sz w:val="13"/>
                <w:szCs w:val="13"/>
                <w:color w:val="auto"/>
              </w:rPr>
            </w:pPr>
          </w:p>
        </w:tc>
      </w:tr>
      <w:tr>
        <w:trPr>
          <w:trHeight w:val="181"/>
        </w:trPr>
        <w:tc>
          <w:tcPr>
            <w:tcW w:w="1100" w:type="dxa"/>
            <w:vAlign w:val="bottom"/>
          </w:tcPr>
          <w:p>
            <w:pPr>
              <w:spacing w:after="0"/>
              <w:rPr>
                <w:sz w:val="15"/>
                <w:szCs w:val="15"/>
                <w:color w:val="auto"/>
              </w:rPr>
            </w:pPr>
          </w:p>
        </w:tc>
        <w:tc>
          <w:tcPr>
            <w:tcW w:w="6780" w:type="dxa"/>
            <w:vAlign w:val="bottom"/>
            <w:gridSpan w:val="5"/>
          </w:tcPr>
          <w:p>
            <w:pPr>
              <w:spacing w:after="0"/>
              <w:rPr>
                <w:sz w:val="20"/>
                <w:szCs w:val="20"/>
                <w:color w:val="auto"/>
              </w:rPr>
            </w:pPr>
            <w:r>
              <w:rPr>
                <w:rFonts w:ascii="Arial" w:cs="Arial" w:eastAsia="Arial" w:hAnsi="Arial"/>
                <w:sz w:val="14"/>
                <w:szCs w:val="14"/>
                <w:color w:val="auto"/>
              </w:rPr>
              <w:t>within the inline XBRL document.</w:t>
            </w:r>
          </w:p>
        </w:tc>
        <w:tc>
          <w:tcPr>
            <w:tcW w:w="2980" w:type="dxa"/>
            <w:vAlign w:val="bottom"/>
          </w:tcPr>
          <w:p>
            <w:pPr>
              <w:spacing w:after="0"/>
              <w:rPr>
                <w:sz w:val="15"/>
                <w:szCs w:val="15"/>
                <w:color w:val="auto"/>
              </w:rPr>
            </w:pPr>
          </w:p>
        </w:tc>
      </w:tr>
      <w:tr>
        <w:trPr>
          <w:trHeight w:val="214"/>
        </w:trPr>
        <w:tc>
          <w:tcPr>
            <w:tcW w:w="1100" w:type="dxa"/>
            <w:vAlign w:val="bottom"/>
          </w:tcPr>
          <w:p>
            <w:pPr>
              <w:spacing w:after="0"/>
              <w:rPr>
                <w:sz w:val="20"/>
                <w:szCs w:val="20"/>
                <w:color w:val="auto"/>
              </w:rPr>
            </w:pPr>
            <w:r>
              <w:rPr>
                <w:rFonts w:ascii="Arial" w:cs="Arial" w:eastAsia="Arial" w:hAnsi="Arial"/>
                <w:sz w:val="14"/>
                <w:szCs w:val="14"/>
                <w:color w:val="auto"/>
              </w:rPr>
              <w:t>101.SCH</w:t>
            </w:r>
          </w:p>
        </w:tc>
        <w:tc>
          <w:tcPr>
            <w:tcW w:w="6780" w:type="dxa"/>
            <w:vAlign w:val="bottom"/>
            <w:gridSpan w:val="5"/>
          </w:tcPr>
          <w:p>
            <w:pPr>
              <w:spacing w:after="0"/>
              <w:rPr>
                <w:sz w:val="20"/>
                <w:szCs w:val="20"/>
                <w:color w:val="auto"/>
              </w:rPr>
            </w:pPr>
            <w:r>
              <w:rPr>
                <w:rFonts w:ascii="Arial" w:cs="Arial" w:eastAsia="Arial" w:hAnsi="Arial"/>
                <w:sz w:val="14"/>
                <w:szCs w:val="14"/>
                <w:color w:val="auto"/>
              </w:rPr>
              <w:t>XBRL Taxonomy Extension Schema Document.</w:t>
            </w:r>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214"/>
        </w:trPr>
        <w:tc>
          <w:tcPr>
            <w:tcW w:w="1100" w:type="dxa"/>
            <w:vAlign w:val="bottom"/>
          </w:tcPr>
          <w:p>
            <w:pPr>
              <w:spacing w:after="0"/>
              <w:rPr>
                <w:sz w:val="20"/>
                <w:szCs w:val="20"/>
                <w:color w:val="auto"/>
              </w:rPr>
            </w:pPr>
            <w:r>
              <w:rPr>
                <w:rFonts w:ascii="Arial" w:cs="Arial" w:eastAsia="Arial" w:hAnsi="Arial"/>
                <w:sz w:val="14"/>
                <w:szCs w:val="14"/>
                <w:color w:val="auto"/>
              </w:rPr>
              <w:t>101.CAL</w:t>
            </w:r>
          </w:p>
        </w:tc>
        <w:tc>
          <w:tcPr>
            <w:tcW w:w="6780" w:type="dxa"/>
            <w:vAlign w:val="bottom"/>
            <w:gridSpan w:val="5"/>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214"/>
        </w:trPr>
        <w:tc>
          <w:tcPr>
            <w:tcW w:w="1100" w:type="dxa"/>
            <w:vAlign w:val="bottom"/>
          </w:tcPr>
          <w:p>
            <w:pPr>
              <w:spacing w:after="0"/>
              <w:rPr>
                <w:sz w:val="20"/>
                <w:szCs w:val="20"/>
                <w:color w:val="auto"/>
              </w:rPr>
            </w:pPr>
            <w:r>
              <w:rPr>
                <w:rFonts w:ascii="Arial" w:cs="Arial" w:eastAsia="Arial" w:hAnsi="Arial"/>
                <w:sz w:val="14"/>
                <w:szCs w:val="14"/>
                <w:color w:val="auto"/>
              </w:rPr>
              <w:t>101.DEF</w:t>
            </w:r>
          </w:p>
        </w:tc>
        <w:tc>
          <w:tcPr>
            <w:tcW w:w="6780" w:type="dxa"/>
            <w:vAlign w:val="bottom"/>
            <w:gridSpan w:val="5"/>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214"/>
        </w:trPr>
        <w:tc>
          <w:tcPr>
            <w:tcW w:w="1100" w:type="dxa"/>
            <w:vAlign w:val="bottom"/>
          </w:tcPr>
          <w:p>
            <w:pPr>
              <w:spacing w:after="0"/>
              <w:rPr>
                <w:sz w:val="20"/>
                <w:szCs w:val="20"/>
                <w:color w:val="auto"/>
              </w:rPr>
            </w:pPr>
            <w:r>
              <w:rPr>
                <w:rFonts w:ascii="Arial" w:cs="Arial" w:eastAsia="Arial" w:hAnsi="Arial"/>
                <w:sz w:val="14"/>
                <w:szCs w:val="14"/>
                <w:color w:val="auto"/>
              </w:rPr>
              <w:t>101.LAB</w:t>
            </w:r>
          </w:p>
        </w:tc>
        <w:tc>
          <w:tcPr>
            <w:tcW w:w="6780" w:type="dxa"/>
            <w:vAlign w:val="bottom"/>
            <w:gridSpan w:val="5"/>
          </w:tcPr>
          <w:p>
            <w:pPr>
              <w:spacing w:after="0"/>
              <w:rPr>
                <w:sz w:val="20"/>
                <w:szCs w:val="20"/>
                <w:color w:val="auto"/>
              </w:rPr>
            </w:pPr>
            <w:r>
              <w:rPr>
                <w:rFonts w:ascii="Arial" w:cs="Arial" w:eastAsia="Arial" w:hAnsi="Arial"/>
                <w:sz w:val="14"/>
                <w:szCs w:val="14"/>
                <w:color w:val="auto"/>
              </w:rPr>
              <w:t>XBRL Taxonomy Extension Label Linkbase Document.</w:t>
            </w:r>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214"/>
        </w:trPr>
        <w:tc>
          <w:tcPr>
            <w:tcW w:w="1100" w:type="dxa"/>
            <w:vAlign w:val="bottom"/>
          </w:tcPr>
          <w:p>
            <w:pPr>
              <w:spacing w:after="0"/>
              <w:rPr>
                <w:sz w:val="20"/>
                <w:szCs w:val="20"/>
                <w:color w:val="auto"/>
              </w:rPr>
            </w:pPr>
            <w:r>
              <w:rPr>
                <w:rFonts w:ascii="Arial" w:cs="Arial" w:eastAsia="Arial" w:hAnsi="Arial"/>
                <w:sz w:val="14"/>
                <w:szCs w:val="14"/>
                <w:color w:val="auto"/>
              </w:rPr>
              <w:t>101.PRE</w:t>
            </w:r>
          </w:p>
        </w:tc>
        <w:tc>
          <w:tcPr>
            <w:tcW w:w="6780" w:type="dxa"/>
            <w:vAlign w:val="bottom"/>
            <w:gridSpan w:val="5"/>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193"/>
        </w:trPr>
        <w:tc>
          <w:tcPr>
            <w:tcW w:w="1100" w:type="dxa"/>
            <w:vAlign w:val="bottom"/>
          </w:tcPr>
          <w:p>
            <w:pPr>
              <w:spacing w:after="0"/>
              <w:rPr>
                <w:sz w:val="20"/>
                <w:szCs w:val="20"/>
                <w:color w:val="auto"/>
              </w:rPr>
            </w:pPr>
            <w:r>
              <w:rPr>
                <w:rFonts w:ascii="Arial" w:cs="Arial" w:eastAsia="Arial" w:hAnsi="Arial"/>
                <w:sz w:val="14"/>
                <w:szCs w:val="14"/>
                <w:color w:val="auto"/>
              </w:rPr>
              <w:t>104</w:t>
            </w:r>
          </w:p>
        </w:tc>
        <w:tc>
          <w:tcPr>
            <w:tcW w:w="6780" w:type="dxa"/>
            <w:vAlign w:val="bottom"/>
            <w:gridSpan w:val="5"/>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2980" w:type="dxa"/>
            <w:vAlign w:val="bottom"/>
          </w:tcPr>
          <w:p>
            <w:pPr>
              <w:ind w:left="2880"/>
              <w:spacing w:after="0"/>
              <w:rPr>
                <w:sz w:val="20"/>
                <w:szCs w:val="20"/>
                <w:color w:val="auto"/>
              </w:rPr>
            </w:pPr>
            <w:r>
              <w:rPr>
                <w:rFonts w:ascii="Arial" w:cs="Arial" w:eastAsia="Arial" w:hAnsi="Arial"/>
                <w:sz w:val="14"/>
                <w:szCs w:val="14"/>
                <w:color w:val="auto"/>
                <w:w w:val="85"/>
              </w:rPr>
              <w:t>X</w:t>
            </w:r>
          </w:p>
        </w:tc>
      </w:tr>
      <w:tr>
        <w:trPr>
          <w:trHeight w:val="181"/>
        </w:trPr>
        <w:tc>
          <w:tcPr>
            <w:tcW w:w="1100" w:type="dxa"/>
            <w:vAlign w:val="bottom"/>
          </w:tcPr>
          <w:p>
            <w:pPr>
              <w:spacing w:after="0"/>
              <w:rPr>
                <w:sz w:val="15"/>
                <w:szCs w:val="15"/>
                <w:color w:val="auto"/>
              </w:rPr>
            </w:pPr>
          </w:p>
        </w:tc>
        <w:tc>
          <w:tcPr>
            <w:tcW w:w="6780" w:type="dxa"/>
            <w:vAlign w:val="bottom"/>
            <w:gridSpan w:val="5"/>
          </w:tcPr>
          <w:p>
            <w:pPr>
              <w:spacing w:after="0"/>
              <w:rPr>
                <w:sz w:val="20"/>
                <w:szCs w:val="20"/>
                <w:color w:val="auto"/>
              </w:rPr>
            </w:pPr>
            <w:r>
              <w:rPr>
                <w:rFonts w:ascii="Arial" w:cs="Arial" w:eastAsia="Arial" w:hAnsi="Arial"/>
                <w:sz w:val="14"/>
                <w:szCs w:val="14"/>
                <w:color w:val="auto"/>
              </w:rPr>
              <w:t>contained in Exhibit 101).</w:t>
            </w:r>
          </w:p>
        </w:tc>
        <w:tc>
          <w:tcPr>
            <w:tcW w:w="29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right="300" w:hanging="662"/>
        <w:spacing w:after="0" w:line="242" w:lineRule="auto"/>
        <w:tabs>
          <w:tab w:leader="none" w:pos="7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Pursuant to Item 601(a)(5) of Regulation S-K, certain exhibits and schedules have been omitted. The Company hereby undertakes to furnish supplementally a copy of any omitted exhibit or schedule upon request by the SEC.</w:t>
      </w:r>
    </w:p>
    <w:p>
      <w:pPr>
        <w:spacing w:after="0" w:line="16" w:lineRule="exact"/>
        <w:rPr>
          <w:sz w:val="20"/>
          <w:szCs w:val="20"/>
          <w:color w:val="auto"/>
        </w:rPr>
      </w:pPr>
    </w:p>
    <w:p>
      <w:pPr>
        <w:ind w:left="700" w:right="60" w:hanging="662"/>
        <w:spacing w:after="0" w:line="242" w:lineRule="auto"/>
        <w:tabs>
          <w:tab w:leader="none" w:pos="7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16" w:lineRule="exact"/>
        <w:rPr>
          <w:sz w:val="20"/>
          <w:szCs w:val="20"/>
          <w:color w:val="auto"/>
        </w:rPr>
      </w:pPr>
    </w:p>
    <w:p>
      <w:pPr>
        <w:ind w:left="700" w:hanging="662"/>
        <w:spacing w:after="0"/>
        <w:tabs>
          <w:tab w:leader="none" w:pos="70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w:t>
      </w:r>
    </w:p>
    <w:p>
      <w:pPr>
        <w:spacing w:after="0" w:line="28" w:lineRule="exact"/>
        <w:rPr>
          <w:sz w:val="20"/>
          <w:szCs w:val="20"/>
          <w:color w:val="auto"/>
        </w:rPr>
      </w:pPr>
    </w:p>
    <w:p>
      <w:pPr>
        <w:ind w:left="700" w:hanging="662"/>
        <w:spacing w:after="0"/>
        <w:tabs>
          <w:tab w:leader="none" w:pos="70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certifications attached as Exhibits 32.1 and 32.2 that accompany this Annual Report on Form 10-K are not deemed</w:t>
      </w:r>
    </w:p>
    <w:p>
      <w:pPr>
        <w:ind w:left="700" w:right="40"/>
        <w:spacing w:after="0" w:line="232" w:lineRule="auto"/>
        <w:rPr>
          <w:rFonts w:ascii="Arial" w:cs="Arial" w:eastAsia="Arial" w:hAnsi="Arial"/>
          <w:sz w:val="12"/>
          <w:szCs w:val="12"/>
          <w:color w:val="auto"/>
        </w:rPr>
      </w:pPr>
      <w:r>
        <w:rPr>
          <w:rFonts w:ascii="Arial" w:cs="Arial" w:eastAsia="Arial" w:hAnsi="Arial"/>
          <w:sz w:val="12"/>
          <w:szCs w:val="12"/>
          <w:color w:val="auto"/>
        </w:rPr>
        <w:t>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32" w:lineRule="exact"/>
        <w:rPr>
          <w:sz w:val="20"/>
          <w:szCs w:val="20"/>
          <w:color w:val="auto"/>
        </w:rPr>
      </w:pPr>
    </w:p>
    <w:p>
      <w:pPr>
        <w:ind w:firstLine="7"/>
        <w:spacing w:after="0" w:line="271" w:lineRule="auto"/>
        <w:tabs>
          <w:tab w:leader="none" w:pos="376"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 applicable or is shown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financial statements or related notes.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42" w:right="41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883"/>
        <w:spacing w:after="0" w:line="301"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Annual Report on Form 10-K to be signed on its behalf by the undersigned, thereunto duly authorized, in the City of Irvine, State of California, on March 14, 2022.</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Tarsus Pharmaceuticals, Inc.</w:t>
      </w:r>
    </w:p>
    <w:p>
      <w:pPr>
        <w:spacing w:after="0" w:line="29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13335</wp:posOffset>
            </wp:positionV>
            <wp:extent cx="33712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Bobak Azamian, M.D., Ph.D.</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341" w:lineRule="exact"/>
        <w:rPr>
          <w:sz w:val="20"/>
          <w:szCs w:val="20"/>
          <w:color w:val="auto"/>
        </w:rPr>
      </w:pPr>
    </w:p>
    <w:p>
      <w:pPr>
        <w:ind w:right="80" w:firstLine="883"/>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Bobak Azamian, M.D., Ph.D., Leo Greenstein, and Bryan Wahl, M.D.,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166" w:lineRule="exact"/>
        <w:rPr>
          <w:sz w:val="20"/>
          <w:szCs w:val="20"/>
          <w:color w:val="auto"/>
        </w:rPr>
      </w:pPr>
    </w:p>
    <w:p>
      <w:pPr>
        <w:ind w:right="360" w:firstLine="883"/>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39" w:name="page140"/>
    <w:bookmarkEnd w:id="139"/>
    <w:p>
      <w:pPr>
        <w:ind w:left="860"/>
        <w:spacing w:after="0"/>
        <w:tabs>
          <w:tab w:leader="none" w:pos="5500" w:val="left"/>
          <w:tab w:leader="none" w:pos="88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22860</wp:posOffset>
            </wp:positionV>
            <wp:extent cx="71164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ectPr>
          <w:pgSz w:w="11900" w:h="16838" w:orient="portrait"/>
          <w:cols w:equalWidth="0" w:num="1">
            <w:col w:w="9580"/>
          </w:cols>
          <w:pgMar w:left="1440" w:top="1133" w:right="879" w:bottom="1440" w:gutter="0" w:footer="0" w:header="0"/>
        </w:sectPr>
      </w:pPr>
    </w:p>
    <w:p>
      <w:pPr>
        <w:spacing w:after="0" w:line="302"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27940</wp:posOffset>
            </wp:positionV>
            <wp:extent cx="2861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3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Bobak Azamian, M.D., Ph.D.</w:t>
      </w:r>
    </w:p>
    <w:p>
      <w:pPr>
        <w:spacing w:after="0" w:line="288"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13335</wp:posOffset>
            </wp:positionV>
            <wp:extent cx="2861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14"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Leonard M. Greenstein</w:t>
      </w:r>
    </w:p>
    <w:p>
      <w:pPr>
        <w:spacing w:after="0" w:line="200" w:lineRule="exact"/>
        <w:rPr>
          <w:sz w:val="20"/>
          <w:szCs w:val="20"/>
          <w:color w:val="auto"/>
        </w:rPr>
      </w:pPr>
    </w:p>
    <w:p>
      <w:pPr>
        <w:spacing w:after="0" w:line="262"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/s/ Michael Ackermann,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29210</wp:posOffset>
            </wp:positionV>
            <wp:extent cx="28619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3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Michael Ackermann, Ph.D.</w:t>
      </w:r>
    </w:p>
    <w:p>
      <w:pPr>
        <w:spacing w:after="0" w:line="301"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/s/ Bhaskar Chaudhuri,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29210</wp:posOffset>
            </wp:positionV>
            <wp:extent cx="2861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3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Bhaskar Chaudhuri, Ph.D.</w:t>
      </w:r>
    </w:p>
    <w:p>
      <w:pPr>
        <w:spacing w:after="0" w:line="30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 Rosemary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22225</wp:posOffset>
            </wp:positionV>
            <wp:extent cx="28619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Rosemary Crane</w:t>
      </w:r>
    </w:p>
    <w:p>
      <w:pPr>
        <w:spacing w:after="0" w:line="30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 Andrew Goldberg,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22225</wp:posOffset>
            </wp:positionV>
            <wp:extent cx="2861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Andrew Goldberg, M.D.</w:t>
      </w:r>
    </w:p>
    <w:p>
      <w:pPr>
        <w:spacing w:after="0" w:line="30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22225</wp:posOffset>
            </wp:positionV>
            <wp:extent cx="2861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William J. Link, Ph.D.</w:t>
      </w:r>
    </w:p>
    <w:p>
      <w:pPr>
        <w:spacing w:after="0" w:line="288"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 Wendy Yarno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22225</wp:posOffset>
            </wp:positionV>
            <wp:extent cx="28619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4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Wendy Yarno</w:t>
      </w:r>
    </w:p>
    <w:p>
      <w:pPr>
        <w:spacing w:after="0" w:line="288"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 Elizabeth Yeu-Lin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22225</wp:posOffset>
            </wp:positionV>
            <wp:extent cx="28619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Elizabeth Yeu-Lin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jc w:val="center"/>
              <w:ind w:right="351"/>
              <w:spacing w:after="0"/>
              <w:rPr>
                <w:sz w:val="20"/>
                <w:szCs w:val="20"/>
                <w:color w:val="auto"/>
              </w:rPr>
            </w:pPr>
            <w:r>
              <w:rPr>
                <w:rFonts w:ascii="Arial" w:cs="Arial" w:eastAsia="Arial" w:hAnsi="Arial"/>
                <w:sz w:val="18"/>
                <w:szCs w:val="18"/>
                <w:color w:val="auto"/>
                <w:w w:val="91"/>
              </w:rPr>
              <w:t>President, Chief Executive Officer, and Director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241"/>
        </w:trPr>
        <w:tc>
          <w:tcPr>
            <w:tcW w:w="4320" w:type="dxa"/>
            <w:vAlign w:val="bottom"/>
          </w:tcPr>
          <w:p>
            <w:pPr>
              <w:jc w:val="center"/>
              <w:ind w:right="351"/>
              <w:spacing w:after="0"/>
              <w:rPr>
                <w:sz w:val="20"/>
                <w:szCs w:val="20"/>
                <w:color w:val="auto"/>
              </w:rPr>
            </w:pPr>
            <w:r>
              <w:rPr>
                <w:rFonts w:ascii="Arial" w:cs="Arial" w:eastAsia="Arial" w:hAnsi="Arial"/>
                <w:sz w:val="18"/>
                <w:szCs w:val="18"/>
                <w:i w:val="1"/>
                <w:iCs w:val="1"/>
                <w:color w:val="auto"/>
                <w:w w:val="93"/>
              </w:rPr>
              <w:t>(Principal Executive Officer)</w:t>
            </w:r>
          </w:p>
        </w:tc>
        <w:tc>
          <w:tcPr>
            <w:tcW w:w="1540" w:type="dxa"/>
            <w:vAlign w:val="bottom"/>
          </w:tcPr>
          <w:p>
            <w:pPr>
              <w:spacing w:after="0"/>
              <w:rPr>
                <w:sz w:val="20"/>
                <w:szCs w:val="20"/>
                <w:color w:val="auto"/>
              </w:rPr>
            </w:pPr>
          </w:p>
        </w:tc>
      </w:tr>
      <w:tr>
        <w:trPr>
          <w:trHeight w:val="495"/>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93"/>
              </w:rPr>
              <w:t>Chief Financial Officer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175"/>
        </w:trPr>
        <w:tc>
          <w:tcPr>
            <w:tcW w:w="4320" w:type="dxa"/>
            <w:vAlign w:val="bottom"/>
          </w:tcPr>
          <w:p>
            <w:pPr>
              <w:jc w:val="center"/>
              <w:ind w:right="331"/>
              <w:spacing w:after="0" w:line="176" w:lineRule="exact"/>
              <w:rPr>
                <w:sz w:val="20"/>
                <w:szCs w:val="20"/>
                <w:color w:val="auto"/>
              </w:rPr>
            </w:pPr>
            <w:r>
              <w:rPr>
                <w:rFonts w:ascii="Arial" w:cs="Arial" w:eastAsia="Arial" w:hAnsi="Arial"/>
                <w:sz w:val="18"/>
                <w:szCs w:val="18"/>
                <w:i w:val="1"/>
                <w:iCs w:val="1"/>
                <w:color w:val="auto"/>
                <w:w w:val="94"/>
              </w:rPr>
              <w:t>(Principal Financial Officer and Principal Accounting</w:t>
            </w:r>
          </w:p>
        </w:tc>
        <w:tc>
          <w:tcPr>
            <w:tcW w:w="1540" w:type="dxa"/>
            <w:vAlign w:val="bottom"/>
          </w:tcPr>
          <w:p>
            <w:pPr>
              <w:spacing w:after="0"/>
              <w:rPr>
                <w:sz w:val="15"/>
                <w:szCs w:val="15"/>
                <w:color w:val="auto"/>
              </w:rPr>
            </w:pPr>
          </w:p>
        </w:tc>
      </w:tr>
      <w:tr>
        <w:trPr>
          <w:trHeight w:val="227"/>
        </w:trPr>
        <w:tc>
          <w:tcPr>
            <w:tcW w:w="4320" w:type="dxa"/>
            <w:vAlign w:val="bottom"/>
          </w:tcPr>
          <w:p>
            <w:pPr>
              <w:jc w:val="center"/>
              <w:ind w:right="351"/>
              <w:spacing w:after="0"/>
              <w:rPr>
                <w:sz w:val="20"/>
                <w:szCs w:val="20"/>
                <w:color w:val="auto"/>
              </w:rPr>
            </w:pPr>
            <w:r>
              <w:rPr>
                <w:rFonts w:ascii="Arial" w:cs="Arial" w:eastAsia="Arial" w:hAnsi="Arial"/>
                <w:sz w:val="18"/>
                <w:szCs w:val="18"/>
                <w:i w:val="1"/>
                <w:iCs w:val="1"/>
                <w:color w:val="auto"/>
                <w:w w:val="94"/>
              </w:rPr>
              <w:t>Officer)</w:t>
            </w:r>
          </w:p>
        </w:tc>
        <w:tc>
          <w:tcPr>
            <w:tcW w:w="1540" w:type="dxa"/>
            <w:vAlign w:val="bottom"/>
          </w:tcPr>
          <w:p>
            <w:pPr>
              <w:spacing w:after="0"/>
              <w:rPr>
                <w:sz w:val="19"/>
                <w:szCs w:val="19"/>
                <w:color w:val="auto"/>
              </w:rPr>
            </w:pPr>
          </w:p>
        </w:tc>
      </w:tr>
      <w:tr>
        <w:trPr>
          <w:trHeight w:val="494"/>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89"/>
              </w:rPr>
              <w:t>Chairman</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762"/>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91"/>
              </w:rPr>
              <w:t>Director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762"/>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91"/>
              </w:rPr>
              <w:t>Director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762"/>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91"/>
              </w:rPr>
              <w:t>Director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762"/>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91"/>
              </w:rPr>
              <w:t>Director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749"/>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91"/>
              </w:rPr>
              <w:t>Director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r>
        <w:trPr>
          <w:trHeight w:val="776"/>
        </w:trPr>
        <w:tc>
          <w:tcPr>
            <w:tcW w:w="4320" w:type="dxa"/>
            <w:vAlign w:val="bottom"/>
          </w:tcPr>
          <w:p>
            <w:pPr>
              <w:jc w:val="center"/>
              <w:ind w:right="331"/>
              <w:spacing w:after="0"/>
              <w:rPr>
                <w:sz w:val="20"/>
                <w:szCs w:val="20"/>
                <w:color w:val="auto"/>
              </w:rPr>
            </w:pPr>
            <w:r>
              <w:rPr>
                <w:rFonts w:ascii="Arial" w:cs="Arial" w:eastAsia="Arial" w:hAnsi="Arial"/>
                <w:sz w:val="18"/>
                <w:szCs w:val="18"/>
                <w:color w:val="auto"/>
                <w:w w:val="91"/>
              </w:rPr>
              <w:t>Director</w:t>
            </w:r>
          </w:p>
        </w:tc>
        <w:tc>
          <w:tcPr>
            <w:tcW w:w="1540" w:type="dxa"/>
            <w:vAlign w:val="bottom"/>
          </w:tcPr>
          <w:p>
            <w:pPr>
              <w:ind w:left="420"/>
              <w:spacing w:after="0"/>
              <w:rPr>
                <w:sz w:val="20"/>
                <w:szCs w:val="20"/>
                <w:color w:val="auto"/>
              </w:rPr>
            </w:pPr>
            <w:r>
              <w:rPr>
                <w:rFonts w:ascii="Arial" w:cs="Arial" w:eastAsia="Arial" w:hAnsi="Arial"/>
                <w:sz w:val="18"/>
                <w:szCs w:val="18"/>
                <w:color w:val="auto"/>
                <w:w w:val="87"/>
              </w:rPr>
              <w:t>March 14,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137</w:t>
      </w:r>
    </w:p>
    <w:p>
      <w:pPr>
        <w:sectPr>
          <w:pgSz w:w="11900" w:h="16838" w:orient="portrait"/>
          <w:cols w:equalWidth="0" w:num="2">
            <w:col w:w="3000" w:space="720"/>
            <w:col w:w="5860"/>
          </w:cols>
          <w:pgMar w:left="1440" w:top="1133" w:right="879" w:bottom="1440" w:gutter="0" w:footer="0" w:header="0"/>
          <w:type w:val="continuous"/>
        </w:sectPr>
      </w:pPr>
    </w:p>
    <w:bookmarkStart w:id="140" w:name="page141"/>
    <w:bookmarkEnd w:id="140"/>
    <w:p>
      <w:pPr>
        <w:jc w:val="center"/>
        <w:ind w:left="340" w:right="2660"/>
        <w:spacing w:after="0" w:line="261" w:lineRule="auto"/>
        <w:rPr>
          <w:sz w:val="20"/>
          <w:szCs w:val="20"/>
          <w:color w:val="auto"/>
        </w:rPr>
      </w:pPr>
      <w:r>
        <w:rPr>
          <w:rFonts w:ascii="Arial" w:cs="Arial" w:eastAsia="Arial" w:hAnsi="Arial"/>
          <w:sz w:val="18"/>
          <w:szCs w:val="18"/>
          <w:b w:val="1"/>
          <w:bCs w:val="1"/>
          <w:color w:val="auto"/>
        </w:rPr>
        <w:t>DESCRIPTION OF TARSUS PHARMACEUTICALS, INC.’S SECURITIES REGISTERED PURSUANT TO SECTION 12 OF THE SECURITIES EXCHANGE ACT OF 1934</w:t>
      </w:r>
    </w:p>
    <w:p>
      <w:pPr>
        <w:spacing w:after="0" w:line="211" w:lineRule="exact"/>
        <w:rPr>
          <w:sz w:val="20"/>
          <w:szCs w:val="20"/>
          <w:color w:val="auto"/>
        </w:rPr>
      </w:pPr>
    </w:p>
    <w:p>
      <w:pPr>
        <w:ind w:firstLine="562"/>
        <w:spacing w:after="0" w:line="252" w:lineRule="auto"/>
        <w:rPr>
          <w:sz w:val="20"/>
          <w:szCs w:val="20"/>
          <w:color w:val="auto"/>
        </w:rPr>
      </w:pPr>
      <w:r>
        <w:rPr>
          <w:rFonts w:ascii="Arial" w:cs="Arial" w:eastAsia="Arial" w:hAnsi="Arial"/>
          <w:sz w:val="18"/>
          <w:szCs w:val="18"/>
          <w:color w:val="auto"/>
        </w:rPr>
        <w:t>The following description of the common stock, par value $0.0001 per share, of Tarsus Pharmaceuticals, Inc. (“us,” “our,” “we,” or the “Company”), which is the only security of the Company registered under Section 12 of the Securities Exchange Act of 1934, as amended (the “Exchange Act”), summarizes certain information regarding the common stock in our amended and restated certificate of incorporation, our amended and restated bylaws and applicable provisions of Delaware general corporate law (the “DGCL”), and is qualified by reference to our amended and restated certificate of incorporation and our amended and restated by-laws, which are incorporated by reference as Exhibit 3.1 and 3.2, respectively, to the Annual Report on Form 10-K for the fiscal year ending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authorized capital stock consists of 210,000,000 shares of common stock, all with a par value of $0.0001 per share of which:</w:t>
      </w:r>
    </w:p>
    <w:p>
      <w:pPr>
        <w:spacing w:after="0" w:line="164" w:lineRule="exact"/>
        <w:rPr>
          <w:sz w:val="20"/>
          <w:szCs w:val="20"/>
          <w:color w:val="auto"/>
        </w:rPr>
      </w:pPr>
    </w:p>
    <w:p>
      <w:pPr>
        <w:ind w:left="1280" w:hanging="310"/>
        <w:spacing w:after="0"/>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200,000,000 shares are designated common stock; and</w:t>
      </w:r>
    </w:p>
    <w:p>
      <w:pPr>
        <w:ind w:left="1280" w:hanging="310"/>
        <w:spacing w:after="0"/>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10,000,000 shares are designated preferred stock.</w:t>
      </w:r>
    </w:p>
    <w:p>
      <w:pPr>
        <w:spacing w:after="0" w:line="165" w:lineRule="exact"/>
        <w:rPr>
          <w:sz w:val="20"/>
          <w:szCs w:val="20"/>
          <w:color w:val="auto"/>
        </w:rPr>
      </w:pPr>
    </w:p>
    <w:p>
      <w:pPr>
        <w:ind w:right="20" w:firstLine="437"/>
        <w:spacing w:after="0" w:line="222" w:lineRule="auto"/>
        <w:rPr>
          <w:sz w:val="20"/>
          <w:szCs w:val="20"/>
          <w:color w:val="auto"/>
        </w:rPr>
      </w:pPr>
      <w:r>
        <w:rPr>
          <w:rFonts w:ascii="Arial" w:cs="Arial" w:eastAsia="Arial" w:hAnsi="Arial"/>
          <w:sz w:val="18"/>
          <w:szCs w:val="18"/>
          <w:color w:val="auto"/>
        </w:rPr>
        <w:t>The following is a summary of the material provisions of the common stock and preferred stock provided for in our amended and restated certificate of incorporation and amended and restated bylaws. For additional detail about our capital stock, please refer to our amended and restated certificate of incorporation and amended and restated bylaws.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Nasdaq Global Select Market under the symbol “TARS”.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81" w:lineRule="exact"/>
        <w:rPr>
          <w:sz w:val="20"/>
          <w:szCs w:val="20"/>
          <w:color w:val="auto"/>
        </w:rPr>
      </w:pPr>
    </w:p>
    <w:p>
      <w:pPr>
        <w:ind w:right="20" w:firstLine="873"/>
        <w:spacing w:after="0" w:line="235"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81" w:lineRule="exact"/>
        <w:rPr>
          <w:sz w:val="20"/>
          <w:szCs w:val="20"/>
          <w:color w:val="auto"/>
        </w:rPr>
      </w:pPr>
    </w:p>
    <w:p>
      <w:pPr>
        <w:ind w:right="40" w:firstLine="873"/>
        <w:spacing w:after="0" w:line="213"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81" w:lineRule="exact"/>
        <w:rPr>
          <w:sz w:val="20"/>
          <w:szCs w:val="20"/>
          <w:color w:val="auto"/>
        </w:rPr>
      </w:pPr>
    </w:p>
    <w:p>
      <w:pPr>
        <w:ind w:right="160" w:firstLine="873"/>
        <w:spacing w:after="0" w:line="222"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ectPr>
          <w:pgSz w:w="11900" w:h="16838" w:orient="portrait"/>
          <w:cols w:equalWidth="0" w:num="1">
            <w:col w:w="11240"/>
          </w:cols>
          <w:pgMar w:left="320" w:top="1405" w:right="339" w:bottom="1440" w:gutter="0" w:footer="0" w:header="0"/>
        </w:sectPr>
      </w:pPr>
    </w:p>
    <w:bookmarkStart w:id="141" w:name="page142"/>
    <w:bookmarkEnd w:id="141"/>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5" w:lineRule="exact"/>
        <w:rPr>
          <w:sz w:val="20"/>
          <w:szCs w:val="20"/>
          <w:color w:val="auto"/>
        </w:rPr>
      </w:pPr>
    </w:p>
    <w:p>
      <w:pPr>
        <w:ind w:right="80" w:firstLine="437"/>
        <w:spacing w:after="0" w:line="234" w:lineRule="auto"/>
        <w:rPr>
          <w:sz w:val="20"/>
          <w:szCs w:val="20"/>
          <w:color w:val="auto"/>
        </w:rPr>
      </w:pPr>
      <w:r>
        <w:rPr>
          <w:rFonts w:ascii="Arial" w:cs="Arial" w:eastAsia="Arial" w:hAnsi="Arial"/>
          <w:sz w:val="16"/>
          <w:szCs w:val="16"/>
          <w:color w:val="auto"/>
        </w:rPr>
        <w:t>Under the terms of our amended and restated certificate of incorporation, 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can also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 There are no restrictions presently on the repurchase or redemption of any shares of our preferred stock.</w:t>
      </w:r>
    </w:p>
    <w:p>
      <w:pPr>
        <w:spacing w:after="0" w:line="164" w:lineRule="exact"/>
        <w:rPr>
          <w:sz w:val="20"/>
          <w:szCs w:val="20"/>
          <w:color w:val="auto"/>
        </w:rPr>
      </w:pPr>
    </w:p>
    <w:p>
      <w:pPr>
        <w:jc w:val="both"/>
        <w:ind w:right="120" w:firstLine="437"/>
        <w:spacing w:after="0" w:line="235" w:lineRule="auto"/>
        <w:rPr>
          <w:sz w:val="20"/>
          <w:szCs w:val="20"/>
          <w:color w:val="auto"/>
        </w:rPr>
      </w:pPr>
      <w:r>
        <w:rPr>
          <w:rFonts w:ascii="Arial" w:cs="Arial" w:eastAsia="Arial" w:hAnsi="Arial"/>
          <w:sz w:val="17"/>
          <w:szCs w:val="17"/>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121" w:lineRule="exact"/>
        <w:rPr>
          <w:sz w:val="20"/>
          <w:szCs w:val="20"/>
          <w:color w:val="auto"/>
        </w:rPr>
      </w:pPr>
    </w:p>
    <w:p>
      <w:pPr>
        <w:ind w:left="980" w:hanging="39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87" w:lineRule="exact"/>
        <w:rPr>
          <w:rFonts w:ascii="Arial" w:cs="Arial" w:eastAsia="Arial" w:hAnsi="Arial"/>
          <w:sz w:val="18"/>
          <w:szCs w:val="18"/>
          <w:color w:val="auto"/>
        </w:rPr>
      </w:pPr>
    </w:p>
    <w:p>
      <w:pPr>
        <w:ind w:left="980" w:hanging="39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87" w:lineRule="exact"/>
        <w:rPr>
          <w:rFonts w:ascii="Arial" w:cs="Arial" w:eastAsia="Arial" w:hAnsi="Arial"/>
          <w:sz w:val="18"/>
          <w:szCs w:val="18"/>
          <w:color w:val="auto"/>
        </w:rPr>
      </w:pPr>
    </w:p>
    <w:p>
      <w:pPr>
        <w:ind w:left="980" w:hanging="39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74" w:lineRule="exact"/>
        <w:rPr>
          <w:rFonts w:ascii="Arial" w:cs="Arial" w:eastAsia="Arial" w:hAnsi="Arial"/>
          <w:sz w:val="18"/>
          <w:szCs w:val="18"/>
          <w:color w:val="auto"/>
        </w:rPr>
      </w:pPr>
    </w:p>
    <w:p>
      <w:pPr>
        <w:ind w:left="980" w:hanging="39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delaying or preventing changes in control or management of our company.</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present plans to issue any shares of preferred stock nor are any shares of our preferred stock presently outstanding.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our Amended and Restated Certificate of Incorporation and Amended and Restated Bylaws</w:t>
      </w:r>
    </w:p>
    <w:p>
      <w:pPr>
        <w:spacing w:after="0" w:line="78" w:lineRule="exact"/>
        <w:rPr>
          <w:sz w:val="20"/>
          <w:szCs w:val="20"/>
          <w:color w:val="auto"/>
        </w:rPr>
      </w:pPr>
    </w:p>
    <w:p>
      <w:pPr>
        <w:ind w:firstLine="437"/>
        <w:spacing w:after="0"/>
        <w:rPr>
          <w:sz w:val="20"/>
          <w:szCs w:val="20"/>
          <w:color w:val="auto"/>
        </w:rPr>
      </w:pPr>
      <w:r>
        <w:rPr>
          <w:rFonts w:ascii="Arial" w:cs="Arial" w:eastAsia="Arial" w:hAnsi="Arial"/>
          <w:sz w:val="16"/>
          <w:szCs w:val="16"/>
          <w:color w:val="auto"/>
        </w:rPr>
        <w:t>Provisions of our amended and restated certificate of amended and restated incorporation and our amended and restated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63" w:lineRule="exact"/>
        <w:rPr>
          <w:sz w:val="20"/>
          <w:szCs w:val="20"/>
          <w:color w:val="auto"/>
        </w:rPr>
      </w:pPr>
    </w:p>
    <w:p>
      <w:pPr>
        <w:ind w:right="40" w:firstLine="437"/>
        <w:spacing w:after="0" w:line="220"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and our amended and restated bylaws provide that our board of directors is</w:t>
      </w:r>
      <w:r>
        <w:rPr>
          <w:rFonts w:ascii="Arial" w:cs="Arial" w:eastAsia="Arial" w:hAnsi="Arial"/>
          <w:sz w:val="17"/>
          <w:szCs w:val="17"/>
          <w:i w:val="1"/>
          <w:iCs w:val="1"/>
          <w:color w:val="auto"/>
        </w:rPr>
        <w:t xml:space="preserve"> </w:t>
      </w:r>
      <w:r>
        <w:rPr>
          <w:rFonts w:ascii="Arial" w:cs="Arial" w:eastAsia="Arial" w:hAnsi="Arial"/>
          <w:sz w:val="17"/>
          <w:szCs w:val="17"/>
          <w:color w:val="auto"/>
        </w:rPr>
        <w:t>divided into three classes, consisting of three Class I directors, two Class II directors and two Class III directors. The directors designated as Class I directors have a term expiring at our annual meeting of stockholders in 2021. The directors designated as Class II directors have a term expiring at our annual meeting of stockholders in 2022, and the directors designated as a Class III directors have a term expiring at our annual meeting of stockholders in 2020.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plurality of the votes cast by the stockholders entitled to vote at the election. Under the classified board provisions, it will take at least two elections of directors for any individual or group to gain control of our board. Accordingly, these provisions could discourage a third party from initiating a proxy contest, making a tender offer or otherwise attempting to gain control of us.</w:t>
      </w:r>
    </w:p>
    <w:p>
      <w:pPr>
        <w:spacing w:after="0" w:line="166" w:lineRule="exact"/>
        <w:rPr>
          <w:sz w:val="20"/>
          <w:szCs w:val="20"/>
          <w:color w:val="auto"/>
        </w:rPr>
      </w:pPr>
    </w:p>
    <w:p>
      <w:pPr>
        <w:ind w:right="60" w:firstLine="437"/>
        <w:spacing w:after="0" w:line="210"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authority of our board of directors to issue preferred stock could potentially be used to discourage attempts by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obtain control of our company through a merger,</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6"/>
          <w:szCs w:val="16"/>
          <w:color w:val="auto"/>
        </w:rPr>
        <w:t>tender offer, proxy contest, or otherwise by making it more difficult or more costly to obtain control of our company. Our board of directors may issue preferred stock with voting rights or conversion rights that, if exercised, could adversely affect the voting power of the holders of common stock.</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70" w:lineRule="exact"/>
        <w:rPr>
          <w:sz w:val="20"/>
          <w:szCs w:val="20"/>
          <w:color w:val="auto"/>
        </w:rPr>
      </w:pPr>
    </w:p>
    <w:p>
      <w:pPr>
        <w:ind w:right="20" w:firstLine="437"/>
        <w:spacing w:after="0" w:line="224" w:lineRule="auto"/>
        <w:rPr>
          <w:sz w:val="20"/>
          <w:szCs w:val="20"/>
          <w:color w:val="auto"/>
        </w:rPr>
      </w:pPr>
      <w:r>
        <w:rPr>
          <w:rFonts w:ascii="Arial" w:cs="Arial" w:eastAsia="Arial" w:hAnsi="Arial"/>
          <w:sz w:val="17"/>
          <w:szCs w:val="17"/>
          <w:i w:val="1"/>
          <w:iCs w:val="1"/>
          <w:color w:val="auto"/>
        </w:rPr>
        <w:t xml:space="preserve">Advanced Notice Requirement. </w:t>
      </w:r>
      <w:r>
        <w:rPr>
          <w:rFonts w:ascii="Arial" w:cs="Arial" w:eastAsia="Arial" w:hAnsi="Arial"/>
          <w:sz w:val="17"/>
          <w:szCs w:val="17"/>
          <w:color w:val="auto"/>
        </w:rPr>
        <w:t>Stockholder nominations of individuals for election to our board of directors and stockholder proposals of other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to be brought before an annual meeting of our stockholders must comply with the advance notice procedures set forth in our amended and restated bylaws. Generally, to be timely, such notice must be received at our principal executive offices no later than the date specified in our proxy statement released to stockholders in connection with the preceding year’s annual meeting of stockholders, which date shall be not earlier than the 75th day, nor later than the close of business on the 45th day, prior to the one-year anniversary of the date on which we first mailed our proxy materials or a notice of availability of proxy materials (whichever is earlier) for the preceding year’s annual meeting.</w:t>
      </w:r>
    </w:p>
    <w:p>
      <w:pPr>
        <w:spacing w:after="0" w:line="162" w:lineRule="exact"/>
        <w:rPr>
          <w:sz w:val="20"/>
          <w:szCs w:val="20"/>
          <w:color w:val="auto"/>
        </w:rPr>
      </w:pPr>
    </w:p>
    <w:p>
      <w:pPr>
        <w:ind w:right="180" w:firstLine="437"/>
        <w:spacing w:after="0" w:line="254" w:lineRule="auto"/>
        <w:rPr>
          <w:sz w:val="20"/>
          <w:szCs w:val="20"/>
          <w:color w:val="auto"/>
        </w:rPr>
      </w:pPr>
      <w:r>
        <w:rPr>
          <w:rFonts w:ascii="Arial" w:cs="Arial" w:eastAsia="Arial" w:hAnsi="Arial"/>
          <w:sz w:val="16"/>
          <w:szCs w:val="16"/>
          <w:i w:val="1"/>
          <w:iCs w:val="1"/>
          <w:color w:val="auto"/>
        </w:rPr>
        <w:t xml:space="preserve">Special Meeting Requirements. </w:t>
      </w:r>
      <w:r>
        <w:rPr>
          <w:rFonts w:ascii="Arial" w:cs="Arial" w:eastAsia="Arial" w:hAnsi="Arial"/>
          <w:sz w:val="16"/>
          <w:szCs w:val="16"/>
          <w:color w:val="auto"/>
        </w:rPr>
        <w:t>Our amended and restated bylaws provide that special meetings of our stockholders may only be called at the request</w:t>
      </w:r>
      <w:r>
        <w:rPr>
          <w:rFonts w:ascii="Arial" w:cs="Arial" w:eastAsia="Arial" w:hAnsi="Arial"/>
          <w:sz w:val="16"/>
          <w:szCs w:val="16"/>
          <w:i w:val="1"/>
          <w:iCs w:val="1"/>
          <w:color w:val="auto"/>
        </w:rPr>
        <w:t xml:space="preserve"> </w:t>
      </w:r>
      <w:r>
        <w:rPr>
          <w:rFonts w:ascii="Arial" w:cs="Arial" w:eastAsia="Arial" w:hAnsi="Arial"/>
          <w:sz w:val="16"/>
          <w:szCs w:val="16"/>
          <w:color w:val="auto"/>
        </w:rPr>
        <w:t>of a majority of the authorized number of members of the board of directors, chairperson of the board of directors, chief executive officer, president or secretary. Only such business shall be considered at a special meeting as shall have been stated in the notice for such meeting.</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Our amended and restated certificate of incorporation does not include a provision for cumulative voting for directors.</w:t>
      </w:r>
    </w:p>
    <w:p>
      <w:pPr>
        <w:spacing w:after="0" w:line="192" w:lineRule="exact"/>
        <w:rPr>
          <w:sz w:val="20"/>
          <w:szCs w:val="20"/>
          <w:color w:val="auto"/>
        </w:rPr>
      </w:pPr>
    </w:p>
    <w:p>
      <w:pPr>
        <w:ind w:right="220" w:firstLine="437"/>
        <w:spacing w:after="0" w:line="232"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amended and restated certificate of incorporation and amended and restated bylaws provide that the holders of our voting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 may only remove our directors for cause.</w:t>
      </w:r>
    </w:p>
    <w:p>
      <w:pPr>
        <w:spacing w:after="0" w:line="162" w:lineRule="exact"/>
        <w:rPr>
          <w:sz w:val="20"/>
          <w:szCs w:val="20"/>
          <w:color w:val="auto"/>
        </w:rPr>
      </w:pPr>
    </w:p>
    <w:p>
      <w:pPr>
        <w:ind w:firstLine="437"/>
        <w:spacing w:after="0" w:line="229" w:lineRule="auto"/>
        <w:rPr>
          <w:sz w:val="20"/>
          <w:szCs w:val="20"/>
          <w:color w:val="auto"/>
        </w:rPr>
      </w:pPr>
      <w:r>
        <w:rPr>
          <w:rFonts w:ascii="Arial" w:cs="Arial" w:eastAsia="Arial" w:hAnsi="Arial"/>
          <w:sz w:val="17"/>
          <w:szCs w:val="17"/>
          <w:i w:val="1"/>
          <w:iCs w:val="1"/>
          <w:color w:val="auto"/>
        </w:rPr>
        <w:t xml:space="preserve">Authorized but Unissued Shares. </w:t>
      </w:r>
      <w:r>
        <w:rPr>
          <w:rFonts w:ascii="Arial" w:cs="Arial" w:eastAsia="Arial" w:hAnsi="Arial"/>
          <w:sz w:val="17"/>
          <w:szCs w:val="17"/>
          <w:color w:val="auto"/>
        </w:rPr>
        <w:t>Our authorized but unissued shares of common stock and preferred stock will be available for future issuance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w:t>
      </w:r>
    </w:p>
    <w:p>
      <w:pPr>
        <w:spacing w:after="0" w:line="163" w:lineRule="exact"/>
        <w:rPr>
          <w:sz w:val="20"/>
          <w:szCs w:val="20"/>
          <w:color w:val="auto"/>
        </w:rPr>
      </w:pPr>
    </w:p>
    <w:p>
      <w:pPr>
        <w:ind w:right="180" w:firstLine="437"/>
        <w:spacing w:after="0" w:line="235" w:lineRule="auto"/>
        <w:rPr>
          <w:sz w:val="20"/>
          <w:szCs w:val="20"/>
          <w:color w:val="auto"/>
        </w:rPr>
      </w:pPr>
      <w:r>
        <w:rPr>
          <w:rFonts w:ascii="Arial" w:cs="Arial" w:eastAsia="Arial" w:hAnsi="Arial"/>
          <w:sz w:val="17"/>
          <w:szCs w:val="17"/>
          <w:i w:val="1"/>
          <w:iCs w:val="1"/>
          <w:color w:val="auto"/>
        </w:rPr>
        <w:t>Size of Board and Vacancies</w:t>
      </w:r>
      <w:r>
        <w:rPr>
          <w:rFonts w:ascii="Arial" w:cs="Arial" w:eastAsia="Arial" w:hAnsi="Arial"/>
          <w:sz w:val="17"/>
          <w:szCs w:val="17"/>
          <w:color w:val="auto"/>
        </w:rPr>
        <w:t>. Our amended and restated bylaws provide that the number of directors on our board of directors is fixed exclusively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Vacancies and newly created directorships resulting from any increase in our authorized number of directors will be filled by a majority of our board of directors then in office, although less than a quorum, or by a sole remaining director.</w:t>
      </w:r>
    </w:p>
    <w:p>
      <w:pPr>
        <w:spacing w:after="0" w:line="161" w:lineRule="exact"/>
        <w:rPr>
          <w:sz w:val="20"/>
          <w:szCs w:val="20"/>
          <w:color w:val="auto"/>
        </w:rPr>
      </w:pPr>
    </w:p>
    <w:p>
      <w:pPr>
        <w:ind w:right="320" w:firstLine="437"/>
        <w:spacing w:after="0" w:line="222"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Our amended and restated certificate of incorporation and our amended and restated bylaws provide that we will indemnify our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directors against losses as they incur in investigations and legal proceedings resulting from their services to us, which may include service in connection with takeover defense measures.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78" w:lineRule="exact"/>
        <w:rPr>
          <w:sz w:val="20"/>
          <w:szCs w:val="20"/>
          <w:color w:val="auto"/>
        </w:rPr>
      </w:pPr>
    </w:p>
    <w:p>
      <w:pPr>
        <w:ind w:right="120" w:firstLine="437"/>
        <w:spacing w:after="0" w:line="222"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generally prohibits a publicly-held Delaware corporation from engaging in a business combination with an interested stockholder for a period of three years following the date on which the person became an interested stockholder unless:</w:t>
      </w:r>
    </w:p>
    <w:p>
      <w:pPr>
        <w:spacing w:after="0" w:line="121" w:lineRule="exact"/>
        <w:rPr>
          <w:sz w:val="20"/>
          <w:szCs w:val="20"/>
          <w:color w:val="auto"/>
        </w:rPr>
      </w:pPr>
    </w:p>
    <w:p>
      <w:pPr>
        <w:ind w:left="960" w:right="160" w:hanging="494"/>
        <w:spacing w:after="0" w:line="271"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41" w:lineRule="exact"/>
        <w:rPr>
          <w:rFonts w:ascii="Arial" w:cs="Arial" w:eastAsia="Arial" w:hAnsi="Arial"/>
          <w:sz w:val="18"/>
          <w:szCs w:val="18"/>
          <w:color w:val="auto"/>
        </w:rPr>
      </w:pPr>
    </w:p>
    <w:p>
      <w:pPr>
        <w:ind w:left="960" w:right="140" w:hanging="494"/>
        <w:spacing w:after="0" w:line="293" w:lineRule="auto"/>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48" w:lineRule="exact"/>
        <w:rPr>
          <w:rFonts w:ascii="Arial" w:cs="Arial" w:eastAsia="Arial" w:hAnsi="Arial"/>
          <w:sz w:val="16"/>
          <w:szCs w:val="16"/>
          <w:color w:val="auto"/>
        </w:rPr>
      </w:pPr>
    </w:p>
    <w:p>
      <w:pPr>
        <w:ind w:left="960" w:right="80" w:hanging="494"/>
        <w:spacing w:after="0" w:line="222"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9"/>
          <w:szCs w:val="9"/>
          <w:color w:val="auto"/>
        </w:rPr>
        <w:t>3</w:t>
      </w:r>
      <w:r>
        <w:rPr>
          <w:rFonts w:ascii="Arial" w:cs="Arial" w:eastAsia="Arial" w:hAnsi="Arial"/>
          <w:sz w:val="18"/>
          <w:szCs w:val="18"/>
          <w:color w:val="auto"/>
        </w:rPr>
        <w:t>% of the outstanding voting stock that is not owned by the interested stockholder.</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41" w:lineRule="exact"/>
        <w:rPr>
          <w:sz w:val="20"/>
          <w:szCs w:val="20"/>
          <w:color w:val="auto"/>
        </w:rPr>
      </w:pPr>
    </w:p>
    <w:p>
      <w:pPr>
        <w:ind w:left="960" w:hanging="49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87" w:lineRule="exact"/>
        <w:rPr>
          <w:rFonts w:ascii="Arial" w:cs="Arial" w:eastAsia="Arial" w:hAnsi="Arial"/>
          <w:sz w:val="18"/>
          <w:szCs w:val="18"/>
          <w:color w:val="auto"/>
        </w:rPr>
      </w:pPr>
    </w:p>
    <w:p>
      <w:pPr>
        <w:ind w:left="960" w:right="500" w:hanging="494"/>
        <w:spacing w:after="0" w:line="271"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either the assets or outstanding stock of the corporation involving the interested stockholder;</w:t>
      </w:r>
    </w:p>
    <w:p>
      <w:pPr>
        <w:spacing w:after="0" w:line="241" w:lineRule="exact"/>
        <w:rPr>
          <w:rFonts w:ascii="Arial" w:cs="Arial" w:eastAsia="Arial" w:hAnsi="Arial"/>
          <w:sz w:val="18"/>
          <w:szCs w:val="18"/>
          <w:color w:val="auto"/>
        </w:rPr>
      </w:pPr>
    </w:p>
    <w:p>
      <w:pPr>
        <w:ind w:left="960" w:right="220" w:hanging="494"/>
        <w:spacing w:after="0" w:line="271"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28" w:lineRule="exact"/>
        <w:rPr>
          <w:rFonts w:ascii="Arial" w:cs="Arial" w:eastAsia="Arial" w:hAnsi="Arial"/>
          <w:sz w:val="18"/>
          <w:szCs w:val="18"/>
          <w:color w:val="auto"/>
        </w:rPr>
      </w:pPr>
    </w:p>
    <w:p>
      <w:pPr>
        <w:ind w:left="960" w:right="400" w:hanging="494"/>
        <w:spacing w:after="0" w:line="271"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241" w:lineRule="exact"/>
        <w:rPr>
          <w:rFonts w:ascii="Arial" w:cs="Arial" w:eastAsia="Arial" w:hAnsi="Arial"/>
          <w:sz w:val="18"/>
          <w:szCs w:val="18"/>
          <w:color w:val="auto"/>
        </w:rPr>
      </w:pPr>
    </w:p>
    <w:p>
      <w:pPr>
        <w:ind w:left="960" w:right="20" w:hanging="494"/>
        <w:spacing w:after="0" w:line="271"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281" w:lineRule="exact"/>
        <w:rPr>
          <w:sz w:val="20"/>
          <w:szCs w:val="20"/>
          <w:color w:val="auto"/>
        </w:rPr>
      </w:pPr>
    </w:p>
    <w:p>
      <w:pPr>
        <w:ind w:right="80" w:firstLine="437"/>
        <w:spacing w:after="0" w:line="282" w:lineRule="auto"/>
        <w:rPr>
          <w:sz w:val="20"/>
          <w:szCs w:val="20"/>
          <w:color w:val="auto"/>
        </w:rPr>
      </w:pPr>
      <w:r>
        <w:rPr>
          <w:rFonts w:ascii="Arial" w:cs="Arial" w:eastAsia="Arial" w:hAnsi="Arial"/>
          <w:sz w:val="16"/>
          <w:szCs w:val="16"/>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129" w:lineRule="exact"/>
        <w:rPr>
          <w:sz w:val="20"/>
          <w:szCs w:val="20"/>
          <w:color w:val="auto"/>
        </w:rPr>
      </w:pPr>
    </w:p>
    <w:p>
      <w:pPr>
        <w:ind w:firstLine="437"/>
        <w:spacing w:after="0" w:line="213" w:lineRule="auto"/>
        <w:rPr>
          <w:sz w:val="20"/>
          <w:szCs w:val="20"/>
          <w:color w:val="auto"/>
        </w:rPr>
      </w:pPr>
      <w:r>
        <w:rPr>
          <w:rFonts w:ascii="Arial" w:cs="Arial" w:eastAsia="Arial" w:hAnsi="Arial"/>
          <w:sz w:val="18"/>
          <w:szCs w:val="18"/>
          <w:color w:val="auto"/>
        </w:rPr>
        <w:t>The provisions of Delaware law and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sectPr>
          <w:pgSz w:w="11900" w:h="16838" w:orient="portrait"/>
          <w:cols w:equalWidth="0" w:num="1">
            <w:col w:w="11120"/>
          </w:cols>
          <w:pgMar w:left="320" w:top="1440" w:right="4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3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4" w:lineRule="exact"/>
        <w:rPr>
          <w:sz w:val="20"/>
          <w:szCs w:val="20"/>
          <w:color w:val="auto"/>
        </w:rPr>
      </w:pPr>
    </w:p>
    <w:p>
      <w:pPr>
        <w:ind w:left="640" w:right="180" w:hanging="312"/>
        <w:spacing w:after="0" w:line="397" w:lineRule="auto"/>
        <w:tabs>
          <w:tab w:leader="none" w:pos="571" w:val="left"/>
        </w:tabs>
        <w:numPr>
          <w:ilvl w:val="0"/>
          <w:numId w:val="93"/>
        </w:numPr>
        <w:rPr>
          <w:rFonts w:ascii="Arial" w:cs="Arial" w:eastAsia="Arial" w:hAnsi="Arial"/>
          <w:sz w:val="14"/>
          <w:szCs w:val="14"/>
          <w:color w:val="auto"/>
        </w:rPr>
      </w:pPr>
      <w:r>
        <w:rPr>
          <w:rFonts w:ascii="Arial" w:cs="Arial" w:eastAsia="Arial" w:hAnsi="Arial"/>
          <w:sz w:val="14"/>
          <w:szCs w:val="14"/>
          <w:color w:val="auto"/>
        </w:rPr>
        <w:t xml:space="preserve">Registration Statement (Form S-8 </w:t>
      </w:r>
      <w:r>
        <w:rPr>
          <w:rFonts w:ascii="Arial" w:cs="Arial" w:eastAsia="Arial" w:hAnsi="Arial"/>
          <w:sz w:val="14"/>
          <w:szCs w:val="14"/>
          <w:color w:val="333333"/>
        </w:rPr>
        <w:t>No. 333-249571</w:t>
      </w:r>
      <w:r>
        <w:rPr>
          <w:rFonts w:ascii="Arial" w:cs="Arial" w:eastAsia="Arial" w:hAnsi="Arial"/>
          <w:sz w:val="14"/>
          <w:szCs w:val="14"/>
          <w:color w:val="auto"/>
        </w:rPr>
        <w:t>) pertaining to the Tarsus Pharmaceuticals, Inc. 2020 Equity Incentive Plan, Tarsus Pharmaceuticals, Inc. 2020 Employee Stock Purchase Plan, and the Tarsus Pharmaceuticals, Inc. 2016 Stock Plan of Tarsus Pharmaceuticals, Inc.,</w:t>
      </w:r>
    </w:p>
    <w:p>
      <w:pPr>
        <w:spacing w:after="0" w:line="109" w:lineRule="exact"/>
        <w:rPr>
          <w:rFonts w:ascii="Arial" w:cs="Arial" w:eastAsia="Arial" w:hAnsi="Arial"/>
          <w:sz w:val="14"/>
          <w:szCs w:val="14"/>
          <w:color w:val="auto"/>
        </w:rPr>
      </w:pPr>
    </w:p>
    <w:p>
      <w:pPr>
        <w:ind w:left="640" w:right="840" w:hanging="312"/>
        <w:spacing w:after="0" w:line="255" w:lineRule="auto"/>
        <w:tabs>
          <w:tab w:leader="none" w:pos="5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Statement (Form S-8 No. 333-254932) pertaining to the Tarsus Pharmaceuticals, Inc. 2020 Equity Incentive Plan, and Tarsus Pharmaceuticals, Inc. 2020 Employee Stock Purchase Plan of Tarsus Pharmaceuticals, Inc.,</w:t>
      </w:r>
    </w:p>
    <w:p>
      <w:pPr>
        <w:spacing w:after="0" w:line="202" w:lineRule="exact"/>
        <w:rPr>
          <w:rFonts w:ascii="Arial" w:cs="Arial" w:eastAsia="Arial" w:hAnsi="Arial"/>
          <w:sz w:val="18"/>
          <w:szCs w:val="18"/>
          <w:color w:val="auto"/>
        </w:rPr>
      </w:pPr>
    </w:p>
    <w:p>
      <w:pPr>
        <w:ind w:left="580" w:hanging="25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Statement (Form S-3 No. 333-260665) of Tarsus Pharmaceuticals, Inc.;</w:t>
      </w:r>
    </w:p>
    <w:p>
      <w:pPr>
        <w:spacing w:after="0" w:line="221" w:lineRule="exact"/>
        <w:rPr>
          <w:sz w:val="20"/>
          <w:szCs w:val="20"/>
          <w:color w:val="auto"/>
        </w:rPr>
      </w:pPr>
    </w:p>
    <w:p>
      <w:pPr>
        <w:ind w:left="320" w:right="200"/>
        <w:spacing w:after="0"/>
        <w:rPr>
          <w:sz w:val="20"/>
          <w:szCs w:val="20"/>
          <w:color w:val="auto"/>
        </w:rPr>
      </w:pPr>
      <w:r>
        <w:rPr>
          <w:rFonts w:ascii="Arial" w:cs="Arial" w:eastAsia="Arial" w:hAnsi="Arial"/>
          <w:sz w:val="18"/>
          <w:szCs w:val="18"/>
          <w:color w:val="auto"/>
        </w:rPr>
        <w:t>of our report dated March 14, 2022 with respect to the financial statements of Tarsus Pharmaceuticals, Inc. incorporated by reference in this Annual Report (Form 10-K) for the year ended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40"/>
          </w:cols>
          <w:pgMar w:left="320" w:top="140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line="232" w:lineRule="auto"/>
        <w:rPr>
          <w:sz w:val="20"/>
          <w:szCs w:val="20"/>
          <w:color w:val="auto"/>
        </w:rPr>
      </w:pPr>
      <w:r>
        <w:rPr>
          <w:rFonts w:ascii="Arial" w:cs="Arial" w:eastAsia="Arial" w:hAnsi="Arial"/>
          <w:sz w:val="18"/>
          <w:szCs w:val="18"/>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 Bobak Azamian, M.D., Ph.D., certify that:</w:t>
      </w:r>
    </w:p>
    <w:p>
      <w:pPr>
        <w:spacing w:after="0" w:line="234" w:lineRule="exact"/>
        <w:rPr>
          <w:sz w:val="20"/>
          <w:szCs w:val="20"/>
          <w:color w:val="auto"/>
        </w:rPr>
      </w:pPr>
    </w:p>
    <w:p>
      <w:pPr>
        <w:ind w:left="180" w:hanging="173"/>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Tarsus Pharmaceuticals, Inc;</w:t>
      </w:r>
    </w:p>
    <w:p>
      <w:pPr>
        <w:spacing w:after="0" w:line="47" w:lineRule="exact"/>
        <w:rPr>
          <w:rFonts w:ascii="Arial" w:cs="Arial" w:eastAsia="Arial" w:hAnsi="Arial"/>
          <w:sz w:val="18"/>
          <w:szCs w:val="18"/>
          <w:color w:val="auto"/>
        </w:rPr>
      </w:pPr>
    </w:p>
    <w:p>
      <w:pPr>
        <w:ind w:left="320" w:right="40" w:hanging="313"/>
        <w:spacing w:after="0" w:line="296" w:lineRule="auto"/>
        <w:tabs>
          <w:tab w:leader="none" w:pos="1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60" w:hanging="313"/>
        <w:spacing w:after="0" w:line="247" w:lineRule="auto"/>
        <w:tabs>
          <w:tab w:leader="none" w:pos="177"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320" w:right="120" w:hanging="313"/>
        <w:spacing w:after="0" w:line="239" w:lineRule="auto"/>
        <w:tabs>
          <w:tab w:leader="none" w:pos="17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and internal control over financial reporting (as defined in Exchange Act Rules 13a-15(f) and 15d-15(f)) for the registrant and have:</w:t>
      </w:r>
    </w:p>
    <w:p>
      <w:pPr>
        <w:spacing w:after="0" w:line="82" w:lineRule="exact"/>
        <w:rPr>
          <w:rFonts w:ascii="Arial" w:cs="Arial" w:eastAsia="Arial" w:hAnsi="Arial"/>
          <w:sz w:val="17"/>
          <w:szCs w:val="17"/>
          <w:color w:val="auto"/>
        </w:rPr>
      </w:pPr>
    </w:p>
    <w:p>
      <w:pPr>
        <w:ind w:left="1460" w:right="60" w:hanging="330"/>
        <w:spacing w:after="0" w:line="244" w:lineRule="auto"/>
        <w:tabs>
          <w:tab w:leader="none" w:pos="138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8"/>
          <w:szCs w:val="18"/>
          <w:color w:val="auto"/>
        </w:rPr>
      </w:pPr>
    </w:p>
    <w:p>
      <w:pPr>
        <w:ind w:left="1460" w:right="140" w:hanging="330"/>
        <w:spacing w:after="0" w:line="232" w:lineRule="auto"/>
        <w:tabs>
          <w:tab w:leader="none" w:pos="139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460" w:right="160" w:hanging="330"/>
        <w:spacing w:after="0" w:line="378" w:lineRule="auto"/>
        <w:tabs>
          <w:tab w:leader="none" w:pos="1381" w:val="left"/>
        </w:tabs>
        <w:numPr>
          <w:ilvl w:val="1"/>
          <w:numId w:val="9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460" w:right="260" w:hanging="330"/>
        <w:spacing w:after="0" w:line="265" w:lineRule="auto"/>
        <w:tabs>
          <w:tab w:leader="none" w:pos="1391" w:val="left"/>
        </w:tabs>
        <w:numPr>
          <w:ilvl w:val="1"/>
          <w:numId w:val="9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7"/>
          <w:szCs w:val="17"/>
          <w:color w:val="auto"/>
        </w:rPr>
      </w:pPr>
    </w:p>
    <w:p>
      <w:pPr>
        <w:ind w:left="320" w:right="400" w:hanging="313"/>
        <w:spacing w:after="0" w:line="284" w:lineRule="auto"/>
        <w:tabs>
          <w:tab w:leader="none" w:pos="17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7"/>
          <w:szCs w:val="17"/>
          <w:color w:val="auto"/>
        </w:rPr>
      </w:pPr>
    </w:p>
    <w:p>
      <w:pPr>
        <w:ind w:left="1460" w:right="480" w:hanging="330"/>
        <w:spacing w:after="0" w:line="317" w:lineRule="auto"/>
        <w:tabs>
          <w:tab w:leader="none" w:pos="1381"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6"/>
          <w:szCs w:val="16"/>
          <w:color w:val="auto"/>
        </w:rPr>
      </w:pPr>
    </w:p>
    <w:p>
      <w:pPr>
        <w:ind w:left="1460" w:right="180" w:hanging="330"/>
        <w:spacing w:after="0" w:line="255" w:lineRule="auto"/>
        <w:tabs>
          <w:tab w:leader="none" w:pos="1391"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40"/>
        <w:spacing w:after="0"/>
        <w:tabs>
          <w:tab w:leader="none" w:pos="1240" w:val="left"/>
          <w:tab w:leader="none" w:pos="340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22225</wp:posOffset>
            </wp:positionV>
            <wp:extent cx="47726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4772660" cy="8255"/>
                    </a:xfrm>
                    <a:prstGeom prst="rect">
                      <a:avLst/>
                    </a:prstGeom>
                    <a:noFill/>
                  </pic:spPr>
                </pic:pic>
              </a:graphicData>
            </a:graphic>
          </wp:anchor>
        </w:drawing>
      </w:r>
    </w:p>
    <w:p>
      <w:pPr>
        <w:spacing w:after="0" w:line="40"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Bobak Azamian, M.D., Ph.D.</w:t>
      </w:r>
    </w:p>
    <w:p>
      <w:pPr>
        <w:spacing w:after="0" w:line="3"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President and Chief Executive Officer</w:t>
      </w:r>
    </w:p>
    <w:p>
      <w:pPr>
        <w:jc w:val="center"/>
        <w:ind w:left="3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line="232" w:lineRule="auto"/>
        <w:rPr>
          <w:sz w:val="20"/>
          <w:szCs w:val="20"/>
          <w:color w:val="auto"/>
        </w:rPr>
      </w:pPr>
      <w:r>
        <w:rPr>
          <w:rFonts w:ascii="Arial" w:cs="Arial" w:eastAsia="Arial" w:hAnsi="Arial"/>
          <w:sz w:val="18"/>
          <w:szCs w:val="18"/>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 Leo M. Greenstein, certify that:</w:t>
      </w:r>
    </w:p>
    <w:p>
      <w:pPr>
        <w:spacing w:after="0" w:line="234" w:lineRule="exact"/>
        <w:rPr>
          <w:sz w:val="20"/>
          <w:szCs w:val="20"/>
          <w:color w:val="auto"/>
        </w:rPr>
      </w:pPr>
    </w:p>
    <w:p>
      <w:pPr>
        <w:ind w:left="180" w:hanging="173"/>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Tarsus Pharmaceuticals, Inc;</w:t>
      </w:r>
    </w:p>
    <w:p>
      <w:pPr>
        <w:spacing w:after="0" w:line="47" w:lineRule="exact"/>
        <w:rPr>
          <w:rFonts w:ascii="Arial" w:cs="Arial" w:eastAsia="Arial" w:hAnsi="Arial"/>
          <w:sz w:val="18"/>
          <w:szCs w:val="18"/>
          <w:color w:val="auto"/>
        </w:rPr>
      </w:pPr>
    </w:p>
    <w:p>
      <w:pPr>
        <w:ind w:left="320" w:right="40" w:hanging="313"/>
        <w:spacing w:after="0" w:line="296" w:lineRule="auto"/>
        <w:tabs>
          <w:tab w:leader="none" w:pos="1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60" w:hanging="313"/>
        <w:spacing w:after="0" w:line="279" w:lineRule="auto"/>
        <w:tabs>
          <w:tab w:leader="none" w:pos="177"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right="120" w:hanging="313"/>
        <w:spacing w:after="0" w:line="244" w:lineRule="auto"/>
        <w:tabs>
          <w:tab w:leader="none" w:pos="1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460" w:right="60" w:hanging="330"/>
        <w:spacing w:after="0" w:line="244" w:lineRule="auto"/>
        <w:tabs>
          <w:tab w:leader="none" w:pos="138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8"/>
          <w:szCs w:val="18"/>
          <w:color w:val="auto"/>
        </w:rPr>
      </w:pPr>
    </w:p>
    <w:p>
      <w:pPr>
        <w:ind w:left="1460" w:right="140" w:hanging="330"/>
        <w:spacing w:after="0" w:line="232" w:lineRule="auto"/>
        <w:tabs>
          <w:tab w:leader="none" w:pos="139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460" w:right="160" w:hanging="330"/>
        <w:spacing w:after="0" w:line="378" w:lineRule="auto"/>
        <w:tabs>
          <w:tab w:leader="none" w:pos="1381" w:val="left"/>
        </w:tabs>
        <w:numPr>
          <w:ilvl w:val="1"/>
          <w:numId w:val="9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1460" w:right="80" w:hanging="320"/>
        <w:spacing w:after="0" w:line="24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w:t>
      </w:r>
      <w:r>
        <w:rPr>
          <w:sz w:val="20"/>
          <w:szCs w:val="20"/>
          <w:color w:val="auto"/>
        </w:rPr>
        <w:t xml:space="preserve"> </w:t>
      </w:r>
      <w:r>
        <w:rPr>
          <w:rFonts w:ascii="Arial" w:cs="Arial" w:eastAsia="Arial" w:hAnsi="Arial"/>
          <w:sz w:val="18"/>
          <w:szCs w:val="18"/>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sz w:val="20"/>
          <w:szCs w:val="20"/>
          <w:color w:val="auto"/>
        </w:rPr>
      </w:pPr>
    </w:p>
    <w:p>
      <w:pPr>
        <w:ind w:left="320" w:right="400" w:hanging="313"/>
        <w:spacing w:after="0" w:line="284" w:lineRule="auto"/>
        <w:tabs>
          <w:tab w:leader="none" w:pos="17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7"/>
          <w:szCs w:val="17"/>
          <w:color w:val="auto"/>
        </w:rPr>
      </w:pPr>
    </w:p>
    <w:p>
      <w:pPr>
        <w:ind w:left="1460" w:right="480" w:hanging="330"/>
        <w:spacing w:after="0" w:line="317" w:lineRule="auto"/>
        <w:tabs>
          <w:tab w:leader="none" w:pos="1381"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6"/>
          <w:szCs w:val="16"/>
          <w:color w:val="auto"/>
        </w:rPr>
      </w:pPr>
    </w:p>
    <w:p>
      <w:pPr>
        <w:ind w:left="1460" w:right="180" w:hanging="330"/>
        <w:spacing w:after="0" w:line="255" w:lineRule="auto"/>
        <w:tabs>
          <w:tab w:leader="none" w:pos="139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40"/>
        <w:spacing w:after="0"/>
        <w:tabs>
          <w:tab w:leader="none" w:pos="1240" w:val="left"/>
          <w:tab w:leader="none" w:pos="3400" w:val="left"/>
          <w:tab w:leader="none" w:pos="6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22225</wp:posOffset>
            </wp:positionV>
            <wp:extent cx="47644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4764405" cy="8255"/>
                    </a:xfrm>
                    <a:prstGeom prst="rect">
                      <a:avLst/>
                    </a:prstGeom>
                    <a:noFill/>
                  </pic:spPr>
                </pic:pic>
              </a:graphicData>
            </a:graphic>
          </wp:anchor>
        </w:drawing>
      </w:r>
    </w:p>
    <w:p>
      <w:pPr>
        <w:spacing w:after="0" w:line="40"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Leo M. Greenstein</w:t>
      </w:r>
    </w:p>
    <w:p>
      <w:pPr>
        <w:spacing w:after="0" w:line="3"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Chief Financial Officer</w:t>
      </w:r>
    </w:p>
    <w:p>
      <w:pPr>
        <w:jc w:val="cente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ectPr>
          <w:pgSz w:w="11900" w:h="16838" w:orient="portrait"/>
          <w:cols w:equalWidth="0" w:num="1">
            <w:col w:w="11240"/>
          </w:cols>
          <w:pgMar w:left="320" w:top="1405" w:right="339" w:bottom="1440" w:gutter="0" w:footer="0" w:header="0"/>
        </w:sectPr>
      </w:pPr>
    </w:p>
    <w:bookmarkStart w:id="147" w:name="page148"/>
    <w:bookmarkEnd w:id="147"/>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jc w:val="center"/>
        <w:spacing w:after="0" w:line="232"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8" w:lineRule="exact"/>
        <w:rPr>
          <w:sz w:val="20"/>
          <w:szCs w:val="20"/>
          <w:color w:val="auto"/>
        </w:rPr>
      </w:pPr>
    </w:p>
    <w:p>
      <w:pPr>
        <w:jc w:val="both"/>
        <w:ind w:right="220" w:firstLine="571"/>
        <w:spacing w:after="0" w:line="244" w:lineRule="auto"/>
        <w:rPr>
          <w:sz w:val="20"/>
          <w:szCs w:val="20"/>
          <w:color w:val="auto"/>
        </w:rPr>
      </w:pPr>
      <w:r>
        <w:rPr>
          <w:rFonts w:ascii="Arial" w:cs="Arial" w:eastAsia="Arial" w:hAnsi="Arial"/>
          <w:sz w:val="18"/>
          <w:szCs w:val="18"/>
          <w:color w:val="auto"/>
        </w:rPr>
        <w:t>In connection with the Annual Report of Tarsus Pharmaceuticals, Inc. (the “Company”) on Form 10-K for the period ended December 31, 2021 as filed with the Securities and Exchange Commission on the date hereof (the “Report”), I, Bobak Azamian, hereby certify, pursuant to 18 U.S.C. § 1350, as adopted pursuant to § 906 of the Sarbanes-Oxley Act of 2002, that:</w:t>
      </w:r>
    </w:p>
    <w:p>
      <w:pPr>
        <w:spacing w:after="0" w:line="291" w:lineRule="exact"/>
        <w:rPr>
          <w:sz w:val="20"/>
          <w:szCs w:val="20"/>
          <w:color w:val="auto"/>
        </w:rPr>
      </w:pPr>
    </w:p>
    <w:p>
      <w:pPr>
        <w:ind w:left="1080" w:right="2620" w:hanging="636"/>
        <w:spacing w:after="0" w:line="255"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80" w:right="2540" w:hanging="636"/>
        <w:spacing w:after="0" w:line="255"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40"/>
        <w:spacing w:after="0"/>
        <w:tabs>
          <w:tab w:leader="none" w:pos="740" w:val="left"/>
          <w:tab w:leader="none" w:pos="4040" w:val="left"/>
          <w:tab w:leader="none" w:pos="4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22225</wp:posOffset>
            </wp:positionV>
            <wp:extent cx="4127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4127500" cy="8255"/>
                    </a:xfrm>
                    <a:prstGeom prst="rect">
                      <a:avLst/>
                    </a:prstGeom>
                    <a:noFill/>
                  </pic:spPr>
                </pic:pic>
              </a:graphicData>
            </a:graphic>
          </wp:anchor>
        </w:drawing>
      </w:r>
    </w:p>
    <w:p>
      <w:pPr>
        <w:spacing w:after="0" w:line="4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Bobak Azamian, M.D., Ph.D.</w:t>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President and Chief Executive Officer</w:t>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jc w:val="center"/>
        <w:spacing w:after="0" w:line="232"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8" w:lineRule="exact"/>
        <w:rPr>
          <w:sz w:val="20"/>
          <w:szCs w:val="20"/>
          <w:color w:val="auto"/>
        </w:rPr>
      </w:pPr>
    </w:p>
    <w:p>
      <w:pPr>
        <w:ind w:right="80" w:firstLine="571"/>
        <w:spacing w:after="0" w:line="244" w:lineRule="auto"/>
        <w:rPr>
          <w:sz w:val="20"/>
          <w:szCs w:val="20"/>
          <w:color w:val="auto"/>
        </w:rPr>
      </w:pPr>
      <w:r>
        <w:rPr>
          <w:rFonts w:ascii="Arial" w:cs="Arial" w:eastAsia="Arial" w:hAnsi="Arial"/>
          <w:sz w:val="18"/>
          <w:szCs w:val="18"/>
          <w:color w:val="auto"/>
        </w:rPr>
        <w:t>In connection with the Annual Report of Tarsus Pharmaceuticals, Inc. (the “Company”) on Form 10-K for the period ended December 31, 2021 as filed with the Securities and Exchange Commission on the date hereof (the “Report”), I, Leo M. Greenstein, hereby certify, pursuant to 18 U.S.C. § 1350, as adopted pursuant to § 906 of the Sarbanes-Oxley Act of 2002, that:</w:t>
      </w:r>
    </w:p>
    <w:p>
      <w:pPr>
        <w:spacing w:after="0" w:line="291" w:lineRule="exact"/>
        <w:rPr>
          <w:sz w:val="20"/>
          <w:szCs w:val="20"/>
          <w:color w:val="auto"/>
        </w:rPr>
      </w:pPr>
    </w:p>
    <w:p>
      <w:pPr>
        <w:ind w:left="1080" w:right="2620" w:hanging="636"/>
        <w:spacing w:after="0" w:line="255"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80" w:right="2540" w:hanging="636"/>
        <w:spacing w:after="0" w:line="255"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40"/>
        <w:spacing w:after="0"/>
        <w:tabs>
          <w:tab w:leader="none" w:pos="720" w:val="left"/>
          <w:tab w:leader="none" w:pos="3820" w:val="left"/>
          <w:tab w:leader="none" w:pos="4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22225</wp:posOffset>
            </wp:positionV>
            <wp:extent cx="43992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4399280" cy="8255"/>
                    </a:xfrm>
                    <a:prstGeom prst="rect">
                      <a:avLst/>
                    </a:prstGeom>
                    <a:noFill/>
                  </pic:spPr>
                </pic:pic>
              </a:graphicData>
            </a:graphic>
          </wp:anchor>
        </w:drawing>
      </w:r>
    </w:p>
    <w:p>
      <w:pPr>
        <w:spacing w:after="0" w:line="4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Leo M. Greenstein</w:t>
      </w:r>
    </w:p>
    <w:p>
      <w:pPr>
        <w:spacing w:after="0" w:line="4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Financial Officer</w:t>
      </w:r>
    </w:p>
    <w:p>
      <w:pPr>
        <w:spacing w:after="0" w:line="47"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lvl w:ilvl="1">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lowerRoman"/>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2"/>
    </w:lvl>
  </w:abstractNum>
  <w:abstractNum w:abstractNumId="76">
    <w:nsid w:val="4C04A8AF"/>
    <w:multiLevelType w:val="hybridMultilevel"/>
    <w:lvl w:ilvl="0">
      <w:lvlJc w:val="left"/>
      <w:lvlText w:val="(%1)"/>
      <w:numFmt w:val="lowerRoman"/>
      <w:start w:val="6"/>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8"/>
    </w:lvl>
  </w:abstractNum>
  <w:abstractNum w:abstractNumId="82">
    <w:nsid w:val="2DF6D648"/>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1)"/>
      <w:numFmt w:val="lowerLetter"/>
      <w:start w:val="3"/>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1"/>
    </w:lvl>
    <w:lvl w:ilvl="1">
      <w:lvlJc w:val="left"/>
      <w:lvlText w:val="(%2)"/>
      <w:numFmt w:val="lowerLetter"/>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5"/>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59" Type="http://schemas.openxmlformats.org/officeDocument/2006/relationships/hyperlink" Target="https://www.sec.gov/Archives/edgar/data/1819790/000119312520272900/d11649dex31.htm" TargetMode="External"/><Relationship Id="rId160" Type="http://schemas.openxmlformats.org/officeDocument/2006/relationships/hyperlink" Target="https://www.sec.gov/Archives/edgar/data/1819790/000119312520272900/d11649dex32.htm" TargetMode="External"/><Relationship Id="rId161" Type="http://schemas.openxmlformats.org/officeDocument/2006/relationships/hyperlink" Target="https://www.sec.gov/Archives/edgar/data/1819790/000119312520267327/d30607dex41.htm" TargetMode="External"/><Relationship Id="rId162" Type="http://schemas.openxmlformats.org/officeDocument/2006/relationships/hyperlink" Target="https://www.sec.gov/Archives/edgar/data/1819790/000119312520267327/d30607dex42.htm" TargetMode="External"/><Relationship Id="rId163" Type="http://schemas.openxmlformats.org/officeDocument/2006/relationships/hyperlink" Target="https://www.sec.gov/Archives/edgar/data/1819790/000119312520267327/d30607dex101.htm" TargetMode="External"/><Relationship Id="rId164" Type="http://schemas.openxmlformats.org/officeDocument/2006/relationships/hyperlink" Target="https://www.sec.gov/Archives/edgar/data/1819790/000119312520254758/d30607dex102.htm" TargetMode="External"/><Relationship Id="rId165" Type="http://schemas.openxmlformats.org/officeDocument/2006/relationships/hyperlink" Target="https://www.sec.gov/Archives/edgar/data/1819790/000119312520272944/d55477dex992.htm" TargetMode="External"/><Relationship Id="rId166" Type="http://schemas.openxmlformats.org/officeDocument/2006/relationships/hyperlink" Target="https://www.sec.gov/Archives/edgar/data/1819790/000119312520272944/d55477dex993.htm" TargetMode="External"/><Relationship Id="rId167" Type="http://schemas.openxmlformats.org/officeDocument/2006/relationships/hyperlink" Target="https://www.sec.gov/Archives/edgar/data/1819790/000119312520267327/d30607dex105.htm" TargetMode="External"/><Relationship Id="rId168" Type="http://schemas.openxmlformats.org/officeDocument/2006/relationships/hyperlink" Target="https://www.sec.gov/Archives/edgar/data/1819790/000119312520254758/d30607dex106.htm" TargetMode="External"/><Relationship Id="rId169" Type="http://schemas.openxmlformats.org/officeDocument/2006/relationships/hyperlink" Target="https://www.sec.gov/Archives/edgar/data/1819790/000119312520254758/d30607dex107.htm" TargetMode="External"/><Relationship Id="rId170" Type="http://schemas.openxmlformats.org/officeDocument/2006/relationships/hyperlink" Target="https://www.sec.gov/Archives/edgar/data/1819790/000119312520254758/d30607dex108.htm" TargetMode="External"/><Relationship Id="rId171" Type="http://schemas.openxmlformats.org/officeDocument/2006/relationships/hyperlink" Target="https://www.sec.gov/Archives/edgar/data/1819790/000119312520254758/d30607dex109.htm" TargetMode="External"/><Relationship Id="rId172" Type="http://schemas.openxmlformats.org/officeDocument/2006/relationships/hyperlink" Target="https://www.sec.gov/Archives/edgar/data/1819790/000119312520267327/d30607dex1010.htm" TargetMode="External"/><Relationship Id="rId173" Type="http://schemas.openxmlformats.org/officeDocument/2006/relationships/hyperlink" Target="https://www.sec.gov/Archives/edgar/data/1819790/000119312520267327/d30607dex1011.htm" TargetMode="External"/><Relationship Id="rId174" Type="http://schemas.openxmlformats.org/officeDocument/2006/relationships/hyperlink" Target="https://www.sec.gov/Archives/edgar/data/1819790/000119312520267327/d30607dex1012.htm" TargetMode="External"/><Relationship Id="rId175" Type="http://schemas.openxmlformats.org/officeDocument/2006/relationships/hyperlink" Target="https://www.sec.gov/Archives/edgar/data/1819790/000119312520254758/d30607dex1013.htm" TargetMode="External"/><Relationship Id="rId176" Type="http://schemas.openxmlformats.org/officeDocument/2006/relationships/hyperlink" Target="https://www.sec.gov/Archives/edgar/data/1819790/000119312520254758/d30607dex1014.htm" TargetMode="External"/><Relationship Id="rId177" Type="http://schemas.openxmlformats.org/officeDocument/2006/relationships/hyperlink" Target="https://www.sec.gov/Archives/edgar/data/1819790/000119312520267327/d30607dex1015.htm" TargetMode="External"/><Relationship Id="rId178" Type="http://schemas.openxmlformats.org/officeDocument/2006/relationships/hyperlink" Target="http://www.sec.gov/Archives/edgar/data/1819790/000181979021000020/exhibit101lian-tarsusxde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2022-03-14T15:42:52Z</dcterms:created>
  <dcterms:modified xsi:type="dcterms:W3CDTF">2022-03-14T15:42:52Z</dcterms:modified>
</cp:coreProperties>
</file>