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November 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Tarsus Pharmaceuticals,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001-39614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81-4717861</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176"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jc w:val="center"/>
        <w:ind w:right="16"/>
        <w:spacing w:after="0"/>
        <w:rPr>
          <w:sz w:val="20"/>
          <w:szCs w:val="20"/>
          <w:color w:val="auto"/>
        </w:rPr>
      </w:pPr>
      <w:r>
        <w:rPr>
          <w:rFonts w:ascii="Arial" w:cs="Arial" w:eastAsia="Arial" w:hAnsi="Arial"/>
          <w:sz w:val="18"/>
          <w:szCs w:val="18"/>
          <w:b w:val="1"/>
          <w:bCs w:val="1"/>
          <w:color w:val="auto"/>
        </w:rPr>
        <w:t>15440 Laguna Canyon Road, Suite 160</w:t>
      </w:r>
    </w:p>
    <w:p>
      <w:pPr>
        <w:spacing w:after="0" w:line="27"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Irvine, California 92618</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13"/>
          <w:szCs w:val="13"/>
          <w:b w:val="1"/>
          <w:bCs w:val="1"/>
          <w:color w:val="auto"/>
        </w:rPr>
        <w:t>(Address of principal executive offices, including zip code)</w:t>
      </w:r>
    </w:p>
    <w:p>
      <w:pPr>
        <w:spacing w:after="0" w:line="163"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(949) 409-9820</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65"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316"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35"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9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98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191"/>
        </w:trPr>
        <w:tc>
          <w:tcPr>
            <w:tcW w:w="38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Common Stock, par value $0.0001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7"/>
              </w:rPr>
              <w:t>TARS</w:t>
            </w:r>
          </w:p>
        </w:tc>
        <w:tc>
          <w:tcPr>
            <w:tcW w:w="100" w:type="dxa"/>
            <w:vAlign w:val="bottom"/>
          </w:tcPr>
          <w:p>
            <w:pPr>
              <w:spacing w:after="0"/>
              <w:rPr>
                <w:sz w:val="16"/>
                <w:szCs w:val="16"/>
                <w:color w:val="auto"/>
              </w:rPr>
            </w:pPr>
          </w:p>
        </w:tc>
        <w:tc>
          <w:tcPr>
            <w:tcW w:w="34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4"/>
              </w:rPr>
              <w:t>The Nasdaq Stock Market LLC</w:t>
            </w:r>
          </w:p>
        </w:tc>
        <w:tc>
          <w:tcPr>
            <w:tcW w:w="0" w:type="dxa"/>
            <w:vAlign w:val="bottom"/>
          </w:tcPr>
          <w:p>
            <w:pPr>
              <w:spacing w:after="0"/>
              <w:rPr>
                <w:sz w:val="1"/>
                <w:szCs w:val="1"/>
                <w:color w:val="auto"/>
              </w:rPr>
            </w:pPr>
          </w:p>
        </w:tc>
      </w:tr>
      <w:tr>
        <w:trPr>
          <w:trHeight w:val="234"/>
        </w:trPr>
        <w:tc>
          <w:tcPr>
            <w:tcW w:w="3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c>
          <w:tcPr>
            <w:tcW w:w="0" w:type="dxa"/>
            <w:vAlign w:val="bottom"/>
          </w:tcPr>
          <w:p>
            <w:pPr>
              <w:spacing w:after="0"/>
              <w:rPr>
                <w:sz w:val="1"/>
                <w:szCs w:val="1"/>
                <w:color w:val="auto"/>
              </w:rPr>
            </w:pPr>
          </w:p>
        </w:tc>
      </w:tr>
    </w:tbl>
    <w:p>
      <w:pPr>
        <w:spacing w:after="0" w:line="161"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884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54"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Tarsus Pharmaceuticals, Inc. (the “Company”) today announced that it had filed a Shelf Registration Statement on Form S-3 (the “Registration Statement”) with the Securities and Exchange Commission (“SEC”) on November 1, 2021.</w:t>
      </w:r>
    </w:p>
    <w:p>
      <w:pPr>
        <w:spacing w:after="0" w:line="17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Registration Statement contains (i) a base prospectus registering the sale of up to $300.0 million in the aggregate of the Company’s securities in one or more offerings over a three-year period and (ii) a sale agreement prospectus covering the sale of up to $100.0 million of the Company’s common stock (the “Shares”) pursuant to an Open Market Sale Agreement</w:t>
      </w:r>
      <w:r>
        <w:rPr>
          <w:rFonts w:ascii="Arial" w:cs="Arial" w:eastAsia="Arial" w:hAnsi="Arial"/>
          <w:sz w:val="14"/>
          <w:szCs w:val="14"/>
          <w:color w:val="auto"/>
        </w:rPr>
        <w:t>SM</w:t>
      </w:r>
      <w:r>
        <w:rPr>
          <w:rFonts w:ascii="Arial" w:cs="Arial" w:eastAsia="Arial" w:hAnsi="Arial"/>
          <w:sz w:val="17"/>
          <w:szCs w:val="17"/>
          <w:color w:val="auto"/>
        </w:rPr>
        <w:t xml:space="preserve"> (the “Sale Agreement”) with Jefferies LLC, which is inclusive of the $300.0 million registered on the Registration Statement. The Company is not obligated to make any sales of Shares under the Sale Agreement. The foregoing description of the Sale Agreement is not complete and is qualified in its entirety by reference to the full text of such agreement, a copy of which is filed as Exhibit 1.2 to the Registration Statement and is incorporated herein by reference.</w:t>
      </w:r>
    </w:p>
    <w:p>
      <w:pPr>
        <w:spacing w:after="0" w:line="178"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This Current Report on Form 8-K shall not constitute an offer to sell or the solicitation of an offer to buy the Shares, nor shall there be any offer, solicitation, or sale of the Shares in any state in which such offer, solicitation or sale would be unlawful prior to registration or qualification under the securities laws of any such state.</w:t>
      </w:r>
    </w:p>
    <w:p>
      <w:pPr>
        <w:spacing w:after="0" w:line="32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420" w:type="dxa"/>
            <w:vAlign w:val="bottom"/>
          </w:tcPr>
          <w:p>
            <w:pPr>
              <w:spacing w:after="0"/>
              <w:rPr>
                <w:sz w:val="14"/>
                <w:szCs w:val="14"/>
                <w:color w:val="auto"/>
              </w:rPr>
            </w:pPr>
          </w:p>
        </w:tc>
        <w:tc>
          <w:tcPr>
            <w:tcW w:w="1014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8"/>
        </w:trPr>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420" w:type="dxa"/>
            <w:vAlign w:val="bottom"/>
          </w:tcPr>
          <w:p>
            <w:pPr>
              <w:spacing w:after="0"/>
              <w:rPr>
                <w:sz w:val="15"/>
                <w:szCs w:val="15"/>
                <w:color w:val="auto"/>
              </w:rPr>
            </w:pPr>
          </w:p>
        </w:tc>
        <w:tc>
          <w:tcPr>
            <w:tcW w:w="10140" w:type="dxa"/>
            <w:vAlign w:val="bottom"/>
            <w:tcBorders>
              <w:bottom w:val="single" w:sz="8" w:color="auto"/>
            </w:tcBorders>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60" w:type="dxa"/>
            <w:vAlign w:val="bottom"/>
          </w:tcPr>
          <w:p>
            <w:pPr>
              <w:spacing w:after="0"/>
              <w:rPr>
                <w:sz w:val="20"/>
                <w:szCs w:val="20"/>
                <w:color w:val="auto"/>
              </w:rPr>
            </w:pPr>
            <w:r>
              <w:rPr>
                <w:rFonts w:ascii="Arial" w:cs="Arial" w:eastAsia="Arial" w:hAnsi="Arial"/>
                <w:sz w:val="18"/>
                <w:szCs w:val="18"/>
                <w:color w:val="auto"/>
              </w:rPr>
              <w:t>1.1</w:t>
            </w:r>
          </w:p>
        </w:tc>
        <w:tc>
          <w:tcPr>
            <w:tcW w:w="420" w:type="dxa"/>
            <w:vAlign w:val="bottom"/>
          </w:tcPr>
          <w:p>
            <w:pPr>
              <w:spacing w:after="0"/>
              <w:rPr>
                <w:sz w:val="21"/>
                <w:szCs w:val="21"/>
                <w:color w:val="auto"/>
              </w:rPr>
            </w:pPr>
          </w:p>
        </w:tc>
        <w:tc>
          <w:tcPr>
            <w:tcW w:w="2140" w:type="dxa"/>
            <w:vAlign w:val="bottom"/>
          </w:tcPr>
          <w:p>
            <w:pPr>
              <w:spacing w:after="0"/>
              <w:rPr>
                <w:rFonts w:ascii="Arial" w:cs="Arial" w:eastAsia="Arial" w:hAnsi="Arial"/>
                <w:sz w:val="18"/>
                <w:szCs w:val="18"/>
                <w:color w:val="0000EE"/>
                <w:w w:val="89"/>
              </w:rPr>
            </w:pPr>
            <w:hyperlink r:id="rId18">
              <w:r>
                <w:rPr>
                  <w:rFonts w:ascii="Arial" w:cs="Arial" w:eastAsia="Arial" w:hAnsi="Arial"/>
                  <w:sz w:val="18"/>
                  <w:szCs w:val="18"/>
                  <w:color w:val="0000EE"/>
                  <w:w w:val="89"/>
                </w:rPr>
                <w:t>Open Market Sale Agreement</w:t>
              </w:r>
            </w:hyperlink>
          </w:p>
        </w:tc>
        <w:tc>
          <w:tcPr>
            <w:tcW w:w="220" w:type="dxa"/>
            <w:vAlign w:val="bottom"/>
            <w:tcBorders>
              <w:bottom w:val="single" w:sz="8" w:color="0000EE"/>
            </w:tcBorders>
          </w:tcPr>
          <w:p>
            <w:pPr>
              <w:spacing w:after="0"/>
              <w:rPr>
                <w:rFonts w:ascii="Arial" w:cs="Arial" w:eastAsia="Arial" w:hAnsi="Arial"/>
                <w:sz w:val="15"/>
                <w:szCs w:val="15"/>
                <w:color w:val="0000EE"/>
                <w:w w:val="88"/>
              </w:rPr>
            </w:pPr>
            <w:hyperlink r:id="rId18">
              <w:r>
                <w:rPr>
                  <w:rFonts w:ascii="Arial" w:cs="Arial" w:eastAsia="Arial" w:hAnsi="Arial"/>
                  <w:sz w:val="15"/>
                  <w:szCs w:val="15"/>
                  <w:color w:val="0000EE"/>
                  <w:w w:val="88"/>
                </w:rPr>
                <w:t>SM</w:t>
              </w:r>
            </w:hyperlink>
          </w:p>
        </w:tc>
        <w:tc>
          <w:tcPr>
            <w:tcW w:w="7780" w:type="dxa"/>
            <w:vAlign w:val="bottom"/>
            <w:gridSpan w:val="3"/>
          </w:tcPr>
          <w:p>
            <w:pPr>
              <w:ind w:left="60"/>
              <w:spacing w:after="0"/>
              <w:rPr>
                <w:rFonts w:ascii="Arial" w:cs="Arial" w:eastAsia="Arial" w:hAnsi="Arial"/>
                <w:sz w:val="18"/>
                <w:szCs w:val="18"/>
                <w:color w:val="0000EE"/>
                <w:w w:val="95"/>
              </w:rPr>
            </w:pPr>
            <w:hyperlink r:id="rId18">
              <w:r>
                <w:rPr>
                  <w:rFonts w:ascii="Arial" w:cs="Arial" w:eastAsia="Arial" w:hAnsi="Arial"/>
                  <w:sz w:val="18"/>
                  <w:szCs w:val="18"/>
                  <w:color w:val="0000EE"/>
                  <w:w w:val="95"/>
                </w:rPr>
                <w:t>by and between the Company and Jefferies LLC (filed as Exhibit 1.2 to the Registration Statement on</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40" w:type="dxa"/>
            <w:vAlign w:val="bottom"/>
            <w:tcBorders>
              <w:bottom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60" w:type="dxa"/>
            <w:vAlign w:val="bottom"/>
            <w:tcBorders>
              <w:bottom w:val="single" w:sz="8" w:color="0000EE"/>
            </w:tcBorders>
          </w:tcPr>
          <w:p>
            <w:pPr>
              <w:spacing w:after="0" w:line="20" w:lineRule="exact"/>
              <w:rPr>
                <w:sz w:val="1"/>
                <w:szCs w:val="1"/>
                <w:color w:val="auto"/>
              </w:rPr>
            </w:pPr>
          </w:p>
        </w:tc>
        <w:tc>
          <w:tcPr>
            <w:tcW w:w="3200" w:type="dxa"/>
            <w:vAlign w:val="bottom"/>
            <w:tcBorders>
              <w:bottom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520" w:type="dxa"/>
            <w:vAlign w:val="bottom"/>
            <w:tcBorders>
              <w:bottom w:val="single" w:sz="8" w:color="0000EE"/>
            </w:tcBorders>
            <w:gridSpan w:val="3"/>
          </w:tcPr>
          <w:p>
            <w:pPr>
              <w:spacing w:after="0" w:line="183" w:lineRule="exact"/>
              <w:rPr>
                <w:rFonts w:ascii="Arial" w:cs="Arial" w:eastAsia="Arial" w:hAnsi="Arial"/>
                <w:sz w:val="18"/>
                <w:szCs w:val="18"/>
                <w:color w:val="0000EE"/>
                <w:w w:val="90"/>
              </w:rPr>
            </w:pPr>
            <w:hyperlink r:id="rId18">
              <w:r>
                <w:rPr>
                  <w:rFonts w:ascii="Arial" w:cs="Arial" w:eastAsia="Arial" w:hAnsi="Arial"/>
                  <w:sz w:val="18"/>
                  <w:szCs w:val="18"/>
                  <w:color w:val="0000EE"/>
                  <w:w w:val="90"/>
                </w:rPr>
                <w:t>Form S-3, filed with the SEC on November 1, 2021 and incorporated herein by reference).</w:t>
              </w:r>
            </w:hyperlink>
          </w:p>
        </w:tc>
        <w:tc>
          <w:tcPr>
            <w:tcW w:w="36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345"/>
        </w:trPr>
        <w:tc>
          <w:tcPr>
            <w:tcW w:w="460" w:type="dxa"/>
            <w:vAlign w:val="bottom"/>
          </w:tcPr>
          <w:p>
            <w:pPr>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24"/>
                <w:szCs w:val="24"/>
                <w:color w:val="auto"/>
              </w:rPr>
            </w:pPr>
          </w:p>
        </w:tc>
        <w:tc>
          <w:tcPr>
            <w:tcW w:w="10140" w:type="dxa"/>
            <w:vAlign w:val="bottom"/>
            <w:gridSpan w:val="5"/>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020"/>
          </w:cols>
          <w:pgMar w:left="440" w:top="297" w:right="439" w:bottom="1440" w:gutter="0" w:footer="0" w:header="0"/>
        </w:sectPr>
      </w:pPr>
    </w:p>
    <w:bookmarkStart w:id="2" w:name="page3"/>
    <w:bookmarkEnd w:id="2"/>
    <w:p>
      <w:pPr>
        <w:jc w:val="center"/>
        <w:ind w:right="-3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 2021</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Tarsus Pharmaceuticals,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Leo Greenstein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Leo Greenstein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0660"/>
      </w:cols>
      <w:pgMar w:left="440" w:top="297"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18" Type="http://schemas.openxmlformats.org/officeDocument/2006/relationships/hyperlink" Target="http://www.sec.gov/Archives/edgar/data/1819790/000119312521315579/d251522dex1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2021-11-01T16:32:42Z</dcterms:created>
  <dcterms:modified xsi:type="dcterms:W3CDTF">2021-11-01T16:32:42Z</dcterms:modified>
</cp:coreProperties>
</file>