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538323d424b5.htm"/>
        <w:bookmarkStart w:id="1" w:name="ksd538323d424b5"/>
        <w:bookmarkEnd w:id="0"/>
        <w:bookmarkEnd w:id="1"/>
        <w:r>
          <w:rPr>
            <w:rStyle w:val="InternetLink"/>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424(b)(5)</w:t>
        <w:br/>
        <w:t xml:space="preserve">Registration No. 333-260665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November 5, 2021) </w:t>
      </w:r>
    </w:p>
    <w:p>
      <w:pPr>
        <w:pStyle w:val="TextBody"/>
        <w:bidi w:val="0"/>
        <w:spacing w:before="120" w:after="0"/>
        <w:jc w:val="center"/>
        <w:rPr>
          <w:rFonts w:ascii="Times New Roman" w:hAnsi="Times New Roman"/>
          <w:sz w:val="36"/>
        </w:rPr>
      </w:pPr>
      <w:r>
        <w:rPr>
          <w:rFonts w:ascii="Times New Roman" w:hAnsi="Times New Roman"/>
          <w:sz w:val="36"/>
        </w:rPr>
        <w:t xml:space="preserve">5,714,285 Shares </w:t>
      </w:r>
    </w:p>
    <w:p>
      <w:pPr>
        <w:pStyle w:val="TextBody"/>
        <w:bidi w:val="0"/>
        <w:spacing w:before="0" w:after="0"/>
        <w:jc w:val="left"/>
        <w:rPr/>
      </w:pPr>
      <w:r>
        <w:rPr/>
        <w:t> </w:t>
      </w:r>
    </w:p>
    <w:p>
      <w:pPr>
        <w:pStyle w:val="TextBody"/>
        <w:bidi w:val="0"/>
        <w:spacing w:before="0" w:after="0"/>
        <w:jc w:val="center"/>
        <w:rPr/>
      </w:pPr>
      <w:r>
        <w:rPr/>
        <w:drawing>
          <wp:inline distT="0" distB="0" distL="0" distR="0">
            <wp:extent cx="226695" cy="15367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6695" cy="153670"/>
                    </a:xfrm>
                    <a:prstGeom prst="rect">
                      <a:avLst/>
                    </a:prstGeom>
                  </pic:spPr>
                </pic:pic>
              </a:graphicData>
            </a:graphic>
          </wp:inline>
        </w:drawing>
      </w:r>
      <w:r>
        <w:rPr/>
        <w:t xml:space="preserve"> </w:t>
      </w:r>
    </w:p>
    <w:p>
      <w:pPr>
        <w:pStyle w:val="TextBody"/>
        <w:bidi w:val="0"/>
        <w:spacing w:before="120" w:after="0"/>
        <w:jc w:val="center"/>
        <w:rPr>
          <w:rFonts w:ascii="Times New Roman" w:hAnsi="Times New Roman"/>
          <w:sz w:val="28"/>
        </w:rPr>
      </w:pPr>
      <w:r>
        <w:rPr>
          <w:rFonts w:ascii="Times New Roman" w:hAnsi="Times New Roman"/>
          <w:sz w:val="28"/>
        </w:rPr>
        <w:t xml:space="preserve">Common Stock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left"/>
        <w:rPr>
          <w:rFonts w:ascii="Times New Roman" w:hAnsi="Times New Roman"/>
          <w:sz w:val="20"/>
        </w:rPr>
      </w:pPr>
      <w:r>
        <w:rPr>
          <w:rFonts w:ascii="Times New Roman" w:hAnsi="Times New Roman"/>
          <w:sz w:val="20"/>
        </w:rPr>
        <w:t xml:space="preserve">Tarsus Pharmaceuticals, Inc. is offering 5,714,285 shares of its common stock. </w:t>
      </w:r>
    </w:p>
    <w:p>
      <w:pPr>
        <w:pStyle w:val="TextBody"/>
        <w:bidi w:val="0"/>
        <w:spacing w:before="200" w:after="0"/>
        <w:jc w:val="left"/>
        <w:rPr>
          <w:rFonts w:ascii="Times New Roman" w:hAnsi="Times New Roman"/>
          <w:sz w:val="20"/>
        </w:rPr>
      </w:pPr>
      <w:r>
        <w:rPr>
          <w:rFonts w:ascii="Times New Roman" w:hAnsi="Times New Roman"/>
          <w:sz w:val="20"/>
        </w:rPr>
        <w:t xml:space="preserve">Our common stock is listed and trades on the Nasdaq Global Select Market under the symbol TARS. On August 1, 2023, the last reported sale price of our common stock on the Nasdaq Global Select Market was $18.27 per share. </w:t>
      </w:r>
    </w:p>
    <w:p>
      <w:pPr>
        <w:pStyle w:val="TextBody"/>
        <w:bidi w:val="0"/>
        <w:spacing w:before="200" w:after="0"/>
        <w:jc w:val="left"/>
        <w:rPr>
          <w:rFonts w:ascii="Times New Roman" w:hAnsi="Times New Roman"/>
          <w:sz w:val="20"/>
        </w:rPr>
      </w:pPr>
      <w:r>
        <w:rPr>
          <w:rFonts w:ascii="Times New Roman" w:hAnsi="Times New Roman"/>
          <w:sz w:val="20"/>
        </w:rPr>
        <w:t xml:space="preserve">We are an emerging growth company and smaller reporting company as defined under the U.S. federal securities laws and, as such, may elect to comply with certain reduced public company reporting requirements for this and future filings. </w:t>
      </w:r>
    </w:p>
    <w:p>
      <w:pPr>
        <w:pStyle w:val="TextBody"/>
        <w:bidi w:val="0"/>
        <w:spacing w:before="200" w:after="0"/>
        <w:jc w:val="left"/>
        <w:rPr/>
      </w:pPr>
      <w:r>
        <w:rPr>
          <w:rFonts w:ascii="Times New Roman" w:hAnsi="Times New Roman"/>
          <w:sz w:val="20"/>
        </w:rPr>
        <w:t>Investing in our common stock involves risks that are described in the </w:t>
      </w:r>
      <w:hyperlink w:anchor="supptoc538323_3">
        <w:r>
          <w:rPr>
            <w:rStyle w:val="InternetLink"/>
            <w:rFonts w:ascii="Times New Roman" w:hAnsi="Times New Roman"/>
            <w:sz w:val="20"/>
          </w:rPr>
          <w:t>Risk Factors</w:t>
        </w:r>
      </w:hyperlink>
      <w:r>
        <w:rPr>
          <w:rFonts w:ascii="Times New Roman" w:hAnsi="Times New Roman"/>
          <w:sz w:val="20"/>
        </w:rPr>
        <w:t xml:space="preserve"> section beginning on page S-8 of this prospectus supplement, as well as in the accompanying prospectus and the documents incorporated by reference into this prospectus supplement and the accompanying prospectus. </w:t>
      </w:r>
    </w:p>
    <w:p>
      <w:pPr>
        <w:pStyle w:val="TextBody"/>
        <w:bidi w:val="0"/>
        <w:spacing w:before="20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636"/>
        <w:gridCol w:w="189"/>
        <w:gridCol w:w="208"/>
        <w:gridCol w:w="928"/>
        <w:gridCol w:w="60"/>
        <w:gridCol w:w="189"/>
        <w:gridCol w:w="155"/>
        <w:gridCol w:w="1230"/>
        <w:gridCol w:w="160"/>
      </w:tblGrid>
      <w:tr>
        <w:trPr/>
        <w:tc>
          <w:tcPr>
            <w:tcW w:w="4636"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36"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1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Share</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60" w:type="dxa"/>
            <w:tcBorders/>
            <w:vAlign w:val="bottom"/>
          </w:tcPr>
          <w:p>
            <w:pPr>
              <w:pStyle w:val="TableContents"/>
              <w:bidi w:val="0"/>
              <w:spacing w:before="0" w:after="283"/>
              <w:jc w:val="left"/>
              <w:rPr/>
            </w:pPr>
            <w:r>
              <w:rPr/>
              <w:t> </w:t>
            </w:r>
          </w:p>
        </w:tc>
      </w:tr>
      <w:tr>
        <w:trPr/>
        <w:tc>
          <w:tcPr>
            <w:tcW w:w="46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189"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w:t>
            </w:r>
          </w:p>
        </w:tc>
        <w:tc>
          <w:tcPr>
            <w:tcW w:w="928" w:type="dxa"/>
            <w:tcBorders/>
            <w:shd w:fill="CCEEFF" w:val="clear"/>
            <w:vAlign w:val="bottom"/>
          </w:tcPr>
          <w:p>
            <w:pPr>
              <w:pStyle w:val="TableContents"/>
              <w:bidi w:val="0"/>
              <w:spacing w:before="0" w:after="283"/>
              <w:jc w:val="right"/>
              <w:rPr/>
            </w:pPr>
            <w:r>
              <w:rPr/>
              <w:t>17.50</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1230" w:type="dxa"/>
            <w:tcBorders/>
            <w:shd w:fill="CCEEFF" w:val="clear"/>
            <w:vAlign w:val="bottom"/>
          </w:tcPr>
          <w:p>
            <w:pPr>
              <w:pStyle w:val="TableContents"/>
              <w:bidi w:val="0"/>
              <w:spacing w:before="0" w:after="283"/>
              <w:jc w:val="right"/>
              <w:rPr/>
            </w:pPr>
            <w:r>
              <w:rPr/>
              <w:t>99,999,988</w:t>
            </w:r>
          </w:p>
        </w:tc>
        <w:tc>
          <w:tcPr>
            <w:tcW w:w="160" w:type="dxa"/>
            <w:tcBorders/>
            <w:shd w:fill="CCEEFF" w:val="clear"/>
            <w:vAlign w:val="bottom"/>
          </w:tcPr>
          <w:p>
            <w:pPr>
              <w:pStyle w:val="TableContents"/>
              <w:bidi w:val="0"/>
              <w:spacing w:before="0" w:after="283"/>
              <w:jc w:val="left"/>
              <w:rPr/>
            </w:pPr>
            <w:r>
              <w:rPr/>
              <w:t> </w:t>
            </w:r>
          </w:p>
        </w:tc>
      </w:tr>
      <w:tr>
        <w:trPr/>
        <w:tc>
          <w:tcPr>
            <w:tcW w:w="4636"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 (1)</w:t>
            </w:r>
          </w:p>
        </w:tc>
        <w:tc>
          <w:tcPr>
            <w:tcW w:w="189"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w:t>
            </w:r>
          </w:p>
        </w:tc>
        <w:tc>
          <w:tcPr>
            <w:tcW w:w="928" w:type="dxa"/>
            <w:tcBorders/>
            <w:vAlign w:val="bottom"/>
          </w:tcPr>
          <w:p>
            <w:pPr>
              <w:pStyle w:val="TableContents"/>
              <w:bidi w:val="0"/>
              <w:spacing w:before="0" w:after="283"/>
              <w:jc w:val="right"/>
              <w:rPr/>
            </w:pPr>
            <w:r>
              <w:rPr/>
              <w:t>1.05</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1230" w:type="dxa"/>
            <w:tcBorders/>
            <w:vAlign w:val="bottom"/>
          </w:tcPr>
          <w:p>
            <w:pPr>
              <w:pStyle w:val="TableContents"/>
              <w:bidi w:val="0"/>
              <w:spacing w:before="0" w:after="283"/>
              <w:jc w:val="right"/>
              <w:rPr/>
            </w:pPr>
            <w:r>
              <w:rPr/>
              <w:t>5,999,999</w:t>
            </w:r>
          </w:p>
        </w:tc>
        <w:tc>
          <w:tcPr>
            <w:tcW w:w="160" w:type="dxa"/>
            <w:tcBorders/>
            <w:vAlign w:val="bottom"/>
          </w:tcPr>
          <w:p>
            <w:pPr>
              <w:pStyle w:val="TableContents"/>
              <w:bidi w:val="0"/>
              <w:spacing w:before="0" w:after="283"/>
              <w:jc w:val="left"/>
              <w:rPr/>
            </w:pPr>
            <w:r>
              <w:rPr/>
              <w:t> </w:t>
            </w:r>
          </w:p>
        </w:tc>
      </w:tr>
      <w:tr>
        <w:trPr/>
        <w:tc>
          <w:tcPr>
            <w:tcW w:w="46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before expenses, to Tarsus Pharmaceuticals, Inc.</w:t>
            </w:r>
          </w:p>
        </w:tc>
        <w:tc>
          <w:tcPr>
            <w:tcW w:w="189"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w:t>
            </w:r>
          </w:p>
        </w:tc>
        <w:tc>
          <w:tcPr>
            <w:tcW w:w="928" w:type="dxa"/>
            <w:tcBorders/>
            <w:shd w:fill="CCEEFF" w:val="clear"/>
            <w:vAlign w:val="bottom"/>
          </w:tcPr>
          <w:p>
            <w:pPr>
              <w:pStyle w:val="TableContents"/>
              <w:bidi w:val="0"/>
              <w:spacing w:before="0" w:after="283"/>
              <w:jc w:val="right"/>
              <w:rPr/>
            </w:pPr>
            <w:r>
              <w:rPr/>
              <w:t>16.45</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1230" w:type="dxa"/>
            <w:tcBorders/>
            <w:shd w:fill="CCEEFF" w:val="clear"/>
            <w:vAlign w:val="bottom"/>
          </w:tcPr>
          <w:p>
            <w:pPr>
              <w:pStyle w:val="TableContents"/>
              <w:bidi w:val="0"/>
              <w:spacing w:before="0" w:after="283"/>
              <w:jc w:val="right"/>
              <w:rPr/>
            </w:pPr>
            <w:r>
              <w:rPr/>
              <w:t>93,999,988</w:t>
            </w:r>
          </w:p>
        </w:tc>
        <w:tc>
          <w:tcPr>
            <w:tcW w:w="160" w:type="dxa"/>
            <w:tcBorders/>
            <w:shd w:fill="CCEEFF" w:val="clear"/>
            <w:vAlign w:val="bottom"/>
          </w:tcPr>
          <w:p>
            <w:pPr>
              <w:pStyle w:val="TableContents"/>
              <w:bidi w:val="0"/>
              <w:spacing w:before="0" w:after="283"/>
              <w:jc w:val="left"/>
              <w:rPr/>
            </w:pPr>
            <w:r>
              <w:rPr/>
              <w:t> </w:t>
            </w:r>
          </w:p>
        </w:tc>
      </w:tr>
      <w:tr>
        <w:trPr/>
        <w:tc>
          <w:tcPr>
            <w:tcW w:w="7595" w:type="dxa"/>
            <w:gridSpan w:val="8"/>
            <w:tcBorders/>
          </w:tcPr>
          <w:p>
            <w:pPr>
              <w:pStyle w:val="TableContents"/>
              <w:pBdr>
                <w:bottom w:val="single" w:sz="2" w:space="1" w:color="000000"/>
              </w:pBdr>
              <w:bidi w:val="0"/>
              <w:spacing w:lineRule="atLeast" w:line="160" w:before="0" w:after="4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(1)   See the section titled Underwriting for a description of the compensation payable to the underwriters.</w:t>
            </w:r>
          </w:p>
        </w:tc>
        <w:tc>
          <w:tcPr>
            <w:tcW w:w="160" w:type="dxa"/>
            <w:tcBorders/>
          </w:tcPr>
          <w:p>
            <w:pPr>
              <w:pStyle w:val="TableContents"/>
              <w:bidi w:val="0"/>
              <w:spacing w:before="0" w:after="0"/>
              <w:jc w:val="left"/>
              <w:rPr/>
            </w:pPr>
            <w:r>
              <w:rPr/>
              <w:t>    </w:t>
            </w:r>
          </w:p>
        </w:tc>
      </w:tr>
    </w:tbl>
    <w:p>
      <w:pPr>
        <w:pStyle w:val="TextBody"/>
        <w:bidi w:val="0"/>
        <w:spacing w:before="200" w:after="0"/>
        <w:jc w:val="left"/>
        <w:rPr>
          <w:rFonts w:ascii="Times New Roman" w:hAnsi="Times New Roman"/>
          <w:sz w:val="20"/>
        </w:rPr>
      </w:pPr>
      <w:r>
        <w:rPr>
          <w:rFonts w:ascii="Times New Roman" w:hAnsi="Times New Roman"/>
          <w:sz w:val="20"/>
        </w:rPr>
        <w:t xml:space="preserve">We have granted the underwriters an option for a period of 30 days to purchase up to an additional 857,142 shares of our common stock at the public offering price less the underwriting discounts and commissions. </w:t>
      </w:r>
    </w:p>
    <w:p>
      <w:pPr>
        <w:pStyle w:val="TextBody"/>
        <w:bidi w:val="0"/>
        <w:spacing w:before="200" w:after="0"/>
        <w:jc w:val="left"/>
        <w:rPr>
          <w:rFonts w:ascii="Times New Roman" w:hAnsi="Times New Roman"/>
          <w:sz w:val="20"/>
        </w:rPr>
      </w:pPr>
      <w:r>
        <w:rPr>
          <w:rFonts w:ascii="Times New Roman" w:hAnsi="Times New Roman"/>
          <w:sz w:val="20"/>
        </w:rPr>
        <w:t xml:space="preserve">The underwriters expect to deliver the shares against payment in New York, New York on August 4, 2023.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7"/>
        <w:gridCol w:w="102"/>
        <w:gridCol w:w="3368"/>
        <w:gridCol w:w="101"/>
        <w:gridCol w:w="3267"/>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Goldman Sachs &amp; Co. LLC</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rPr>
            </w:pPr>
            <w:r>
              <w:rPr>
                <w:b/>
              </w:rPr>
              <w:t>BofA Securities</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right"/>
              <w:rPr>
                <w:b/>
              </w:rPr>
            </w:pPr>
            <w:r>
              <w:rPr>
                <w:b/>
              </w:rPr>
              <w:t>Guggenheim Securities</w:t>
            </w:r>
          </w:p>
        </w:tc>
      </w:tr>
    </w:tbl>
    <w:p>
      <w:pPr>
        <w:pStyle w:val="TextBody"/>
        <w:bidi w:val="0"/>
        <w:spacing w:before="120" w:after="0"/>
        <w:jc w:val="center"/>
        <w:rPr>
          <w:rFonts w:ascii="Times New Roman" w:hAnsi="Times New Roman"/>
          <w:b/>
          <w:sz w:val="24"/>
        </w:rPr>
      </w:pPr>
      <w:r>
        <w:rPr>
          <w:rFonts w:ascii="Times New Roman" w:hAnsi="Times New Roman"/>
          <w:b/>
          <w:sz w:val="24"/>
        </w:rPr>
        <w:t xml:space="preserve">Oppenheimer &amp; Co.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sz w:val="20"/>
        </w:rPr>
      </w:pPr>
      <w:r>
        <w:rPr>
          <w:rFonts w:ascii="Times New Roman" w:hAnsi="Times New Roman"/>
          <w:sz w:val="20"/>
        </w:rPr>
        <w:t xml:space="preserve">Prospectus Supplement dated August 1, 2023.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182"/>
        <w:gridCol w:w="253"/>
        <w:gridCol w:w="130"/>
        <w:gridCol w:w="578"/>
        <w:gridCol w:w="62"/>
      </w:tblGrid>
      <w:tr>
        <w:trPr/>
        <w:tc>
          <w:tcPr>
            <w:tcW w:w="9182"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182"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708" w:type="dxa"/>
            <w:gridSpan w:val="2"/>
            <w:tcBorders>
              <w:bottom w:val="single" w:sz="2"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182" w:type="dxa"/>
            <w:tcBorders/>
          </w:tcPr>
          <w:p>
            <w:pPr>
              <w:pStyle w:val="TableContents"/>
              <w:bidi w:val="0"/>
              <w:spacing w:before="0" w:after="0"/>
              <w:jc w:val="left"/>
              <w:rPr/>
            </w:pPr>
            <w:hyperlink w:anchor="supptoc538323_1">
              <w:r>
                <w:rPr>
                  <w:rStyle w:val="InternetLink"/>
                  <w:rFonts w:ascii="Times New Roman" w:hAnsi="Times New Roman"/>
                  <w:sz w:val="20"/>
                </w:rPr>
                <w:t>ABOUT THIS PROSPECTUS SUPPLEMENT</w:t>
              </w:r>
            </w:hyperlink>
          </w:p>
        </w:tc>
        <w:tc>
          <w:tcPr>
            <w:tcW w:w="253"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182" w:type="dxa"/>
            <w:tcBorders/>
          </w:tcPr>
          <w:p>
            <w:pPr>
              <w:pStyle w:val="TableContents"/>
              <w:bidi w:val="0"/>
              <w:spacing w:before="0" w:after="0"/>
              <w:jc w:val="left"/>
              <w:rPr/>
            </w:pPr>
            <w:hyperlink w:anchor="supptoc538323_2">
              <w:r>
                <w:rPr>
                  <w:rStyle w:val="InternetLink"/>
                  <w:rFonts w:ascii="Times New Roman" w:hAnsi="Times New Roman"/>
                  <w:sz w:val="20"/>
                </w:rPr>
                <w:t>THE OFFERING</w:t>
              </w:r>
            </w:hyperlink>
          </w:p>
        </w:tc>
        <w:tc>
          <w:tcPr>
            <w:tcW w:w="253"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S-6</w:t>
            </w:r>
          </w:p>
        </w:tc>
        <w:tc>
          <w:tcPr>
            <w:tcW w:w="62" w:type="dxa"/>
            <w:tcBorders/>
            <w:vAlign w:val="bottom"/>
          </w:tcPr>
          <w:p>
            <w:pPr>
              <w:pStyle w:val="TableContents"/>
              <w:bidi w:val="0"/>
              <w:spacing w:before="0" w:after="283"/>
              <w:jc w:val="left"/>
              <w:rPr/>
            </w:pPr>
            <w:r>
              <w:rPr/>
              <w:t> </w:t>
            </w:r>
          </w:p>
        </w:tc>
      </w:tr>
      <w:tr>
        <w:trPr/>
        <w:tc>
          <w:tcPr>
            <w:tcW w:w="9182" w:type="dxa"/>
            <w:tcBorders/>
          </w:tcPr>
          <w:p>
            <w:pPr>
              <w:pStyle w:val="TableContents"/>
              <w:bidi w:val="0"/>
              <w:spacing w:before="0" w:after="0"/>
              <w:jc w:val="left"/>
              <w:rPr/>
            </w:pPr>
            <w:hyperlink w:anchor="supptoc538323_3">
              <w:r>
                <w:rPr>
                  <w:rStyle w:val="InternetLink"/>
                  <w:rFonts w:ascii="Times New Roman" w:hAnsi="Times New Roman"/>
                  <w:sz w:val="20"/>
                </w:rPr>
                <w:t>RISK FACTORS</w:t>
              </w:r>
            </w:hyperlink>
          </w:p>
        </w:tc>
        <w:tc>
          <w:tcPr>
            <w:tcW w:w="253"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S-8</w:t>
            </w:r>
          </w:p>
        </w:tc>
        <w:tc>
          <w:tcPr>
            <w:tcW w:w="62" w:type="dxa"/>
            <w:tcBorders/>
            <w:vAlign w:val="bottom"/>
          </w:tcPr>
          <w:p>
            <w:pPr>
              <w:pStyle w:val="TableContents"/>
              <w:bidi w:val="0"/>
              <w:spacing w:before="0" w:after="283"/>
              <w:jc w:val="left"/>
              <w:rPr/>
            </w:pPr>
            <w:r>
              <w:rPr/>
              <w:t> </w:t>
            </w:r>
          </w:p>
        </w:tc>
      </w:tr>
      <w:tr>
        <w:trPr/>
        <w:tc>
          <w:tcPr>
            <w:tcW w:w="9182" w:type="dxa"/>
            <w:tcBorders/>
          </w:tcPr>
          <w:p>
            <w:pPr>
              <w:pStyle w:val="TableContents"/>
              <w:bidi w:val="0"/>
              <w:spacing w:before="0" w:after="0"/>
              <w:jc w:val="left"/>
              <w:rPr/>
            </w:pPr>
            <w:hyperlink w:anchor="supptoc538323_4">
              <w:r>
                <w:rPr>
                  <w:rStyle w:val="InternetLink"/>
                  <w:rFonts w:ascii="Times New Roman" w:hAnsi="Times New Roman"/>
                  <w:sz w:val="20"/>
                </w:rPr>
                <w:t>SPECIAL NOTE REGARDING FORWARD-LOOKING STATEMENTS</w:t>
              </w:r>
            </w:hyperlink>
          </w:p>
        </w:tc>
        <w:tc>
          <w:tcPr>
            <w:tcW w:w="253"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S-12</w:t>
            </w:r>
          </w:p>
        </w:tc>
        <w:tc>
          <w:tcPr>
            <w:tcW w:w="62" w:type="dxa"/>
            <w:tcBorders/>
            <w:vAlign w:val="bottom"/>
          </w:tcPr>
          <w:p>
            <w:pPr>
              <w:pStyle w:val="TableContents"/>
              <w:bidi w:val="0"/>
              <w:spacing w:before="0" w:after="283"/>
              <w:jc w:val="left"/>
              <w:rPr/>
            </w:pPr>
            <w:r>
              <w:rPr/>
              <w:t> </w:t>
            </w:r>
          </w:p>
        </w:tc>
      </w:tr>
      <w:tr>
        <w:trPr/>
        <w:tc>
          <w:tcPr>
            <w:tcW w:w="9182" w:type="dxa"/>
            <w:tcBorders/>
          </w:tcPr>
          <w:p>
            <w:pPr>
              <w:pStyle w:val="TableContents"/>
              <w:bidi w:val="0"/>
              <w:spacing w:before="0" w:after="0"/>
              <w:jc w:val="left"/>
              <w:rPr/>
            </w:pPr>
            <w:hyperlink w:anchor="supptoc538323_5">
              <w:r>
                <w:rPr>
                  <w:rStyle w:val="InternetLink"/>
                  <w:rFonts w:ascii="Times New Roman" w:hAnsi="Times New Roman"/>
                  <w:sz w:val="20"/>
                </w:rPr>
                <w:t>USE OF PROCEEDS</w:t>
              </w:r>
            </w:hyperlink>
          </w:p>
        </w:tc>
        <w:tc>
          <w:tcPr>
            <w:tcW w:w="253"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S-15</w:t>
            </w:r>
          </w:p>
        </w:tc>
        <w:tc>
          <w:tcPr>
            <w:tcW w:w="62" w:type="dxa"/>
            <w:tcBorders/>
            <w:vAlign w:val="bottom"/>
          </w:tcPr>
          <w:p>
            <w:pPr>
              <w:pStyle w:val="TableContents"/>
              <w:bidi w:val="0"/>
              <w:spacing w:before="0" w:after="283"/>
              <w:jc w:val="left"/>
              <w:rPr/>
            </w:pPr>
            <w:r>
              <w:rPr/>
              <w:t> </w:t>
            </w:r>
          </w:p>
        </w:tc>
      </w:tr>
      <w:tr>
        <w:trPr/>
        <w:tc>
          <w:tcPr>
            <w:tcW w:w="9182" w:type="dxa"/>
            <w:tcBorders/>
          </w:tcPr>
          <w:p>
            <w:pPr>
              <w:pStyle w:val="TableContents"/>
              <w:bidi w:val="0"/>
              <w:spacing w:before="0" w:after="0"/>
              <w:jc w:val="left"/>
              <w:rPr/>
            </w:pPr>
            <w:hyperlink w:anchor="supptoc538323_6">
              <w:r>
                <w:rPr>
                  <w:rStyle w:val="InternetLink"/>
                  <w:rFonts w:ascii="Times New Roman" w:hAnsi="Times New Roman"/>
                  <w:sz w:val="20"/>
                </w:rPr>
                <w:t>DILUTION</w:t>
              </w:r>
            </w:hyperlink>
          </w:p>
        </w:tc>
        <w:tc>
          <w:tcPr>
            <w:tcW w:w="253"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S-17</w:t>
            </w:r>
          </w:p>
        </w:tc>
        <w:tc>
          <w:tcPr>
            <w:tcW w:w="62" w:type="dxa"/>
            <w:tcBorders/>
            <w:vAlign w:val="bottom"/>
          </w:tcPr>
          <w:p>
            <w:pPr>
              <w:pStyle w:val="TableContents"/>
              <w:bidi w:val="0"/>
              <w:spacing w:before="0" w:after="283"/>
              <w:jc w:val="left"/>
              <w:rPr/>
            </w:pPr>
            <w:r>
              <w:rPr/>
              <w:t> </w:t>
            </w:r>
          </w:p>
        </w:tc>
      </w:tr>
      <w:tr>
        <w:trPr/>
        <w:tc>
          <w:tcPr>
            <w:tcW w:w="9182" w:type="dxa"/>
            <w:tcBorders/>
          </w:tcPr>
          <w:p>
            <w:pPr>
              <w:pStyle w:val="TableContents"/>
              <w:bidi w:val="0"/>
              <w:spacing w:before="0" w:after="0"/>
              <w:jc w:val="left"/>
              <w:rPr/>
            </w:pPr>
            <w:hyperlink w:anchor="supptoc538323_6a">
              <w:r>
                <w:rPr>
                  <w:rStyle w:val="InternetLink"/>
                  <w:rFonts w:ascii="Times New Roman" w:hAnsi="Times New Roman"/>
                  <w:sz w:val="20"/>
                </w:rPr>
                <w:t xml:space="preserve">MATERIAL U.S. FEDERAL INCOME AND ESTATE TAX CONSEQUENCES FOR NON-U.S. HOLDERS OF OUR COMMON STOCK </w:t>
              </w:r>
            </w:hyperlink>
          </w:p>
        </w:tc>
        <w:tc>
          <w:tcPr>
            <w:tcW w:w="253"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S-19</w:t>
            </w:r>
          </w:p>
        </w:tc>
        <w:tc>
          <w:tcPr>
            <w:tcW w:w="62" w:type="dxa"/>
            <w:tcBorders/>
            <w:vAlign w:val="bottom"/>
          </w:tcPr>
          <w:p>
            <w:pPr>
              <w:pStyle w:val="TableContents"/>
              <w:bidi w:val="0"/>
              <w:spacing w:before="0" w:after="283"/>
              <w:jc w:val="left"/>
              <w:rPr/>
            </w:pPr>
            <w:r>
              <w:rPr/>
              <w:t> </w:t>
            </w:r>
          </w:p>
        </w:tc>
      </w:tr>
      <w:tr>
        <w:trPr/>
        <w:tc>
          <w:tcPr>
            <w:tcW w:w="9182" w:type="dxa"/>
            <w:tcBorders/>
          </w:tcPr>
          <w:p>
            <w:pPr>
              <w:pStyle w:val="TableContents"/>
              <w:bidi w:val="0"/>
              <w:spacing w:before="0" w:after="0"/>
              <w:jc w:val="left"/>
              <w:rPr/>
            </w:pPr>
            <w:hyperlink w:anchor="supptoc538323_7">
              <w:r>
                <w:rPr>
                  <w:rStyle w:val="InternetLink"/>
                  <w:rFonts w:ascii="Times New Roman" w:hAnsi="Times New Roman"/>
                  <w:sz w:val="20"/>
                </w:rPr>
                <w:t>UNDERWRITING</w:t>
              </w:r>
            </w:hyperlink>
          </w:p>
        </w:tc>
        <w:tc>
          <w:tcPr>
            <w:tcW w:w="253"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S-23</w:t>
            </w:r>
          </w:p>
        </w:tc>
        <w:tc>
          <w:tcPr>
            <w:tcW w:w="62" w:type="dxa"/>
            <w:tcBorders/>
            <w:vAlign w:val="bottom"/>
          </w:tcPr>
          <w:p>
            <w:pPr>
              <w:pStyle w:val="TableContents"/>
              <w:bidi w:val="0"/>
              <w:spacing w:before="0" w:after="283"/>
              <w:jc w:val="left"/>
              <w:rPr/>
            </w:pPr>
            <w:r>
              <w:rPr/>
              <w:t> </w:t>
            </w:r>
          </w:p>
        </w:tc>
      </w:tr>
      <w:tr>
        <w:trPr/>
        <w:tc>
          <w:tcPr>
            <w:tcW w:w="9182" w:type="dxa"/>
            <w:tcBorders/>
          </w:tcPr>
          <w:p>
            <w:pPr>
              <w:pStyle w:val="TableContents"/>
              <w:bidi w:val="0"/>
              <w:spacing w:before="0" w:after="0"/>
              <w:jc w:val="left"/>
              <w:rPr/>
            </w:pPr>
            <w:hyperlink w:anchor="supptoc538323_8">
              <w:r>
                <w:rPr>
                  <w:rStyle w:val="InternetLink"/>
                  <w:rFonts w:ascii="Times New Roman" w:hAnsi="Times New Roman"/>
                  <w:sz w:val="20"/>
                </w:rPr>
                <w:t>LEGAL MATTERS</w:t>
              </w:r>
            </w:hyperlink>
          </w:p>
        </w:tc>
        <w:tc>
          <w:tcPr>
            <w:tcW w:w="253"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S-32</w:t>
            </w:r>
          </w:p>
        </w:tc>
        <w:tc>
          <w:tcPr>
            <w:tcW w:w="62" w:type="dxa"/>
            <w:tcBorders/>
            <w:vAlign w:val="bottom"/>
          </w:tcPr>
          <w:p>
            <w:pPr>
              <w:pStyle w:val="TableContents"/>
              <w:bidi w:val="0"/>
              <w:spacing w:before="0" w:after="283"/>
              <w:jc w:val="left"/>
              <w:rPr/>
            </w:pPr>
            <w:r>
              <w:rPr/>
              <w:t> </w:t>
            </w:r>
          </w:p>
        </w:tc>
      </w:tr>
      <w:tr>
        <w:trPr/>
        <w:tc>
          <w:tcPr>
            <w:tcW w:w="9182" w:type="dxa"/>
            <w:tcBorders/>
          </w:tcPr>
          <w:p>
            <w:pPr>
              <w:pStyle w:val="TableContents"/>
              <w:bidi w:val="0"/>
              <w:spacing w:before="0" w:after="0"/>
              <w:jc w:val="left"/>
              <w:rPr/>
            </w:pPr>
            <w:hyperlink w:anchor="supptoc538323_9">
              <w:r>
                <w:rPr>
                  <w:rStyle w:val="InternetLink"/>
                  <w:rFonts w:ascii="Times New Roman" w:hAnsi="Times New Roman"/>
                  <w:sz w:val="20"/>
                </w:rPr>
                <w:t>EXPERTS</w:t>
              </w:r>
            </w:hyperlink>
          </w:p>
        </w:tc>
        <w:tc>
          <w:tcPr>
            <w:tcW w:w="253"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S-32</w:t>
            </w:r>
          </w:p>
        </w:tc>
        <w:tc>
          <w:tcPr>
            <w:tcW w:w="62" w:type="dxa"/>
            <w:tcBorders/>
            <w:vAlign w:val="bottom"/>
          </w:tcPr>
          <w:p>
            <w:pPr>
              <w:pStyle w:val="TableContents"/>
              <w:bidi w:val="0"/>
              <w:spacing w:before="0" w:after="283"/>
              <w:jc w:val="left"/>
              <w:rPr/>
            </w:pPr>
            <w:r>
              <w:rPr/>
              <w:t> </w:t>
            </w:r>
          </w:p>
        </w:tc>
      </w:tr>
      <w:tr>
        <w:trPr/>
        <w:tc>
          <w:tcPr>
            <w:tcW w:w="9182" w:type="dxa"/>
            <w:tcBorders/>
          </w:tcPr>
          <w:p>
            <w:pPr>
              <w:pStyle w:val="TableContents"/>
              <w:bidi w:val="0"/>
              <w:spacing w:before="0" w:after="0"/>
              <w:jc w:val="left"/>
              <w:rPr/>
            </w:pPr>
            <w:hyperlink w:anchor="supptoc538323_10">
              <w:r>
                <w:rPr>
                  <w:rStyle w:val="InternetLink"/>
                  <w:rFonts w:ascii="Times New Roman" w:hAnsi="Times New Roman"/>
                  <w:sz w:val="20"/>
                </w:rPr>
                <w:t>WHERE YOU CAN FIND MORE INFORMATION</w:t>
              </w:r>
            </w:hyperlink>
          </w:p>
        </w:tc>
        <w:tc>
          <w:tcPr>
            <w:tcW w:w="253"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S-32</w:t>
            </w:r>
          </w:p>
        </w:tc>
        <w:tc>
          <w:tcPr>
            <w:tcW w:w="62" w:type="dxa"/>
            <w:tcBorders/>
            <w:vAlign w:val="bottom"/>
          </w:tcPr>
          <w:p>
            <w:pPr>
              <w:pStyle w:val="TableContents"/>
              <w:bidi w:val="0"/>
              <w:spacing w:before="0" w:after="283"/>
              <w:jc w:val="left"/>
              <w:rPr/>
            </w:pPr>
            <w:r>
              <w:rPr/>
              <w:t> </w:t>
            </w:r>
          </w:p>
        </w:tc>
      </w:tr>
      <w:tr>
        <w:trPr/>
        <w:tc>
          <w:tcPr>
            <w:tcW w:w="9182" w:type="dxa"/>
            <w:tcBorders/>
          </w:tcPr>
          <w:p>
            <w:pPr>
              <w:pStyle w:val="TableContents"/>
              <w:bidi w:val="0"/>
              <w:spacing w:before="0" w:after="0"/>
              <w:jc w:val="left"/>
              <w:rPr/>
            </w:pPr>
            <w:hyperlink w:anchor="supptoc538323_11">
              <w:r>
                <w:rPr>
                  <w:rStyle w:val="InternetLink"/>
                  <w:rFonts w:ascii="Times New Roman" w:hAnsi="Times New Roman"/>
                  <w:sz w:val="20"/>
                </w:rPr>
                <w:t>INCORPORATION BY REFERENCE</w:t>
              </w:r>
            </w:hyperlink>
          </w:p>
        </w:tc>
        <w:tc>
          <w:tcPr>
            <w:tcW w:w="253"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S-33</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bottom w:val="single" w:sz="2"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538323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538323_2">
              <w:r>
                <w:rPr>
                  <w:rStyle w:val="InternetLink"/>
                  <w:rFonts w:ascii="Times New Roman" w:hAnsi="Times New Roman"/>
                  <w:sz w:val="20"/>
                </w:rPr>
                <w:t>PROSPECTUS SUMMARY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538323_3">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538323_4">
              <w:r>
                <w:rPr>
                  <w:rStyle w:val="InternetLink"/>
                  <w:rFonts w:ascii="Times New Roman" w:hAnsi="Times New Roman"/>
                  <w:sz w:val="20"/>
                </w:rPr>
                <w:t>SPECIAL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538323_5">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538323_6">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538323_7">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538323_8">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538323_9">
              <w:r>
                <w:rPr>
                  <w:rStyle w:val="InternetLink"/>
                  <w:rFonts w:ascii="Times New Roman" w:hAnsi="Times New Roman"/>
                  <w:sz w:val="20"/>
                </w:rPr>
                <w:t>DESCRIPTION OF UNITS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538323_10">
              <w:r>
                <w:rPr>
                  <w:rStyle w:val="InternetLink"/>
                  <w:rFonts w:ascii="Times New Roman" w:hAnsi="Times New Roman"/>
                  <w:sz w:val="20"/>
                </w:rPr>
                <w:t>LEGAL OWNERSHIP OF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538323_11">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538323_12">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538323_13">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538323_14">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538323_15">
              <w:r>
                <w:rPr>
                  <w:rStyle w:val="InternetLink"/>
                  <w:rFonts w:ascii="Times New Roman" w:hAnsi="Times New Roman"/>
                  <w:sz w:val="20"/>
                </w:rPr>
                <w:t>INFORMATION INCORPORATED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 w:name="supptoc538323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document contains two parts. The first part is this prospectus supplement, which describes the specific terms of this offering and also supplements and updates information contained in the accompanying prospectus and the documents incorporated by reference into this prospectus supplement and the accompanying prospectus. The second part is the accompanying prospectus, which provides more general information, some of which may not apply to this offering. If the information contained or incorporated by reference in this prospectus supplement differs or varies from the information contained in the accompanying prospectus, you should rely on the information set forth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or incorporated by reference in this prospectus supplement, the accompanying prospectus and in any free writing prospectus we may provide to you in connection with this offering. Neither we nor the underwriters have authorized any other person to provide you with any information that is different. If anyone provides you with different or inconsistent information, you should not rely on it. We are offering to sell, and seeking offers to buy, shares of our common stock only in jurisdictions where offers and sales are permitted. The distribution of this prospectus supplement and the offering of the common stock in certain jurisdictions may be restricted by law. Persons outside the United States who come into possession of this prospectus supplement must inform themselves about, and observe any restrictions relating to, the offering of the common stock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contained in this prospectus supplement and the accompanying prospectus is accurate only as of the date of this prospectus supplement or the date of the accompanying prospectus, as applicable, and the information in the documents incorporated by reference in this prospectus supplement and the accompanying prospectus is accurate only as of the date of those respective documents, regardless of the time of delivery of this prospectus supplement and the accompanying prospectus or of any sale of our common stock. Our business, financial condition, results of operations and prospects may have changed since those dates. It is important for you to read and consider all information contained or incorporated by reference in this prospectus supplement and the accompanying prospectus in making your investment decision. You should read this prospectus supplement, the accompanying prospectus and any free writing prospectus that we have authorized for use in connection with this offering, as well as the documents incorporated by reference herein and therein and the additional information described under Where You Can Find More Information; Incorporation by Reference in this prospectus supplement and in the accompanying prospectus, before investing in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prospectus supplement, unless the context otherwise requires, references to Tarsus, company, we, us and our refer to Tarsus Pharmaceuticals, Inc. </w:t>
      </w:r>
    </w:p>
    <w:p>
      <w:pPr>
        <w:pStyle w:val="TextBody"/>
        <w:bidi w:val="0"/>
        <w:spacing w:before="240" w:after="0"/>
        <w:jc w:val="left"/>
        <w:rPr>
          <w:rFonts w:ascii="Times New Roman" w:hAnsi="Times New Roman"/>
          <w:b/>
          <w:sz w:val="20"/>
        </w:rPr>
      </w:pPr>
      <w:r>
        <w:rPr>
          <w:rFonts w:ascii="Times New Roman" w:hAnsi="Times New Roman"/>
          <w:b/>
          <w:sz w:val="20"/>
        </w:rPr>
        <w:t xml:space="preserve">Industry, Market and Other Data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and the documents incorporated in this prospectus supplement and the accompanying prospectus contain or incorporate by reference estimates, projections and other information concerning our industry, our business and the markets for our product candidates, including data regarding the estimated size of such markets and the incidence of certain medical conditions. We obtained the industry, market and similar data set forth in this prospectus supplement, the accompanying prospectus and the documents incorporated in this prospectus supplement and the accompanying prospectus from our internal estimates and research, including surveys and studies we have sponsored and/or conducted, and from published studies from third parties, including governmental agencies. Our estimates of the potential market opportunities for our product candidates include a number of key assumptions based on our industry knowledge, industry publications and third-party research, surveys and studies, which may be based on a small sample size and fail to accurately reflect market opportunities. Information based on estimates, forecasts,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projections, market research or similar methodologies is inherently subject to uncertainties and actual events or circumstances may differ materially from events and circumstances that are assumed in this information due to a variety of factors, including those described in Risk Factors and Special Note Regarding Forward-Looking Statements in this prospectus supplement and the accompanying prospectus and under similar headings in other documents that are incorporated by reference into this prospectus supplement and the accompanying prospectus. These and other factors could cause our future performance to differ materially from the assumptions and estimates made by third parties and us.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expressly stated, we obtained this industry, business, market and other data from reports, research surveys, studies and similar data prepared by us and third parties, industry, medical and general publications, government data and similar sources. Neither we nor the underwriters have independently verified the accuracy or completeness of any third-party information. The content of these third-party sources, except to the extent specifically set forth in this prospectus supplement and the accompanying prospectus, or in other documents that are incorporated by reference into this prospectus supplement and the accompanying prospectus, does not constitute a portion hereof and is not incorporated herein. </w:t>
      </w:r>
    </w:p>
    <w:p>
      <w:pPr>
        <w:pStyle w:val="TextBody"/>
        <w:bidi w:val="0"/>
        <w:spacing w:before="240" w:after="0"/>
        <w:jc w:val="left"/>
        <w:rPr>
          <w:rFonts w:ascii="Times New Roman" w:hAnsi="Times New Roman"/>
          <w:b/>
          <w:sz w:val="20"/>
        </w:rPr>
      </w:pPr>
      <w:r>
        <w:rPr>
          <w:rFonts w:ascii="Times New Roman" w:hAnsi="Times New Roman"/>
          <w:b/>
          <w:sz w:val="20"/>
        </w:rPr>
        <w:t xml:space="preserve">Basis of Presentation </w:t>
      </w:r>
    </w:p>
    <w:p>
      <w:pPr>
        <w:pStyle w:val="TextBody"/>
        <w:bidi w:val="0"/>
        <w:spacing w:before="240" w:after="0"/>
        <w:jc w:val="left"/>
        <w:rPr>
          <w:rFonts w:ascii="Times New Roman" w:hAnsi="Times New Roman"/>
          <w:sz w:val="20"/>
        </w:rPr>
      </w:pPr>
      <w:r>
        <w:rPr>
          <w:rFonts w:ascii="Times New Roman" w:hAnsi="Times New Roman"/>
          <w:sz w:val="20"/>
        </w:rPr>
        <w:t xml:space="preserve">Certain monetary amounts, percentages, and other figures have been subject to rounding adjustments. Accordingly, figures shown as totals in certain tables or charts may not be the arithmetic aggregation of the figures that precede them, and figures expressed as percentages in the text may not total 100% or, as applicable, when aggregated may not be the arithmetic aggregation of the percentages that precede them. </w:t>
      </w:r>
    </w:p>
    <w:p>
      <w:pPr>
        <w:pStyle w:val="TextBody"/>
        <w:bidi w:val="0"/>
        <w:spacing w:before="240" w:after="0"/>
        <w:jc w:val="left"/>
        <w:rPr>
          <w:rFonts w:ascii="Times New Roman" w:hAnsi="Times New Roman"/>
          <w:b/>
          <w:sz w:val="20"/>
        </w:rPr>
      </w:pPr>
      <w:r>
        <w:rPr>
          <w:rFonts w:ascii="Times New Roman" w:hAnsi="Times New Roman"/>
          <w:b/>
          <w:sz w:val="20"/>
        </w:rPr>
        <w:t xml:space="preserve">Trademarks, Trade Names and Service Marks </w:t>
      </w:r>
    </w:p>
    <w:p>
      <w:pPr>
        <w:pStyle w:val="TextBody"/>
        <w:bidi w:val="0"/>
        <w:spacing w:before="240" w:after="0"/>
        <w:jc w:val="left"/>
        <w:rPr>
          <w:rFonts w:ascii="Times New Roman" w:hAnsi="Times New Roman"/>
          <w:sz w:val="20"/>
        </w:rPr>
      </w:pPr>
      <w:r>
        <w:rPr>
          <w:rFonts w:ascii="Times New Roman" w:hAnsi="Times New Roman"/>
          <w:sz w:val="20"/>
        </w:rPr>
        <w:t xml:space="preserve">Tarsus Pharmaceuticals, Tarsus, and our logo are some of our tradenames used in this prospectus supplement or the accompanying prospectus and in the documents incorporated by reference in this prospectus supplement or the accompanying prospectus. This prospectus supplement, the accompanying prospectus and the documents incorporated by reference in this prospectus supplement or the accompanying prospectus also include trademarks, tradenames, and service marks that are the property of other organizations. Solely for convenience, our trademarks and tradenames referred to in this prospectus supplement, the accompanying prospectus or in the documents incorporated by reference in this prospectus supplement and the accompanying prospectus appear without the  or ® symbol, but those references are not intended to indicate, in any way, that we will not assert, to the fullest extent under applicable law, our rights, or the right of the applicable licensor to these trademarks and tradenames.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certain information about us, our business, this offering and selected information contained elsewhere in this prospectus supplement, the accompanying prospectus and the documents incorporated by reference herein and therein and does not contain all of the information that you should consider in making your investment decision. This summary is not complete and does not contain all of the information that you should consider before deciding whether to invest in our common stock. For a more complete understanding of our Company and this offering, we encourage you to read and consider carefully the more detailed information in this prospectus supplement, the accompanying prospectus and any free writing prospectus that we authorize for use in connection with this offering, including the information set forth in the section titled Risk Factors in this prospectus supplement, and under similar headings in the other documents that are filed after the date hereof and incorporated by reference into this prospectus supplement, the accompanying prospectus and any related free writing prospectus in their entirety before making an investment decision.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biopharmaceutical company focused on the development and commercialization of therapeutics, starting with eye care. Our lead product, XDEMVY (lotilaner ophthalmic solution) 0.25% was approved by the United States Food and Drug Administration, or FDA, on July 24, 2023 for the treatment of blepharitis caused by the infestation of Demodex mites, which is referred to as Demodex blepharitis. XDEMVY, formerly known as TP-03, is the first and only FDA approved treatment to directly target Demodex mites. Blepharitis (Blephar is a reference to eyelid and itis is a reference to inflammation) is an ophthalmic lid margin disease characterized by inflammation of the eyelid margin, redness and ocular irritation, including a specific type of eyelash dandruff called collarettes, which are pathognomonic for Demodex blepharitis. Poorly controlled and progressive blepharitis can lead to corneal damage over time and, in extreme cases, blindness. There are an estimated 25 million people in the U.S. who suffer from Demodex blepharitis. We believe XDEMVY can become the standard of care for the treatment of Demodex blepharitis. We designed XDEMVY to target and eradicate the root cause of Demodex blepharitis  Demodex mite infestation. The active pharmaceutical ingredient, or API, of XDEMVY, lotilaner, paralyzes and eradicates mites and other parasites through the inhibition of parasite-specific gamma-aminobutyric acid-chloride, or GABA-Cl, channels.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believe that the initial addressable market for Demodex blepharitis is potentially substantial and we have identified clear segments for initial ramp and future growth. Our wholesale acquisition cost price for XDEMVY is $1,850 per prescription and we have estimated an approximate 50% steady-state gross-to-net yield. We estimate that there are over 7.0 million patients proactively seeking treatment for eye conditions and diseases that may be complementary to Demodex blepharitis, including approximately 1.5 million blepharitis patients with Demodex blepharitis already diagnosed and seeking treatment, approximately 1.2 million patients with Demodex blepharitis on dry eye prescription medication, approximately 2.2 million patients with Demodex blepharitis that are also cataract patients and approximately 2.3 million patients with Demodex blepharitis that are also contact lens patients. In preparation for the commercialization of XDEMVY, we have built a strong foundation for a potential successful launch. We have raised awareness within the scientific community and have reached all of the approximately 15,000 target eye care providers, or ECPs, with disease education efforts. We have also actively engaged with all top commercial and Medicare accounts and expect broad reimbursement for XDEMVY prescriptions. Further, we are developing a tailored sales force that we believe, once launched, would cover the ECPs that write approximately 80% of all prescriptions for conditions and diseases that affect the anterior segment of the eye.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intend to further advance our pipeline with the lotilaner API to address several diseases across therapeutic categories in human medicine, including eye care, dermatology, and other diseases. These targeted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diseases with high unmet medical needs currently include TP-03 for the treatment of Meibomian Gland Disease, for which we expect to report topline data from the Phase 2a Ersa clinical trial during the second half of 2023, TP-04 for the potential treatment of rosacea, for which we expect to receive topline data from the Phase 2a Galatea trial in 2024, and TP-05 for the potential prevention of Lyme disease, for which we expect to report topline data from the Phase 2a Carpo trial during the second half of 2023, and community malaria reduction. Our intellectual property portfolio consists, as of June 30, 2023, of approximately 42 issued patents (of which approximately 38 patents are in-licensed) and 73 pending patent applications (of which approximately 18 are in-licensed).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24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FDA Approval of XDEMVY for the treatment of Demodex blepharitis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July 25, 2023, we announced that the FDA approved XDEMVY (lotilaner ophthalmic solution) 0.25% for the treatment of Demodex blepharitis. XDEMVY is the first and only FDA-approved treatment to directly target Demodex mites, the root cause of Demodex blepharitis. XDEMVY targets the root cause of Demodex blepharitis and has demonstrated efficacy across multiple clinical measures of disease. We expect that XDEMVY will be available by prescription by the end of August 2023. </w:t>
      </w:r>
    </w:p>
    <w:p>
      <w:pPr>
        <w:pStyle w:val="TextBody"/>
        <w:bidi w:val="0"/>
        <w:spacing w:before="24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Termination of ATM Prospectus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connection with this proposed public offering, we terminated the prospectus, or the ATM Prospectus, filed with the registration statement of which this prospectus supplement forms a part and related to our common stock, issuable pursuant to the terms of an Open Market Sale AgreementSM, dated November 1, 2021, or the Sales Agreement, by and between the Company and Jefferies LLC. We did not make any sales of our common stock pursuant to the ATM Prospectus. Further, we will not make any sales of our common stock pursuant to the Sales Agreement, unless and until a new prospectus, prospectus supplement or a new registration statement is filed. Other than the termination of the ATM Prospectus, the Sales Agreement remains in full force and effect. </w:t>
      </w:r>
    </w:p>
    <w:p>
      <w:pPr>
        <w:pStyle w:val="TextBody"/>
        <w:bidi w:val="0"/>
        <w:spacing w:before="24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Preliminary Financial Results for the Six Months Ended June 30, 2023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financial statements as of, and for the six months ended June 30, 2023 are not yet available. Accordingly, the information presented below reflects our preliminary financial results subject to the completion of our financial closing procedures and any adjustments that may result from the completion of the quarterly review of our financial statements. As a result, these preliminary financial results may differ from the actual results that will be reflected in our financial statements for the six months ended June 30, 2023 when they are completed and publicly disclosed. These preliminary financial results may change and those changes may be material.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expectations with respect to our unaudited preliminary results for the period discussed below are based upon managements reconciliation and are the responsibility of management. Our independent registered public accounting firm has not completed their review with respect to these preliminary results and, accordingly, does not express an opinion or any other form of assurance about them.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cash, cash equivalents and marketable securities as of June 30, 2023 was $178.2 million, as compared to $245.4 million as of June 30, 2022.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Because these financial results are only preliminary and are based on information available to management as of the date of this prospectus supplement, these expectations could change. See Risk FactorsRisks Related to This Offering  Our preliminary financial estimates represent managements current estimates and are subject to 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Complete quarterly results as of, and for the six months ended June 30, 2023 will be included in our Quarterly Report on Form 10-Q for the six months ended June 30, 2023.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under the laws of the state of Delaware on November 17, 2016. Our principal executive offices are located at 15440 Laguna Canyon Road, Suite 160, Irvine, California 92618. Our main telephone number is (949) 409-9820. Our website is www.tarsusrx.com. The information on, or that can be accessed through, our website address is not part of this prospectus supplement and is not incorporated by reference herein.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We are an Emerging Growth Company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currently are an emerging growth company as defined in the Jumpstart Our Business Startups Act of 2012, as amended, or JOBS Act. We will remain an emerging growth company until the earliest to occur of: (i) the last day of the fiscal year in which we have more than $1.235 billion in annual revenue; (ii) the date we qualify as a large accelerated filer, as defined in Rule 12b-2 under the Securities Exchange Act of 1934, as amended, or the Exchange Act, with at least $700 million of equity securities held by non-affiliates; (iii) the issuance, in any three-year period, by us of more than $1.0 billion in non-convertible debt securities; and (iv) the last day of the fiscal year ending after the fifth anniversary of our initial public offering. As a result of this status, we have taken advantage of reduced reporting requirements in this prospectus supplement that are applicable to other publicly-traded entities that are not emerging growth companies and may elect to take advantage of other exemptions from reporting requirements in our future filings with the SEC. In addition, Section 107 of the JOBS Act provides that an emerging growth company may take advantage of an extended transition period for complying with new or revised accounting standards, delaying the adoption of these accounting standards until they would apply to private companies. We have irrevocably elected not to avail ourselves of this exemption and, as a result, we will adopt new or revised accounting standards on the relevant dates on which adoption of such standards is required for other public companies that are not emerging growth companies. Even after we no longer qualify as an emerging growth company, we may continue to qualify as a smaller reporting company, which would allow us to continue to take advantage of many of the same exemptions from disclosure requirements including reduced disclosure obligations regarding executive compensation in this prospectus supplement and our periodic reports and proxy statements, if either (i) the market value of our stock held by non-affiliates is less than $250 million or (ii) our annual revenue is less than $100 million during the most recently completed fiscal year and the market value of our stock held by non-affiliates is less than $700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supptoc538323_2"/>
      <w:bookmarkEnd w:id="4"/>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Issuer </w:t>
            </w:r>
          </w:p>
        </w:tc>
        <w:tc>
          <w:tcPr>
            <w:tcW w:w="6327" w:type="dxa"/>
            <w:tcBorders/>
          </w:tcPr>
          <w:p>
            <w:pPr>
              <w:pStyle w:val="TableContents"/>
              <w:bidi w:val="0"/>
              <w:spacing w:before="0" w:after="283"/>
              <w:jc w:val="left"/>
              <w:rPr/>
            </w:pPr>
            <w:r>
              <w:rPr/>
              <w:t xml:space="preserve">Tarsus Pharmaceuticals, Inc.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offered by us </w:t>
            </w:r>
          </w:p>
        </w:tc>
        <w:tc>
          <w:tcPr>
            <w:tcW w:w="6329" w:type="dxa"/>
            <w:tcBorders/>
          </w:tcPr>
          <w:p>
            <w:pPr>
              <w:pStyle w:val="TableContents"/>
              <w:bidi w:val="0"/>
              <w:spacing w:before="0" w:after="283"/>
              <w:jc w:val="left"/>
              <w:rPr/>
            </w:pPr>
            <w:r>
              <w:rPr/>
              <w:t xml:space="preserve">5,714,285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to be outstanding after this offering </w:t>
            </w:r>
          </w:p>
        </w:tc>
        <w:tc>
          <w:tcPr>
            <w:tcW w:w="6328" w:type="dxa"/>
            <w:tcBorders/>
          </w:tcPr>
          <w:p>
            <w:pPr>
              <w:pStyle w:val="TableContents"/>
              <w:bidi w:val="0"/>
              <w:spacing w:before="0" w:after="283"/>
              <w:jc w:val="left"/>
              <w:rPr/>
            </w:pPr>
            <w:r>
              <w:rPr/>
              <w:t xml:space="preserve">32,514,797 shares of our common stock (or 33,371,939 shares if the underwriters exercise their option to purchase additional shares in full).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Underwriters option to purchase additional shares </w:t>
            </w:r>
          </w:p>
        </w:tc>
        <w:tc>
          <w:tcPr>
            <w:tcW w:w="6327" w:type="dxa"/>
            <w:tcBorders/>
          </w:tcPr>
          <w:p>
            <w:pPr>
              <w:pStyle w:val="TableContents"/>
              <w:bidi w:val="0"/>
              <w:spacing w:before="0" w:after="283"/>
              <w:jc w:val="left"/>
              <w:rPr/>
            </w:pPr>
            <w:r>
              <w:rPr/>
              <w:t xml:space="preserve">We have granted the underwriters an option for a period of 30 days to purchase up to 857,142 additional shares of our common stock. The underwriters can exercise this option at any time within 30 days after the date of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7" w:type="dxa"/>
            <w:tcBorders/>
          </w:tcPr>
          <w:p>
            <w:pPr>
              <w:pStyle w:val="TableContents"/>
              <w:bidi w:val="0"/>
              <w:spacing w:before="0" w:after="283"/>
              <w:jc w:val="left"/>
              <w:rPr/>
            </w:pPr>
            <w:r>
              <w:rPr/>
              <w:t xml:space="preserve">We estimate that the net proceeds from this offering will be approximately $93.6 million, after deducting estimated underwriting discounts and commissions and estimated offering expenses payable by us (or approximately $107.7 million if the underwriters exercise their option to purchase additional shares in full).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We currently intend to use the net proceeds from this offering, together with our existing cash, cash equivalents and marketable securities, to (i) fund the commercial launch of XDEMVY for the treatment of Demodex blepharitis in the United States and (ii) develop our product pipeline including TP-03 for the treatment of Meibomian Gland Disease, or MGD, TP-04 and TP-05, and other general corporate purposes, which may include the hiring of additional personnel, capital expenditures and the costs of operating as a public company. In addition, we may use a portion of the net proceeds for the development, acquisition or in-license of other products, product candidates, businesses or technologies. However, we have no current agreements or commitments for these possible expenditures. See Use of Proceeds on page S-15 of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8" w:type="dxa"/>
            <w:tcBorders/>
          </w:tcPr>
          <w:p>
            <w:pPr>
              <w:pStyle w:val="TableContents"/>
              <w:bidi w:val="0"/>
              <w:spacing w:before="0" w:after="283"/>
              <w:jc w:val="left"/>
              <w:rPr/>
            </w:pPr>
            <w:r>
              <w:rPr/>
              <w:t xml:space="preserve">Investing in our common stock involves significant risks. See Risk Factors on page S-8 of this prospectus supplement, page 5 of the accompanying prospectus and under similar headings in other documents incorporated by reference into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Nasdaq Global Select Market symbol </w:t>
            </w:r>
          </w:p>
        </w:tc>
        <w:tc>
          <w:tcPr>
            <w:tcW w:w="6329" w:type="dxa"/>
            <w:tcBorders/>
          </w:tcPr>
          <w:p>
            <w:pPr>
              <w:pStyle w:val="TableContents"/>
              <w:bidi w:val="0"/>
              <w:spacing w:before="0" w:after="283"/>
              <w:jc w:val="left"/>
              <w:rPr/>
            </w:pPr>
            <w:r>
              <w:rPr/>
              <w:t xml:space="preserve">TARS.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common stock to be outstanding after this offering is based on 26,800,512 shares of our common stock outstanding as of March 31, 2023, and unless otherwise indicated,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4,596,414 shares of common stock issuable upon the exercise of options outstanding as of March 31, 2023, with a weighted-average exercise price of $16.43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1,128,373 shares of common stock underlying restricted stock units outstanding as of March 31, 2023;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2,028,011 shares of common stock issuable upon the exercise of options granted after March 31, 2023, with a weighted-average exercise price of $14.26 per share;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8,068,595 shares of common stock reserved for future issuance under our 2020 Equity Incentive Plan, or the 2020 Plan, as of March 31, 2023, which includes an annual evergreen increase;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2,930,594 shares of common stock reserved for issuance under our 2020 Employee Stock Purchase Plan, or the 2020 ESPP, as of March 31, 2023, which includes an annual evergreen increase.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otherwise indicated, all information in this prospectus supplement assumes: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exercise of the underwriters option to purchase an additional 857,142 shares of our common stock;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exercise or settlement of the outstanding options or restricted stock units described above.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5" w:name="supptoc538323_3"/>
      <w:bookmarkEnd w:id="5"/>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our common stock is speculative and involves a high degree of risk. Before investing in our common stock, you should consider carefully the risks described below, together with the risks described in the section entitled Risk Factors in our Annual Report on Form 10-K for the year ended December 31, 2022, which is incorporated by reference in its entirety, as well as the other information contained in or incorporated by reference in this prospectus supplement, the accompanying prospectus and any free writing prospectus that we authorize for use in connection with this offering, including our financial statements and the related notes thereto. If any of the following risks occur, our business, financial condition, results of operations and future growth prospects could be materially and adversely affected. In these circumstances, the market price of our common stock could decline, and you may lose all or part of your investment. This prospectus supplement also contains forward-looking statements that involve risks and uncertainties. Our actual results could differ materially from those anticipated in the forward-looking statements as a result of a number of factors, including the risks described below. See Special Note Regarding Forward-Looking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Risk Related to Commercialization of our Product and Product Candidates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have only recently obtained regulatory approval for XDEMVY in the United States and we have limited experience as a commercial company and have never generated revenue from product sales. If the commercial launch of XDEMVY or any future approved products is unsuccessful, we may never be profitable, or may be less successful than anticipated. </w:t>
      </w:r>
    </w:p>
    <w:p>
      <w:pPr>
        <w:pStyle w:val="TextBody"/>
        <w:bidi w:val="0"/>
        <w:spacing w:before="240" w:after="0"/>
        <w:jc w:val="left"/>
        <w:rPr>
          <w:rFonts w:ascii="Times New Roman" w:hAnsi="Times New Roman"/>
          <w:sz w:val="20"/>
        </w:rPr>
      </w:pPr>
      <w:r>
        <w:rPr>
          <w:rFonts w:ascii="Times New Roman" w:hAnsi="Times New Roman"/>
          <w:sz w:val="20"/>
        </w:rPr>
        <w:t xml:space="preserve">We recently received approval by the FDA for XDEMVY for the treatment of Demodex blepharitis in the United States. Our ability to become and remain profitable is heavily dependent on our ability to generate revenue from XDEMVY. As a company, we have not yet launched any approved products for commercial sale and have not yet generated any revenue from product sales. The success of our commercialization will depend on a number of factors, including, among others, the continued development of our commercial organization, including our internal sales and marketing team and distribution capabilities, our ability to navigate the significant expenses and risks involved with the development and management of such capabilities, satisfying any post-marketing regulatory requirements, our ability to secure adequate healthcare coverage and the acceptance of XDEMVY by patients, ECPs and third-party payers. Further, our commercial success is dependent on our ability to educate ECPs, patients and others in the medical community about Demodex blepharitis. If XDEMVY, or any other future approved product, does not achieve an adequate level of acceptance, coverage, pricing or reimbursement, we may not generate significant product revenues and we may not be profitable. Even if we successfully launch and commercialize XDEMVY in the United States, we may be unable to achieve or maintain profitability, unless XDEMVY is approved in other jurisdictions or for additional indications. Because of the uncertainties and risks associated with these activities, we are unable to accurately and precisely predict the timing and amount of revenues from product sales of XDEMVY, or any future approved products, or if or when we might achieve profitability. </w:t>
      </w:r>
    </w:p>
    <w:p>
      <w:pPr>
        <w:pStyle w:val="TextBody"/>
        <w:bidi w:val="0"/>
        <w:spacing w:before="240" w:after="0"/>
        <w:jc w:val="left"/>
        <w:rPr>
          <w:rFonts w:ascii="Times New Roman" w:hAnsi="Times New Roman"/>
          <w:sz w:val="20"/>
        </w:rPr>
      </w:pPr>
      <w:r>
        <w:rPr>
          <w:rFonts w:ascii="Times New Roman" w:hAnsi="Times New Roman"/>
          <w:sz w:val="20"/>
        </w:rPr>
        <w:t xml:space="preserve">If we are unsuccessful in accomplishing our objectives, or if our commercialization efforts do not develop as planned, we may not be able to successfully commercialize XDEMVY or any future approved products, we may require significant additional capital and financial resources, we may not become profitable, and we may not be able to compete against more established companies in our industry. Even if we do achieve profitability, we may not be able to sustain or increase profitability on a quarterly or annual basis.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Intellectual Property </w:t>
      </w:r>
    </w:p>
    <w:p>
      <w:pPr>
        <w:pStyle w:val="TextBody"/>
        <w:bidi w:val="0"/>
        <w:spacing w:before="120" w:after="0"/>
        <w:jc w:val="left"/>
        <w:rPr>
          <w:rFonts w:ascii="Times New Roman" w:hAnsi="Times New Roman"/>
          <w:b/>
          <w:i/>
          <w:sz w:val="20"/>
        </w:rPr>
      </w:pPr>
      <w:r>
        <w:rPr>
          <w:rFonts w:ascii="Times New Roman" w:hAnsi="Times New Roman"/>
          <w:b/>
          <w:i/>
          <w:sz w:val="20"/>
        </w:rPr>
        <w:t xml:space="preserve">Changes in patent law in the U.S. and other jurisdictions could diminish the value of patents in general, thereby impairing our ability to protect our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As is the case with other biopharmaceutical companies, our success is heavily dependent on intellectual property, particularly patents. Obtaining and enforcing patents in the biopharmaceutical industry involves both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technological and legal complexity and is therefore costly, time-consuming and inherently uncertain. Changes in either the patent laws or interpretation of the patent laws in the U.S. could increase the uncertainties and costs. Recent patent reform legislation in the U.S. and other countries, including the Leahy-Smith America Invents Act, or the Leahy-Smith Act, signed into law on September 16, 2011, could increase those uncertainties and costs surrounding the prosecution of our patent applications and the enforcement or defense of our issued patents.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 Patent and Trademark Office, or USPTO, during patent prosecution and additional procedures to attack the validity of a patent by USPTO administered post-grant proceedings, including post-grant review, inter partes review, and derivation proceedings. After March 2013, under the Leahy-Smith Act, the U.S. transitioned to a first inventor to file system in which, assuming that the other statutory requirements are met, the first inventor to file a patent application will be entitled to the patent on an invention regardless of whether a third party was the first to invent the claimed invention.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The U.S. Supreme Court has ruled on several patent cases in recent years, either narrowing the scope of patent protection available in certain circumstances or weakening the rights of patent owners in certain situations.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 </w:t>
      </w:r>
    </w:p>
    <w:p>
      <w:pPr>
        <w:pStyle w:val="TextBody"/>
        <w:bidi w:val="0"/>
        <w:spacing w:before="240" w:after="0"/>
        <w:jc w:val="left"/>
        <w:rPr>
          <w:rFonts w:ascii="Times New Roman" w:hAnsi="Times New Roman"/>
          <w:sz w:val="20"/>
        </w:rPr>
      </w:pPr>
      <w:r>
        <w:rPr>
          <w:rFonts w:ascii="Times New Roman" w:hAnsi="Times New Roman"/>
          <w:sz w:val="20"/>
        </w:rPr>
        <w:t xml:space="preserve">The U.S. federal government retains certain rights in inventions produced with its financial assistance under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If, in the future, we co-own or license in technology that is critical to our business that is developed in whole or in part with federal funds subject to the Bayh-Dole Act, our ability to enforce or otherwise exploit patents covering such technology may be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 new unitary patent system that came into effect in Europe in June 2023 has increased the complexity and uncertainty of European patent laws and would significantly impact European patents, including those granted before the introduction of such a system. Under the unitary patent system, European applications will have the option, upon grant of a patent, of becoming a Unitary Patent which will be subject to the jurisdiction of the Unitary Patent Court, or UPC.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 </w:t>
      </w:r>
    </w:p>
    <w:p>
      <w:pPr>
        <w:pStyle w:val="TextBody"/>
        <w:bidi w:val="0"/>
        <w:spacing w:before="240" w:after="0"/>
        <w:jc w:val="left"/>
        <w:rPr>
          <w:rFonts w:ascii="Times New Roman" w:hAnsi="Times New Roman"/>
          <w:b/>
          <w:sz w:val="20"/>
        </w:rPr>
      </w:pPr>
      <w:r>
        <w:rPr>
          <w:rFonts w:ascii="Times New Roman" w:hAnsi="Times New Roman"/>
          <w:b/>
          <w:sz w:val="20"/>
        </w:rPr>
        <w:t xml:space="preserve">Risks Related To Our Common Stock and This Offering </w:t>
      </w:r>
    </w:p>
    <w:p>
      <w:pPr>
        <w:pStyle w:val="TextBody"/>
        <w:bidi w:val="0"/>
        <w:spacing w:before="240" w:after="0"/>
        <w:jc w:val="left"/>
        <w:rPr>
          <w:rFonts w:ascii="Times New Roman" w:hAnsi="Times New Roman"/>
          <w:b/>
          <w:i/>
          <w:sz w:val="20"/>
        </w:rPr>
      </w:pPr>
      <w:r>
        <w:rPr>
          <w:rFonts w:ascii="Times New Roman" w:hAnsi="Times New Roman"/>
          <w:b/>
          <w:i/>
          <w:sz w:val="20"/>
        </w:rPr>
        <w:t xml:space="preserve">If you purchase our common stock in this offering, you will incur immediate and substantial dilution in the book value of your shares. </w:t>
      </w:r>
    </w:p>
    <w:p>
      <w:pPr>
        <w:pStyle w:val="TextBody"/>
        <w:bidi w:val="0"/>
        <w:spacing w:before="240" w:after="0"/>
        <w:jc w:val="left"/>
        <w:rPr>
          <w:rFonts w:ascii="Times New Roman" w:hAnsi="Times New Roman"/>
          <w:sz w:val="20"/>
        </w:rPr>
      </w:pPr>
      <w:r>
        <w:rPr>
          <w:rFonts w:ascii="Times New Roman" w:hAnsi="Times New Roman"/>
          <w:sz w:val="20"/>
        </w:rPr>
        <w:t xml:space="preserve">Investors purchasing common stock in this offering will pay a price per share that substantially exceeds the as adjusted net tangible book value per share. As a result, investors purchasing common stock in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will incur immediate dilution of $9.29 per share (or $9.08 per share if the underwriters exercise their option to purchase additional shares in full), representing the difference between the public offering price of $17.50 and our as adjusted net tangible book value as of March 31, 2023. To the extent outstanding options to purchase shares of our common stock are exercised, new investors may incur further dilution. For more information on the dilution you may suffer as a result of investing in this offering, see the section of this prospectus supplement entitled Dilution.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may allocate the net proceeds from this offering in ways that you and other stockholders may not approve. </w:t>
      </w:r>
    </w:p>
    <w:p>
      <w:pPr>
        <w:pStyle w:val="TextBody"/>
        <w:bidi w:val="0"/>
        <w:spacing w:before="240" w:after="0"/>
        <w:jc w:val="left"/>
        <w:rPr>
          <w:rFonts w:ascii="Times New Roman" w:hAnsi="Times New Roman"/>
          <w:sz w:val="20"/>
        </w:rPr>
      </w:pPr>
      <w:r>
        <w:rPr>
          <w:rFonts w:ascii="Times New Roman" w:hAnsi="Times New Roman"/>
          <w:sz w:val="20"/>
        </w:rPr>
        <w:t xml:space="preserve">Our management will have broad discretion in the application of the net proceeds from this offering, including for any of the purposes described in the section titled Use of Proceeds.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and the failure by our management to apply these funds effectively could harm our business. Pending their use, we may invest the net proceeds from this offering in in investment grade, interest bearing securities. These investments may not yield a favorable return to our stockholders. If we do not invest or apply the net proceeds from this offering in ways that enhance stockholder value, we may fail to achieve expected results, which could cause our stock price to decline. </w:t>
      </w:r>
    </w:p>
    <w:p>
      <w:pPr>
        <w:pStyle w:val="TextBody"/>
        <w:bidi w:val="0"/>
        <w:spacing w:before="240" w:after="0"/>
        <w:jc w:val="left"/>
        <w:rPr>
          <w:rFonts w:ascii="Times New Roman" w:hAnsi="Times New Roman"/>
          <w:b/>
          <w:i/>
          <w:sz w:val="20"/>
        </w:rPr>
      </w:pPr>
      <w:r>
        <w:rPr>
          <w:rFonts w:ascii="Times New Roman" w:hAnsi="Times New Roman"/>
          <w:b/>
          <w:i/>
          <w:sz w:val="20"/>
        </w:rPr>
        <w:t xml:space="preserve">Future sales of our common stock, or the perception that such sales may occur, could depress the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price of our common stock could decline if there are substantial sales of our common stock, particularly sales by our directors, executive officers and significant stockholders, or if there is a large number of shares of our common stock available for sale (including under the Sales Agreement) and the market perceives that sales will occur. After this offering, we will have 32,514,797 outstanding shares of our common stock, based on the number of shares outstanding as of March 31, 2023 and assuming that the underwriters do not exercise their option to purchase additional shares of common stock. All of the shares of common stock sold in this offering will be available for sale in the public market, unless purchased by our affiliates or existing stockholders, subject to lock-up restrictions described below. </w:t>
      </w:r>
    </w:p>
    <w:p>
      <w:pPr>
        <w:pStyle w:val="TextBody"/>
        <w:bidi w:val="0"/>
        <w:spacing w:before="240" w:after="0"/>
        <w:jc w:val="left"/>
        <w:rPr>
          <w:rFonts w:ascii="Times New Roman" w:hAnsi="Times New Roman"/>
          <w:b/>
          <w:i/>
          <w:sz w:val="20"/>
        </w:rPr>
      </w:pPr>
      <w:r>
        <w:rPr>
          <w:rFonts w:ascii="Times New Roman" w:hAnsi="Times New Roman"/>
          <w:b/>
          <w:i/>
          <w:sz w:val="20"/>
        </w:rPr>
        <w:t xml:space="preserve">The price of our stock may be volatile, and you could lose all or part of your investment. </w:t>
      </w:r>
    </w:p>
    <w:p>
      <w:pPr>
        <w:pStyle w:val="TextBody"/>
        <w:bidi w:val="0"/>
        <w:spacing w:before="240" w:after="0"/>
        <w:jc w:val="left"/>
        <w:rPr>
          <w:rFonts w:ascii="Times New Roman" w:hAnsi="Times New Roman"/>
          <w:sz w:val="20"/>
        </w:rPr>
      </w:pPr>
      <w:r>
        <w:rPr>
          <w:rFonts w:ascii="Times New Roman" w:hAnsi="Times New Roman"/>
          <w:sz w:val="20"/>
        </w:rPr>
        <w:t xml:space="preserve">The trading price of our common stock following this offering is likely to be highly volatile and could be subject to wide fluctuations in response to various factors, some of which are beyond our control, including the factors discussed in this Risk Factors section and elsewhere in this prospectus supplement. The realization of any of these factors could have a dramatic and adverse impact on the market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stock market in general, and the market for biotechnology and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If the market price of our common stock after this offering does not exceed the public offering price, you may not realize any return on your investment in us and may lose some or all of your investment.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do not currently intend to pay dividends on our common stock, and, consequently, investors ability to achieve a return on their investment will depend on appreciation in the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do not currently intend to pay any cash dividends on our common stock for the foreseeable future. Additionally, the terms of our Loan and Security Agreement with Hercules Capital, Inc. and Silicon Valley Bank, a division of First Citizens Bank, contain negative covenants prohibiting us from issuing cash dividends. Therefore, investors who purchase shares in this offering are not likely to receive any dividends on common stock for the foreseeable future. Since we do not intend to pay dividends, investors ability to receive a return on their investment will depend on any future appreciation in the market value of our common stock. There is no guarantee that our common stock will appreciate or even maintain the price at which investors have purchased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our executive officers and directors and certain of our shareholders affiliated with our directors have agreed that, subject to certain exceptions, during the period ending 90 days after the date of this prospectus supplement, we and they will not offer, sell, dispose of or hedge any shares of our common stock or securities convertible into or exchangeable for shares of our common stock, subject to specified limited exceptions, without, in each case, the prior written consent of Goldman Sachs &amp; Co. LLC, BofA Securities and Guggenheim Securities, LLC, who may release any of the securities subject to these lock-up agreements at any time without notice. Shares held by directors, executive officers and other affiliates will be subject to volume limitations under Rule 144 under the Securities Act of 1933, as amended, or the Securities Act, and various vesting agreements. Sales of a substantial number of such shares upon expiration of the lock-up and market stand-off agreements, the perception that such sales may occur or early release of these agreements, could cause our market price to fall or make it more difficult for you to sell your common stock at a time and price that you deem appropriate.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have filed a registration statement registering under the Securities Act the shares of our common stock reserved for issuance under our 2020 Plan and 2020 ESPP, including shares issuable upon exercise of outstanding options. These shares can be freely sold in the public market upon issuance, subject to volume limitations applicable to affiliates and the lock-up agreements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Further, as opportunities present themselves, we may enter into financing or similar arrangements in the future, including the issuance of debt or equity securities. If we issue common stock or securities convertible into our common stock, our common stockholders would experience additional dilution and, as a result, the price of our common stock may decline. </w:t>
      </w:r>
    </w:p>
    <w:p>
      <w:pPr>
        <w:pStyle w:val="TextBody"/>
        <w:bidi w:val="0"/>
        <w:spacing w:before="240" w:after="0"/>
        <w:jc w:val="left"/>
        <w:rPr>
          <w:rFonts w:ascii="Times New Roman" w:hAnsi="Times New Roman"/>
          <w:sz w:val="20"/>
        </w:rPr>
      </w:pPr>
      <w:r>
        <w:rPr>
          <w:rFonts w:ascii="Times New Roman" w:hAnsi="Times New Roman"/>
          <w:sz w:val="20"/>
        </w:rPr>
        <w:t xml:space="preserve">We cannot predict the effect that future sales of common stock or other equity-related securities would have on the market price of our common stock. </w:t>
      </w:r>
    </w:p>
    <w:p>
      <w:pPr>
        <w:pStyle w:val="TextBody"/>
        <w:bidi w:val="0"/>
        <w:spacing w:before="240" w:after="0"/>
        <w:jc w:val="left"/>
        <w:rPr>
          <w:rFonts w:ascii="Times New Roman" w:hAnsi="Times New Roman"/>
          <w:b/>
          <w:i/>
          <w:sz w:val="20"/>
        </w:rPr>
      </w:pPr>
      <w:r>
        <w:rPr>
          <w:rFonts w:ascii="Times New Roman" w:hAnsi="Times New Roman"/>
          <w:b/>
          <w:i/>
          <w:sz w:val="20"/>
        </w:rPr>
        <w:t xml:space="preserve">Our preliminary financial information represent managements current reconciliation and are subject to change. </w:t>
      </w:r>
    </w:p>
    <w:p>
      <w:pPr>
        <w:pStyle w:val="TextBody"/>
        <w:bidi w:val="0"/>
        <w:spacing w:before="240" w:after="0"/>
        <w:jc w:val="left"/>
        <w:rPr>
          <w:rFonts w:ascii="Times New Roman" w:hAnsi="Times New Roman"/>
          <w:sz w:val="20"/>
        </w:rPr>
      </w:pPr>
      <w:r>
        <w:rPr>
          <w:rFonts w:ascii="Times New Roman" w:hAnsi="Times New Roman"/>
          <w:sz w:val="20"/>
        </w:rPr>
        <w:t xml:space="preserve">The preliminary financial information contained in Prospectus Supplement SummaryRecent DevelopmentsPreliminary Financial Results for the Six Months Ended June 30, 2023 represents only preliminary financial results and is based on information available to management as of the date of this prospectus supplement and these expectations could change. Our actual financial results as of, and for the six months ended June 30, 2023 are subject to the completion of our financial statements as of such date, and for such period. Such actual financial results will not be available until after this offering is completed and, consequently, will not be available to you prior to investing in this offering. Our actual financial results as of, and for the six months ended June 30, 2023 may differ materially from the preliminary financial results we have provided as a result of completion of our final adjustments, review by our independent registered public accountants and other developments arising between now and the time that our financial results for such period are finalized. Our independent registered public accountants have not completed their review with respect to such preliminary financial results and accordingly do not express an opinion or any other form of assurance with respect thereto. Complete results as of, and for the six months ended June 30, 2023 will be included in our Quarterly Report on Form 10-Q for the six months ended June 30, 2023. See the other risks described in this section and Special Note Regarding Forward-Looking Statements for additional information regarding factors that could result in differences between these preliminary and the actual financial results we will report for the six months ended June 30,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6" w:name="supptoc538323_4"/>
      <w:bookmarkEnd w:id="6"/>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and the information incorporated by reference in this prospectus supplement, the accompanying prospectus, and any free writing prospectus that we authorize for use in connection with this offering, contains and may contain certain statements that constitute forward-looking statements within the meaning of Section 27A of the Securities Act and Section 21E of the Exchange Act. The words aim, anticipate, assume, believe, can, contemplate, continue, could, due, estimate, expect, goal, intend, may, objective, ongoing, plan, potential, project, predict, seek, should, target, will, and would and similar expressions and variations thereof are intended to identify forward-looking statements, but are not the exclusive means of identifying such statements. Those statements appear in this prospectus supplement, the accompanying prospectus and the documents incorporated herein and therein by reference, particularly in the sections entitled Prospectus Supplement Summary, Risk Factors, Managements Discussion and Analysis of Financial Condition and Results of Operations, and Business, and include statements regarding the intent, belief or current expectations of the Company and management that are subject to known and unknown risks, uncertainties and assumptions.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commercialize XDEMVY for the treatment of Demodex blepharitis;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prevalence of Demodex blepharitis and the size of the market opportunity for XDEMVY;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relating to commercializing XDEMVY and our product candidates, if approved, including commercialization timelines and sales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2"/>
        <w:gridCol w:w="8982"/>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statements regarding our ability to achieve distribution and patient access for our products including XDEMVY and timing and breadth of payer coverage; our expectations of the potential market size, pricing, gross-to-net yields, eye care provider and patient acceptance of our product candidates, opportunity and patient populations for our product candidates, including XDEMVY; our sales force size and hiring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likelihood of our clinical trials demonstrating safety and efficacy of our product candidates, and other positive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progress of our current clinical trials and timing of initiation of our future clinical trials, and the reporting of data from our current and future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1"/>
        <w:gridCol w:w="8983"/>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or likelihood of regulatory filings and approval for our product candidates and our ability to meet existing or future regulatory standards or comply with post-approval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relating to the clinical development of our current and future product candidates, including the size, number and disease areas to be evaluated;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and degree of market acceptance and clinical utility of XDEMVY and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health epidemics, including COVID-19, on our business and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unfavorable global economic conditions on our business and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competing therapies that are or may become available;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of the number of patients in the United States or globally, as applicable, who suffer from Demodex blepharitis, MGD, rosacea, Lyme disease and malaria and the number of patients that will enroll in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0"/>
        <w:gridCol w:w="8985"/>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beneficial characteristics, safety, efficacy, therapeutic effects and potential advantages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maintain regulatory approval of our products and product candidates and our products and product candidates to meet existing or future regulatory standards;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relating to the further development and manufacturing of our product candidates, including additional indications for which we may pursue;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identify additional products, product candidates or technologies with significant commercial potential that are consistent with our commercial objectives;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expected potential benefits of strategic collaborations with third parties (including, for example, the receipt of payments, achievement and timing of milestones under license agreements, and the ability of our third-party collaborators to commercialize our product candidates in the territories under license) and our ability to attract collaborators with development, regulatory and commercialization expertise;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2"/>
        <w:gridCol w:w="8982"/>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existing regulations and regulatory developments in the United States and other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0"/>
        <w:gridCol w:w="8984"/>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and ability to obtain or protect intellectual property rights, including extensions of existing patent terms where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2"/>
        <w:gridCol w:w="102"/>
        <w:gridCol w:w="8983"/>
      </w:tblGrid>
      <w:tr>
        <w:trPr/>
        <w:tc>
          <w:tcPr>
            <w:tcW w:w="918"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continued reliance on third parties to conduct additional clinical trials of our product candidates, and for the manufacture of our product candidates for preclinical studies and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1"/>
        <w:gridCol w:w="8983"/>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need to hire additional personnel, in particular sales personnel, and our ability to attract and retain such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our estimates regarding expenses, future revenue, capital requirements and needs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2"/>
        <w:gridCol w:w="102"/>
        <w:gridCol w:w="8983"/>
      </w:tblGrid>
      <w:tr>
        <w:trPr/>
        <w:tc>
          <w:tcPr>
            <w:tcW w:w="918"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sufficiency of our existing capital resources to fund our future operating expenses and capital expenditure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competitive 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2"/>
        <w:gridCol w:w="8982"/>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period during which we will qualify as an emerging growth company under the JOBS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anticipated use of our existing resources and the proceeds from this offering.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speak only as of the date of this prospectus supplement and the accompanying prospectus and are subject to risks, uncertainties and assumptions that are difficult to predict. Therefore, actual results may differ materially and adversely from those expressed in any forward-looking statements. Factors that might cause or contribute to such differences, and other factors that we believe affect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performance, include those discussed in the sections titled Risk Factors and Managements Discussion and Analysis of Financial Condition and Results of Operations in our Annual Report on Form 10-K for the year ended December 31, 2022, and in our Quarterly Report on Form 10-Q for the period ended March 31, 2023 incorporated by reference herein, and in other reports we file with the SEC. While forward-looking statements are based on the reasonable expectations of our management at the time that they are made, you should not rely on them. We undertake no obligation to revise or update publicly any forward-looking statements for any reason, whether as a result of new information, future events or otherwise, except as may be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7" w:name="supptoc538323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net proceeds from this offering will be approximately $93.6 million, or approximately $107.7 million if the underwriters exercise their option to purchase additional shares in full, after deducting underwriting discounts and commissions and estimated offering expenses payable by us. </w:t>
      </w:r>
    </w:p>
    <w:p>
      <w:pPr>
        <w:pStyle w:val="TextBody"/>
        <w:bidi w:val="0"/>
        <w:spacing w:before="240" w:after="0"/>
        <w:jc w:val="left"/>
        <w:rPr>
          <w:rFonts w:ascii="Times New Roman" w:hAnsi="Times New Roman"/>
          <w:sz w:val="20"/>
        </w:rPr>
      </w:pPr>
      <w:r>
        <w:rPr>
          <w:rFonts w:ascii="Times New Roman" w:hAnsi="Times New Roman"/>
          <w:sz w:val="20"/>
        </w:rPr>
        <w:t>The principal purpose of this offering is to increase our financial flexibility. We currently intend to use the net proceeds from this offering, together with our existing cash, cash equivalents and marketable securities, to (i) fund the commercial launch of XDEMVY for the treatment of Demodex blepharitis in the United States and (ii) develop our product pipeline including TP-03 for the treatment of MGD, TP-04 and TP-05, and other general corporate purposes, which may include the hiring of additional personnel, capital expenditures and the costs of operating as a public company. In addition, we may use a portion of the net proceeds for the development, acquisition or in-license of other products, product candidates, businesses or technologies. However, we have no current agreements or commitments for these possible expenditures.</w:t>
      </w:r>
    </w:p>
    <w:p>
      <w:pPr>
        <w:pStyle w:val="TextBody"/>
        <w:bidi w:val="0"/>
        <w:spacing w:before="240" w:after="0"/>
        <w:jc w:val="left"/>
        <w:rPr>
          <w:rFonts w:ascii="Times New Roman" w:hAnsi="Times New Roman"/>
          <w:sz w:val="20"/>
        </w:rPr>
      </w:pPr>
      <w:r>
        <w:rPr>
          <w:rFonts w:ascii="Times New Roman" w:hAnsi="Times New Roman"/>
          <w:sz w:val="20"/>
        </w:rPr>
        <w:t xml:space="preserve">This expected use of the net proceeds from this offering represents our intentions based upon our current business plans and economic conditions. Either could change in the future as our business plans evolve and economic conditions shift. As of the date of this prospectus supplement, we cannot predict with certainty all of the particular uses for the net proceeds to be received upon the completion of this offering or the amounts that we will actually spend on the uses set forth above. The amounts and timing of our actual expenditures and the extent of our commercial and preclinical, clinical and future development activities may vary significantly depending on numerous factors, including the progress of our commercialization and development efforts, the status of and results from our ongoing and planned clinical trials, the timing of regulatory submissions and the outcome of regulatory review, our ability to take advantage of expedited programs or to obtain regulatory approval for product candidates, the timing and costs associated with the manufacture and supply of product candidates for clinical development or commercialization, as well as any collaborations that we may enter into with third parties for our product candidates and any unforeseen cash needs. As a result, our management will require broad discretion over the allocation of the net proceeds from this offering.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we use a portion of the net proceeds from this offering for the development, acquisition or in-license of other products, product candidates, businesses or technologies, our cash resources could be depleted earlier than we currently expect. We plan to invest the net proceeds from this offering in bank and investment accounts with the primary goal of capital preservation. These include operating bank accounts, short-term interest-bearing investment-grade securities and money market accounts.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have never declared or paid cash dividends on our common stock. We currently intend to retain all available funds and any future earnings for use in the operation of our business and do not anticipate paying any cash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 Additionally, the terms of our credit facility with Hercules Capital, Inc. and Silicon Valley Bank, a division of First Citizens Bank, restrict our ability to pay dividends under certain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8" w:name="supptoc538323_6"/>
      <w:bookmarkEnd w:id="8"/>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If you invest in our common stock in this offering, your ownership interest will be immediately diluted to the extent of the difference between the public offering price per share of our common stock and the as adjusted net tangible book value per share of our common stock immediately after the completion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Historical net tangible book value per share represents our total tangible assets less our liabilities and preferred stock that is not included in equity divided by the total number of shares of common stock outstanding. As of March 31, 2023, our historical net tangible book value was approximately $173.4 million, or $6.47 per share of common stock, based on 26,800,512 shares of common stock outstanding as of March 31, 2023. </w:t>
      </w:r>
    </w:p>
    <w:p>
      <w:pPr>
        <w:pStyle w:val="TextBody"/>
        <w:bidi w:val="0"/>
        <w:spacing w:before="240" w:after="0"/>
        <w:jc w:val="left"/>
        <w:rPr>
          <w:rFonts w:ascii="Times New Roman" w:hAnsi="Times New Roman"/>
          <w:sz w:val="20"/>
        </w:rPr>
      </w:pPr>
      <w:r>
        <w:rPr>
          <w:rFonts w:ascii="Times New Roman" w:hAnsi="Times New Roman"/>
          <w:sz w:val="20"/>
        </w:rPr>
        <w:t xml:space="preserve">After giving effect to our sale in this offering of 5,714,285 shares of common stock at the public offering price of $17.50 per share, and after deducting estimated underwriting discounts and commissions and estimated offering expenses payable by us, our as adjusted net tangible book value as of March 31, 2023 would have been approximately $267.0 million, or $8.21 per share of our common stock. This amount represents an immediate increase in as adjusted net tangible book value of $1.74 per share to our existing stockholders and an immediate dilution of $9.29 per share to investors purchasing common stock in this offering. Net tangible book value dilution per share to new investors participating in this offering represents the difference between the amount per share paid by purchaser of common stock in this offering and the as adjusted net tangible book value per share of common stock immediately after completion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Dilution per share to new investors purchasing our common stock is determined by subtracting as adjusted net tangible book value per share after this offering from the public offering price per share paid by new investors. The following table illustrates this dilution to new investors on a per share basis (without giving effect to any exercise by the underwriters of their option to purchase additional shares):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234"/>
        <w:gridCol w:w="250"/>
        <w:gridCol w:w="140"/>
        <w:gridCol w:w="452"/>
        <w:gridCol w:w="60"/>
        <w:gridCol w:w="250"/>
        <w:gridCol w:w="140"/>
        <w:gridCol w:w="615"/>
        <w:gridCol w:w="64"/>
      </w:tblGrid>
      <w:tr>
        <w:trPr/>
        <w:tc>
          <w:tcPr>
            <w:tcW w:w="8234"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8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 per share</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5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15" w:type="dxa"/>
            <w:tcBorders/>
            <w:shd w:fill="CCEEFF" w:val="clear"/>
            <w:vAlign w:val="bottom"/>
          </w:tcPr>
          <w:p>
            <w:pPr>
              <w:pStyle w:val="TableContents"/>
              <w:bidi w:val="0"/>
              <w:spacing w:before="0" w:after="283"/>
              <w:jc w:val="right"/>
              <w:rPr/>
            </w:pPr>
            <w:r>
              <w:rPr/>
              <w:t>17.50</w:t>
            </w:r>
          </w:p>
        </w:tc>
        <w:tc>
          <w:tcPr>
            <w:tcW w:w="64" w:type="dxa"/>
            <w:tcBorders/>
            <w:shd w:fill="CCEEFF" w:val="clear"/>
            <w:vAlign w:val="bottom"/>
          </w:tcPr>
          <w:p>
            <w:pPr>
              <w:pStyle w:val="TableContents"/>
              <w:bidi w:val="0"/>
              <w:spacing w:before="0" w:after="283"/>
              <w:jc w:val="left"/>
              <w:rPr/>
            </w:pPr>
            <w:r>
              <w:rPr/>
              <w:t> </w:t>
            </w:r>
          </w:p>
        </w:tc>
      </w:tr>
      <w:tr>
        <w:trPr/>
        <w:tc>
          <w:tcPr>
            <w:tcW w:w="8234" w:type="dxa"/>
            <w:tcBorders/>
          </w:tcPr>
          <w:p>
            <w:pPr>
              <w:pStyle w:val="TableContents"/>
              <w:bidi w:val="0"/>
              <w:spacing w:before="0" w:after="0"/>
              <w:jc w:val="left"/>
              <w:rPr>
                <w:rFonts w:ascii="Times New Roman" w:hAnsi="Times New Roman"/>
                <w:sz w:val="20"/>
              </w:rPr>
            </w:pPr>
            <w:r>
              <w:rPr>
                <w:rFonts w:ascii="Times New Roman" w:hAnsi="Times New Roman"/>
                <w:sz w:val="20"/>
              </w:rPr>
              <w:t>Historical net tangible book value per share as of March 31, 2023</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2" w:type="dxa"/>
            <w:tcBorders/>
            <w:vAlign w:val="bottom"/>
          </w:tcPr>
          <w:p>
            <w:pPr>
              <w:pStyle w:val="TableContents"/>
              <w:bidi w:val="0"/>
              <w:spacing w:before="0" w:after="283"/>
              <w:jc w:val="right"/>
              <w:rPr/>
            </w:pPr>
            <w:r>
              <w:rPr/>
              <w:t>6.47</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1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8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net tangible book value per share attributable to new investors in this offering</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2" w:type="dxa"/>
            <w:tcBorders/>
            <w:shd w:fill="CCEEFF" w:val="clear"/>
            <w:vAlign w:val="bottom"/>
          </w:tcPr>
          <w:p>
            <w:pPr>
              <w:pStyle w:val="TableContents"/>
              <w:bidi w:val="0"/>
              <w:spacing w:before="0" w:after="283"/>
              <w:jc w:val="right"/>
              <w:rPr/>
            </w:pPr>
            <w:r>
              <w:rPr/>
              <w:t>1.74</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15"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8234"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1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8234" w:type="dxa"/>
            <w:tcBorders/>
          </w:tcPr>
          <w:p>
            <w:pPr>
              <w:pStyle w:val="TableContents"/>
              <w:bidi w:val="0"/>
              <w:spacing w:before="0" w:after="0"/>
              <w:jc w:val="left"/>
              <w:rPr>
                <w:rFonts w:ascii="Times New Roman" w:hAnsi="Times New Roman"/>
                <w:sz w:val="20"/>
              </w:rPr>
            </w:pPr>
            <w:r>
              <w:rPr>
                <w:rFonts w:ascii="Times New Roman" w:hAnsi="Times New Roman"/>
                <w:sz w:val="20"/>
              </w:rPr>
              <w:t>As adjusted net tangible book value per share as of March 31, 2023, immediately after this offering</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15" w:type="dxa"/>
            <w:tcBorders/>
            <w:vAlign w:val="bottom"/>
          </w:tcPr>
          <w:p>
            <w:pPr>
              <w:pStyle w:val="TableContents"/>
              <w:bidi w:val="0"/>
              <w:spacing w:before="0" w:after="283"/>
              <w:jc w:val="right"/>
              <w:rPr/>
            </w:pPr>
            <w:r>
              <w:rPr/>
              <w:t>8.21</w:t>
            </w:r>
          </w:p>
        </w:tc>
        <w:tc>
          <w:tcPr>
            <w:tcW w:w="64" w:type="dxa"/>
            <w:tcBorders/>
            <w:vAlign w:val="bottom"/>
          </w:tcPr>
          <w:p>
            <w:pPr>
              <w:pStyle w:val="TableContents"/>
              <w:bidi w:val="0"/>
              <w:spacing w:before="0" w:after="283"/>
              <w:jc w:val="left"/>
              <w:rPr/>
            </w:pPr>
            <w:r>
              <w:rPr/>
              <w:t> </w:t>
            </w:r>
          </w:p>
        </w:tc>
      </w:tr>
      <w:tr>
        <w:trPr/>
        <w:tc>
          <w:tcPr>
            <w:tcW w:w="8234"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1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8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per share to new investors purchasing shares in this offering</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5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15" w:type="dxa"/>
            <w:tcBorders/>
            <w:shd w:fill="CCEEFF" w:val="clear"/>
            <w:vAlign w:val="bottom"/>
          </w:tcPr>
          <w:p>
            <w:pPr>
              <w:pStyle w:val="TableContents"/>
              <w:bidi w:val="0"/>
              <w:spacing w:before="0" w:after="283"/>
              <w:jc w:val="right"/>
              <w:rPr/>
            </w:pPr>
            <w:r>
              <w:rPr/>
              <w:t>9.29</w:t>
            </w:r>
          </w:p>
        </w:tc>
        <w:tc>
          <w:tcPr>
            <w:tcW w:w="64" w:type="dxa"/>
            <w:tcBorders/>
            <w:shd w:fill="CCEEFF" w:val="clear"/>
            <w:vAlign w:val="bottom"/>
          </w:tcPr>
          <w:p>
            <w:pPr>
              <w:pStyle w:val="TableContents"/>
              <w:bidi w:val="0"/>
              <w:spacing w:before="0" w:after="283"/>
              <w:jc w:val="left"/>
              <w:rPr/>
            </w:pPr>
            <w:r>
              <w:rPr/>
              <w:t> </w:t>
            </w:r>
          </w:p>
        </w:tc>
      </w:tr>
      <w:tr>
        <w:trPr/>
        <w:tc>
          <w:tcPr>
            <w:tcW w:w="8234"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15"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underwriters option to purchase additional shares in this offering is exercised in full, the as adjusted net tangible book value would be $8.42 per share, the increase in the net tangible book value per share for existing stockholders would be $1.95 per share and the dilution to new investors participating in this offering would be $9.08 per share.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tables and calculations (other than the historical net tangible book value calculation) are based on 26,800,512 shares of our common stock outstanding as of March 31, 2023, and unless otherwise indicated,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4,596,414 shares of common stock issuable upon the exercise of options outstanding as of March 31, 2023, with a weighted-average exercise price of $16.43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1,128,373 shares of common stock underlying restricted stock units outstanding as of March 31,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2,028,011 shares of common stock issuable upon the exercise of options granted after March 31, 2023, with a weighted-average exercise price of $14.26 per share;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8,068,595 shares of common stock reserved for future issuance under the 2020 Plan as of March 31, 2023, which includes an annual evergreen increase;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2,930,594 shares of common stock reserved for issuance under the 2020 ESPP as of March 31, 2023, which includes an annual evergreen increase.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that outstanding options or RSUs are exercised or settled, you may experience further dilution. In addition, we may choose to raise additional capital due to market conditions or strategic considerations even if we believe we have sufficient funds for our current or future operating plans. To the extent that we raise additional capital by issuing equity or convertible debt securities, your ownership will be further diluted.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9" w:name="supptoc538323_6a"/>
      <w:bookmarkEnd w:id="9"/>
      <w:r>
        <w:rPr>
          <w:rFonts w:ascii="Times New Roman" w:hAnsi="Times New Roman"/>
          <w:b/>
          <w:sz w:val="20"/>
        </w:rPr>
        <w:t xml:space="preserve">MATERIAL U.S. FEDERAL INCOME AND ESTATE TAX CONSEQUENCES FOR NON-U.S. HOLDERS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general discussion of the material U.S. federal income tax considerations applicable to non-U.S. holders (as defined below) with respect to their ownership and disposition of shares of our common stock issued pursuant to this offering. For purposes of this discussion, a non-U.S. holder means a beneficial owner of our common stock (other than an entity or arrangement that is treated as a partnership for U.S. federal income tax purposes) that is not, for U.S. federal income tax purposes,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4"/>
        <w:gridCol w:w="101"/>
        <w:gridCol w:w="8982"/>
      </w:tblGrid>
      <w:tr>
        <w:trPr/>
        <w:tc>
          <w:tcPr>
            <w:tcW w:w="91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treated as a corporation for U.S. federal income tax purposes) created or organized in the United States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includable in gross income for U.S. federal income tax purposes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(i) a court within the United States is able to exercise primary supervision over the administration of the trust and one or more U.S. persons, as defined under the Code, have the authority to control all substantial decisions of the trust or (ii) such trust has made a valid election to be treated as a U.S. person for U.S. federal income tax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discussion is based on current provisions of the Code, existing, temporary and proposed Treasury Regulations promulgated thereunder, judicial opinions, published positions of the Internal Revenue Service or, the IRS, and other applicable authorities, all of which are subject to change or to differing interpretation, possibly with retroactive effect. This discussion assumes that a non-U.S. holder holds shares of our common stock as a capital asset (generally, property held for investment) for U.S. federal income tax purposes. This discussion does not address all aspects of U.S. federal income taxation that may be important to a particular non-U.S. holder in light of that non-U.S. holders individual circumstances, nor does it address any aspects of the unearned income Medicare contribution tax pursuant to the Health Care and Education Reconciliation Act of 2010, any U.S. gift taxes, any U.S. alternative minimum taxes or any state, local or non-U.S. taxes. This discussion may not apply, in whole or in part, to particular non-U.S. holders in light of their individual circumstances or to holders subject to special treatment under the U.S. federal income tax laws (such as insurance companies, tax-exempt organizations, financial institutions, brokers or dealers in securities, controlled foreign corporations, passive foreign investment companies, non-U.S. holders that hold our common stock as part of a straddle, hedge, conversion transaction or other integrated investment, and certain U.S. expatriates). If a partnership (or other entity or arrangement treated as a partnership for U.S. federal income tax purposes) holds our common stock, the tax treatment of a partner therein will generally depend on the status of the partner and the activities of the partnership. Partners of a partnership holding our common stock should consult their tax advisor as to the particular U.S. federal income tax consequences applicable to them. </w:t>
      </w:r>
    </w:p>
    <w:p>
      <w:pPr>
        <w:pStyle w:val="TextBody"/>
        <w:bidi w:val="0"/>
        <w:spacing w:before="240" w:after="0"/>
        <w:jc w:val="left"/>
        <w:rPr>
          <w:rFonts w:ascii="Times New Roman" w:hAnsi="Times New Roman"/>
          <w:b/>
          <w:sz w:val="20"/>
        </w:rPr>
      </w:pPr>
      <w:r>
        <w:rPr>
          <w:rFonts w:ascii="Times New Roman" w:hAnsi="Times New Roman"/>
          <w:b/>
          <w:sz w:val="20"/>
        </w:rPr>
        <w:t xml:space="preserve">INVESTORS CONSIDERING THE PURCHASE OF OUR COMMON STOCK SHOULD CONSULT THEIR OWN TAX ADVISORS REGARDING THE APPLICATION OF THE U.S. FEDERAL INCOME AND ESTATE TAX LAWS TO THEIR PARTICULAR SITUATIONS AND THE CONSEQUENCES OF NON-U.S., STATE, OR LOCAL LAWS AND TAX TREATIES. </w:t>
      </w:r>
    </w:p>
    <w:p>
      <w:pPr>
        <w:pStyle w:val="TextBody"/>
        <w:bidi w:val="0"/>
        <w:spacing w:before="240" w:after="0"/>
        <w:jc w:val="left"/>
        <w:rPr>
          <w:rFonts w:ascii="Times New Roman" w:hAnsi="Times New Roman"/>
          <w:b/>
          <w:sz w:val="20"/>
        </w:rPr>
      </w:pPr>
      <w:r>
        <w:rPr>
          <w:rFonts w:ascii="Times New Roman" w:hAnsi="Times New Roman"/>
          <w:b/>
          <w:sz w:val="20"/>
        </w:rPr>
        <w:t xml:space="preserve">Dividends </w:t>
      </w:r>
    </w:p>
    <w:p>
      <w:pPr>
        <w:pStyle w:val="TextBody"/>
        <w:bidi w:val="0"/>
        <w:spacing w:before="240" w:after="0"/>
        <w:jc w:val="left"/>
        <w:rPr>
          <w:rFonts w:ascii="Times New Roman" w:hAnsi="Times New Roman"/>
          <w:sz w:val="20"/>
        </w:rPr>
      </w:pPr>
      <w:r>
        <w:rPr>
          <w:rFonts w:ascii="Times New Roman" w:hAnsi="Times New Roman"/>
          <w:sz w:val="20"/>
        </w:rPr>
        <w:t xml:space="preserve">We do not expect to declare or make any distributions on our common stock in the foreseeable future. If we do pay dividends on shares of our common stock, however, such distributions will constitute dividends for U.S. federal income tax purposes to the extent paid from our current or accumulated earnings and profits,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determined under U.S. federal income tax principles. Distributions in excess of our current and accumulated earnings and profits will constitute a return of capital that is applied against and reduces, but not below zero, a non-U.S. holders adjusted tax basis in shares of our common stock. Any excess will be treated as capital gain and will be subject to the treatment described below under Gain on Sale or Other Disposition of Common Stock. Any distributions will also be subject to the discussion below under Backup Withholding and Information Reporting and Foreign Account Tax Compliance Act. </w:t>
      </w:r>
    </w:p>
    <w:p>
      <w:pPr>
        <w:pStyle w:val="TextBody"/>
        <w:bidi w:val="0"/>
        <w:spacing w:before="240" w:after="0"/>
        <w:jc w:val="left"/>
        <w:rPr>
          <w:rFonts w:ascii="Times New Roman" w:hAnsi="Times New Roman"/>
          <w:sz w:val="20"/>
        </w:rPr>
      </w:pPr>
      <w:r>
        <w:rPr>
          <w:rFonts w:ascii="Times New Roman" w:hAnsi="Times New Roman"/>
          <w:sz w:val="20"/>
        </w:rPr>
        <w:t xml:space="preserve">Any dividend paid to a non-U.S. holder on our common stock that is not effectively connected with a non-U.S. holders conduct of a trade or business in the United States will generally be subject to U.S. withholding tax at a 30% rate. The withholding tax might apply at a reduced rate, however, under the terms of an applicable income tax treaty between the United States and the non-U.S. holders country of residence. You should consult your own tax advisors regarding your entitlement to benefits under a relevant income tax treaty. Generally, in order for us or our paying agent to withhold tax at a lower treaty rate, a non-U.S. holder must certify its entitlement to treaty benefits. A non-U.S. holder generally can meet this certification requirement by providing an IRS Form W-8BEN, W-8BEN-E or other appropriate IRS Form W-8 (or any successor or substitute form thereof) to us or our paying agent. If the non-U.S. holder holds the stock through a financial institution or other agent acting on the holders behalf, the holder will be required to provide appropriate documentation to the holders agent. The holders agent will then be required to provide certification to us or our paying agent, either directly or through other intermediaries. If you are eligible for a reduced rate of U.S. federal withholding tax under an income tax treaty, you may obtain a refund or credit of any excess amounts withheld by filing an appropriate claim for a refund with the IRS in a timely manner. </w:t>
      </w:r>
    </w:p>
    <w:p>
      <w:pPr>
        <w:pStyle w:val="TextBody"/>
        <w:bidi w:val="0"/>
        <w:spacing w:before="240" w:after="0"/>
        <w:jc w:val="left"/>
        <w:rPr>
          <w:rFonts w:ascii="Times New Roman" w:hAnsi="Times New Roman"/>
          <w:sz w:val="20"/>
        </w:rPr>
      </w:pPr>
      <w:r>
        <w:rPr>
          <w:rFonts w:ascii="Times New Roman" w:hAnsi="Times New Roman"/>
          <w:sz w:val="20"/>
        </w:rPr>
        <w:t xml:space="preserve">Dividends received by a non-U.S. holder that are effectively connected with a U.S. trade or business conducted by the non-U.S. holder, and if required by an applicable income tax treaty between the United States and the non-U.S. holders country of residence, are attributable to a permanent establishment maintained by the non-U.S. holder in the United States, are not subject to U.S. withholding tax. To obtain this exemption, a non-U.S. holder must provide us or our paying agent with an IRS Form W-8ECI properly certifying such exemption. Such effectively connected dividends, although not subject to withholding tax, are taxed at the same graduated rates applicable to U.S. persons, net of certain deductions and credits. In addition to being taxed at graduated tax rates, dividends received by a corporate non-U.S. holder that are effectively connected with a U.S. trade or business of the corporate non-U.S. holder may also be subject to a branch profits tax at a rate of 30% or such lower rate as may be specified by an applicable tax treaty. </w:t>
      </w:r>
    </w:p>
    <w:p>
      <w:pPr>
        <w:pStyle w:val="TextBody"/>
        <w:bidi w:val="0"/>
        <w:spacing w:before="240" w:after="0"/>
        <w:jc w:val="left"/>
        <w:rPr>
          <w:rFonts w:ascii="Times New Roman" w:hAnsi="Times New Roman"/>
          <w:b/>
          <w:sz w:val="20"/>
        </w:rPr>
      </w:pPr>
      <w:r>
        <w:rPr>
          <w:rFonts w:ascii="Times New Roman" w:hAnsi="Times New Roman"/>
          <w:b/>
          <w:sz w:val="20"/>
        </w:rPr>
        <w:t xml:space="preserve">Gain on Sale or Other Disposition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discussion below under Backup Withholding and Information Reporting and Foreign Account Tax Compliance Act, non-U.S. holders will generally not be subject to U.S. federal income tax on any gains realized on the sale, exchange or other disposition of our common stock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1"/>
        <w:gridCol w:w="8983"/>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 is effectively connected with the conduct by the non-U.S. holder of a U.S. trade or business and (ii) if required by an applicable income tax treaty between the United States and the non-U.S. holders country of residence, is attributable to a permanent establishment maintained by the non-U.S. holder in the United States (in which case the special rules described below apply);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an individual who is present in the United States for 183 days or more in the taxable year of the sale, exchange or other disposition of our common stock, and certain other requirements are met (in which case the gain would be subject to a flat 30% tax, or such reduced rate as may be specified by an applicable income tax treaty, which may be offset by U.S. source capital losses, even though the individual is not considered a resident of the United States);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rules of the Foreign Investment in Real Property Tax Act, or FIRPTA, treat the gain as effectively connected with a U.S. trade or business.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FIRPTA rules may apply to a sale, exchange or other disposition of our common stock if we are, or were within the shorter of the five-year period preceding the disposition and the non-U.S. holders holding period, a U.S. real property holding corporation, or USRPHC. In general, we would be a USRPHC if interests in U.S. real estate comprised at least half of the value of our business assets. We do not believe that we are a USRPHC and we do not anticipate becoming one in the future. Even if we are or were to become a USRPHC, gain arising from the sale or other taxable disposition by a non-U.S. holder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and the non-U.S. holders holding period. </w:t>
      </w:r>
    </w:p>
    <w:p>
      <w:pPr>
        <w:pStyle w:val="TextBody"/>
        <w:bidi w:val="0"/>
        <w:spacing w:before="240" w:after="0"/>
        <w:jc w:val="left"/>
        <w:rPr>
          <w:rFonts w:ascii="Times New Roman" w:hAnsi="Times New Roman"/>
          <w:sz w:val="20"/>
        </w:rPr>
      </w:pPr>
      <w:r>
        <w:rPr>
          <w:rFonts w:ascii="Times New Roman" w:hAnsi="Times New Roman"/>
          <w:sz w:val="20"/>
        </w:rPr>
        <w:t xml:space="preserve">If any gain from the sale, exchange or other disposition of our common stock, (i) is effectively connected with a U.S. trade or business conducted by a non-U.S. holder and (ii) if required by an applicable income tax treaty between the United States and the non-U.S. holders country of residence, is attributable to a permanent establishment maintained by such non-U.S. holder in the United States, then the gain generally will be subject to U.S. federal income tax at the same graduated rates applicable to U.S. persons, net of certain deductions and credits. If the non-U.S. holder is a corporation, under certain circumstances, that portion of its earnings and profits that is effectively connected with its U.S. trade or business, subject to certain adjustments, generally would be subject also to a branch profits tax at a rate of 30% or such lower rate as may be specified by an applicable income tax treaty. </w:t>
      </w:r>
    </w:p>
    <w:p>
      <w:pPr>
        <w:pStyle w:val="TextBody"/>
        <w:bidi w:val="0"/>
        <w:spacing w:before="240" w:after="0"/>
        <w:jc w:val="left"/>
        <w:rPr>
          <w:rFonts w:ascii="Times New Roman" w:hAnsi="Times New Roman"/>
          <w:b/>
          <w:sz w:val="20"/>
        </w:rPr>
      </w:pPr>
      <w:r>
        <w:rPr>
          <w:rFonts w:ascii="Times New Roman" w:hAnsi="Times New Roman"/>
          <w:b/>
          <w:sz w:val="20"/>
        </w:rPr>
        <w:t xml:space="preserve">Backup Withholding and Information Reporting </w:t>
      </w:r>
    </w:p>
    <w:p>
      <w:pPr>
        <w:pStyle w:val="TextBody"/>
        <w:bidi w:val="0"/>
        <w:spacing w:before="240" w:after="0"/>
        <w:jc w:val="left"/>
        <w:rPr>
          <w:rFonts w:ascii="Times New Roman" w:hAnsi="Times New Roman"/>
          <w:sz w:val="20"/>
        </w:rPr>
      </w:pPr>
      <w:r>
        <w:rPr>
          <w:rFonts w:ascii="Times New Roman" w:hAnsi="Times New Roman"/>
          <w:sz w:val="20"/>
        </w:rPr>
        <w:t xml:space="preserve">We must report annually to the IRS and to each non-U.S. holder the amount of dividends paid to, and the tax withheld with respect to, each non-U.S. holder. These reporting requirements apply regardless of whether withholding was reduced or eliminated by an applicable tax treaty. Copies of this information reporting may also be made available under the provisions of a specific tax treaty or agreement with the tax authorities in the country in which the non-U.S. holder resides or is established.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will generally be subject to backup withholding for dividends on our common stock paid to such holder unless such holder certifies under penalties of perjury that, among other things, it is a non-U.S. holder (and the payer does not have actual knowledge or reason to know that such holder is a U.S. person) or otherwise establishes an exemption. </w:t>
      </w:r>
    </w:p>
    <w:p>
      <w:pPr>
        <w:pStyle w:val="TextBody"/>
        <w:bidi w:val="0"/>
        <w:spacing w:before="240" w:after="0"/>
        <w:jc w:val="left"/>
        <w:rPr>
          <w:rFonts w:ascii="Times New Roman" w:hAnsi="Times New Roman"/>
          <w:sz w:val="20"/>
        </w:rPr>
      </w:pPr>
      <w:r>
        <w:rPr>
          <w:rFonts w:ascii="Times New Roman" w:hAnsi="Times New Roman"/>
          <w:sz w:val="20"/>
        </w:rPr>
        <w:t xml:space="preserve">Information reporting and backup withholding generally are not required with respect to the amount of any proceeds from the sale or other disposition of our common stock by a non-U.S. holder outside the United States through a foreign office of a foreign broker that does not have certain specified connections to the United States. However, if a non-U.S. holder sells or otherwise disposes of its shares of common stock through a U.S. broker or the U.S. offices of a foreign broker, the broker will generally be required to report the amount of proceeds paid to the non-U.S. holder to the IRS and impose backup withholding on that amount unless such non-U.S. holder provides appropriate certification to the broker of its status as a non-U.S. holder (and the payer does not have actual knowledge or reason to know that such holder is a U.S. person) or otherwise establishes an exemption.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income tax. Any amounts withheld under the backup withholding rules from a payment to a non-U.S. holder generally can be credited against the non-U.S. holders U.S. federal income tax liability, if any, or refunded, provided that the required information is furnished to the IRS in a timely manner. Non-U.S. holders should consult their tax advisors regarding the application of the information reporting and backup withholding rules to them. </w:t>
      </w:r>
    </w:p>
    <w:p>
      <w:pPr>
        <w:pStyle w:val="TextBody"/>
        <w:bidi w:val="0"/>
        <w:spacing w:before="240" w:after="0"/>
        <w:jc w:val="left"/>
        <w:rPr>
          <w:rFonts w:ascii="Times New Roman" w:hAnsi="Times New Roman"/>
          <w:b/>
          <w:sz w:val="20"/>
        </w:rPr>
      </w:pPr>
      <w:r>
        <w:rPr>
          <w:rFonts w:ascii="Times New Roman" w:hAnsi="Times New Roman"/>
          <w:b/>
          <w:sz w:val="20"/>
        </w:rPr>
        <w:t xml:space="preserve">Foreign Account Tax Compliance Act </w:t>
      </w:r>
    </w:p>
    <w:p>
      <w:pPr>
        <w:pStyle w:val="TextBody"/>
        <w:bidi w:val="0"/>
        <w:spacing w:before="240" w:after="0"/>
        <w:jc w:val="left"/>
        <w:rPr>
          <w:rFonts w:ascii="Times New Roman" w:hAnsi="Times New Roman"/>
          <w:sz w:val="20"/>
        </w:rPr>
      </w:pPr>
      <w:r>
        <w:rPr>
          <w:rFonts w:ascii="Times New Roman" w:hAnsi="Times New Roman"/>
          <w:sz w:val="20"/>
        </w:rPr>
        <w:t xml:space="preserve">Under the Foreign Account Tax Compliance Act, or FATCA, withholding tax of 30% applies to certain payments to foreign financial institutions, investment funds and certain other non-U.S. persons that fail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comply with certain information reporting and certification requirements pertaining to their direct and indirect U.S. securityholders and/or U.S. accountholders and do not otherwise qualify for an exemption. Under applicable Treasury Regulations and IRS guidance, this withholding currently applies to payments of dividends, if any, on, and, subject to the proposed Treasury Regulations discussed below, gross proceeds from the sale or other disposition of, our common stock. An intergovernmental agreement between the United States and a foreign country may modify the requirements described in this paragraph. </w:t>
      </w:r>
    </w:p>
    <w:p>
      <w:pPr>
        <w:pStyle w:val="TextBody"/>
        <w:bidi w:val="0"/>
        <w:spacing w:before="240" w:after="0"/>
        <w:jc w:val="left"/>
        <w:rPr>
          <w:rFonts w:ascii="Times New Roman" w:hAnsi="Times New Roman"/>
          <w:sz w:val="20"/>
        </w:rPr>
      </w:pPr>
      <w:r>
        <w:rPr>
          <w:rFonts w:ascii="Times New Roman" w:hAnsi="Times New Roman"/>
          <w:sz w:val="20"/>
        </w:rPr>
        <w:t xml:space="preserve">While, beginning on January 1, 2019, withholding under FATCA would have applied also to payments of gross proceeds from the sale or other disposition of our common stock, proposed Treasury Regulations eliminate FATCA withholding on payments of gross proceeds entirely. Taxpayers generally may rely on these proposed Treasury Regulations until final Treasury Regulations are issued. </w:t>
      </w:r>
    </w:p>
    <w:p>
      <w:pPr>
        <w:pStyle w:val="TextBody"/>
        <w:bidi w:val="0"/>
        <w:spacing w:before="240" w:after="0"/>
        <w:jc w:val="left"/>
        <w:rPr>
          <w:rFonts w:ascii="Times New Roman" w:hAnsi="Times New Roman"/>
          <w:sz w:val="20"/>
        </w:rPr>
      </w:pPr>
      <w:r>
        <w:rPr>
          <w:rFonts w:ascii="Times New Roman" w:hAnsi="Times New Roman"/>
          <w:sz w:val="20"/>
        </w:rPr>
        <w:t xml:space="preserve">Prospective investors are encouraged to consult with their own tax advisors regarding the possible implications of FATCA on their investment in our common stock. </w:t>
      </w:r>
    </w:p>
    <w:p>
      <w:pPr>
        <w:pStyle w:val="TextBody"/>
        <w:bidi w:val="0"/>
        <w:spacing w:before="240" w:after="0"/>
        <w:jc w:val="left"/>
        <w:rPr>
          <w:rFonts w:ascii="Times New Roman" w:hAnsi="Times New Roman"/>
          <w:b/>
          <w:sz w:val="20"/>
        </w:rPr>
      </w:pPr>
      <w:r>
        <w:rPr>
          <w:rFonts w:ascii="Times New Roman" w:hAnsi="Times New Roman"/>
          <w:b/>
          <w:sz w:val="20"/>
        </w:rPr>
        <w:t xml:space="preserve">Federal Estate Tax </w:t>
      </w:r>
    </w:p>
    <w:p>
      <w:pPr>
        <w:pStyle w:val="TextBody"/>
        <w:bidi w:val="0"/>
        <w:spacing w:before="240" w:after="0"/>
        <w:jc w:val="left"/>
        <w:rPr>
          <w:rFonts w:ascii="Times New Roman" w:hAnsi="Times New Roman"/>
          <w:sz w:val="20"/>
        </w:rPr>
      </w:pPr>
      <w:r>
        <w:rPr>
          <w:rFonts w:ascii="Times New Roman" w:hAnsi="Times New Roman"/>
          <w:sz w:val="20"/>
        </w:rPr>
        <w:t xml:space="preserve">Common stock we have issued that is owned (or treated as owned) by an individual who is not a citizen or a resident of the United States (as defined for U.S. federal estate tax purposes) at the time of death will be included in the individuals gross estate for U.S. federal estate tax purposes unless an applicable estate or other tax treaty provides otherwise, and therefore may be subject to U.S. federal estate tax. </w:t>
      </w:r>
    </w:p>
    <w:p>
      <w:pPr>
        <w:pStyle w:val="TextBody"/>
        <w:bidi w:val="0"/>
        <w:spacing w:before="240" w:after="0"/>
        <w:jc w:val="left"/>
        <w:rPr>
          <w:rFonts w:ascii="Times New Roman" w:hAnsi="Times New Roman"/>
          <w:b/>
          <w:sz w:val="20"/>
        </w:rPr>
      </w:pPr>
      <w:r>
        <w:rPr>
          <w:rFonts w:ascii="Times New Roman" w:hAnsi="Times New Roman"/>
          <w:b/>
          <w:sz w:val="20"/>
        </w:rPr>
        <w:t xml:space="preserve">PROSPECTIVE INVESTORS SHOULD CONSULT THEIR OWN TAX ADVISORS REGARDING THE POTENTIAL APPLICATION OF WITHHOLDING UNDER FATCA TO THEIR INVESTMENT IN OUR COMMON STOCK. THE PRECEDING DISCUSSION OF U.S. FEDERAL TAX CONSIDERATIONS IS FOR GENERAL INFORMATION PURPOSES ONLY. IT IS NOT TAX ADVICE. EACH PROSPECTIVE INVESTOR SHOULD CONSULT ITS OWN TAX ADVISOR REGARDING THE PARTICULAR U.S. FEDERAL, GIFT, ESTATE, STATE, LOCAL, AND NON-U.S. TAX CONSEQUENCES OF PURCHASING, HOLDING, AND DISPOSING OF OUR COMMON STOCK, INCLUDING THE CONSEQUENCES OF ANY PROPOSED CHANGE IN APPLICABLE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0" w:name="supptoc538323_7"/>
      <w:bookmarkEnd w:id="10"/>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We and the underwriters named below have entered into an underwriting agreement with respect to the shares being offered. Subject to certain conditions, each underwriter has severally agreed to purchase the number of shares indicated in the following table. Goldman Sachs &amp; Co. LLC, BofA Securities, Inc. and Guggenheim Securities, LLC are the representatives of the underwriters. </w:t>
      </w:r>
    </w:p>
    <w:p>
      <w:pPr>
        <w:pStyle w:val="TextBody"/>
        <w:bidi w:val="0"/>
        <w:spacing w:before="0" w:after="0"/>
        <w:jc w:val="left"/>
        <w:rPr/>
      </w:pPr>
      <w:r>
        <w:rPr/>
        <w:t> </w:t>
      </w:r>
    </w:p>
    <w:tbl>
      <w:tblPr>
        <w:tblW w:w="4250" w:type="pct"/>
        <w:jc w:val="center"/>
        <w:tblInd w:w="0" w:type="dxa"/>
        <w:tblLayout w:type="fixed"/>
        <w:tblCellMar>
          <w:top w:w="0" w:type="dxa"/>
          <w:left w:w="0" w:type="dxa"/>
          <w:bottom w:w="0" w:type="dxa"/>
          <w:right w:w="0" w:type="dxa"/>
        </w:tblCellMar>
      </w:tblPr>
      <w:tblGrid>
        <w:gridCol w:w="6571"/>
        <w:gridCol w:w="698"/>
        <w:gridCol w:w="76"/>
        <w:gridCol w:w="1267"/>
        <w:gridCol w:w="62"/>
      </w:tblGrid>
      <w:tr>
        <w:trPr/>
        <w:tc>
          <w:tcPr>
            <w:tcW w:w="6571" w:type="dxa"/>
            <w:tcBorders/>
            <w:vAlign w:val="center"/>
          </w:tcPr>
          <w:p>
            <w:pPr>
              <w:pStyle w:val="TableContents"/>
              <w:bidi w:val="0"/>
              <w:spacing w:before="0" w:after="283"/>
              <w:jc w:val="left"/>
              <w:rPr>
                <w:sz w:val="4"/>
                <w:szCs w:val="4"/>
              </w:rPr>
            </w:pPr>
            <w:r>
              <w:rPr>
                <w:sz w:val="4"/>
                <w:szCs w:val="4"/>
              </w:rPr>
            </w:r>
          </w:p>
        </w:tc>
        <w:tc>
          <w:tcPr>
            <w:tcW w:w="698"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6571" w:type="dxa"/>
            <w:tcBorders/>
            <w:vAlign w:val="bottom"/>
          </w:tcPr>
          <w:p>
            <w:pPr>
              <w:pStyle w:val="TableContents"/>
              <w:pBdr>
                <w:bottom w:val="single" w:sz="2" w:space="1" w:color="000000"/>
              </w:pBdr>
              <w:bidi w:val="0"/>
              <w:spacing w:before="0" w:after="0"/>
              <w:jc w:val="left"/>
              <w:rPr>
                <w:rFonts w:ascii="Times New Roman" w:hAnsi="Times New Roman"/>
                <w:b/>
                <w:sz w:val="16"/>
              </w:rPr>
            </w:pPr>
            <w:r>
              <w:rPr>
                <w:rFonts w:ascii="Times New Roman" w:hAnsi="Times New Roman"/>
                <w:b/>
                <w:sz w:val="16"/>
              </w:rPr>
              <w:t>Underwriter</w:t>
            </w:r>
          </w:p>
        </w:tc>
        <w:tc>
          <w:tcPr>
            <w:tcW w:w="698" w:type="dxa"/>
            <w:tcBorders/>
            <w:vAlign w:val="bottom"/>
          </w:tcPr>
          <w:p>
            <w:pPr>
              <w:pStyle w:val="TableContents"/>
              <w:bidi w:val="0"/>
              <w:spacing w:before="0" w:after="283"/>
              <w:jc w:val="left"/>
              <w:rPr/>
            </w:pPr>
            <w:r>
              <w:rPr/>
              <w:t>  </w:t>
            </w:r>
          </w:p>
        </w:tc>
        <w:tc>
          <w:tcPr>
            <w:tcW w:w="1343" w:type="dxa"/>
            <w:gridSpan w:val="2"/>
            <w:tcBorders/>
            <w:vAlign w:val="bottom"/>
          </w:tcPr>
          <w:p>
            <w:pPr>
              <w:pStyle w:val="TableContents"/>
              <w:pBdr>
                <w:bottom w:val="single" w:sz="2" w:space="1" w:color="000000"/>
              </w:pBdr>
              <w:bidi w:val="0"/>
              <w:spacing w:before="0" w:after="0"/>
              <w:jc w:val="center"/>
              <w:rPr>
                <w:rFonts w:ascii="Times New Roman" w:hAnsi="Times New Roman"/>
                <w:b/>
                <w:sz w:val="16"/>
              </w:rPr>
            </w:pPr>
            <w:r>
              <w:rPr>
                <w:rFonts w:ascii="Times New Roman" w:hAnsi="Times New Roman"/>
                <w:b/>
                <w:sz w:val="16"/>
              </w:rPr>
              <w:t>Number of Shares</w:t>
            </w:r>
          </w:p>
        </w:tc>
        <w:tc>
          <w:tcPr>
            <w:tcW w:w="62" w:type="dxa"/>
            <w:tcBorders/>
            <w:vAlign w:val="bottom"/>
          </w:tcPr>
          <w:p>
            <w:pPr>
              <w:pStyle w:val="TableContents"/>
              <w:bidi w:val="0"/>
              <w:spacing w:before="0" w:after="283"/>
              <w:jc w:val="left"/>
              <w:rPr/>
            </w:pPr>
            <w:r>
              <w:rPr/>
              <w:t> </w:t>
            </w:r>
          </w:p>
        </w:tc>
      </w:tr>
      <w:tr>
        <w:trPr/>
        <w:tc>
          <w:tcPr>
            <w:tcW w:w="65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Goldman Sachs &amp; Co. LLC.</w:t>
            </w:r>
          </w:p>
        </w:tc>
        <w:tc>
          <w:tcPr>
            <w:tcW w:w="698"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267" w:type="dxa"/>
            <w:tcBorders/>
            <w:shd w:fill="CCEEFF" w:val="clear"/>
            <w:vAlign w:val="bottom"/>
          </w:tcPr>
          <w:p>
            <w:pPr>
              <w:pStyle w:val="TableContents"/>
              <w:bidi w:val="0"/>
              <w:spacing w:before="0" w:after="283"/>
              <w:jc w:val="right"/>
              <w:rPr/>
            </w:pPr>
            <w:r>
              <w:rPr/>
              <w:t>2,371,428</w:t>
            </w:r>
          </w:p>
        </w:tc>
        <w:tc>
          <w:tcPr>
            <w:tcW w:w="62" w:type="dxa"/>
            <w:tcBorders/>
            <w:shd w:fill="CCEEFF" w:val="clear"/>
            <w:vAlign w:val="bottom"/>
          </w:tcPr>
          <w:p>
            <w:pPr>
              <w:pStyle w:val="TableContents"/>
              <w:bidi w:val="0"/>
              <w:spacing w:before="0" w:after="283"/>
              <w:jc w:val="left"/>
              <w:rPr/>
            </w:pPr>
            <w:r>
              <w:rPr/>
              <w:t> </w:t>
            </w:r>
          </w:p>
        </w:tc>
      </w:tr>
      <w:tr>
        <w:trPr/>
        <w:tc>
          <w:tcPr>
            <w:tcW w:w="6571" w:type="dxa"/>
            <w:tcBorders/>
          </w:tcPr>
          <w:p>
            <w:pPr>
              <w:pStyle w:val="TableContents"/>
              <w:bidi w:val="0"/>
              <w:spacing w:before="0" w:after="0"/>
              <w:jc w:val="left"/>
              <w:rPr>
                <w:rFonts w:ascii="Times New Roman" w:hAnsi="Times New Roman"/>
                <w:sz w:val="20"/>
              </w:rPr>
            </w:pPr>
            <w:r>
              <w:rPr>
                <w:rFonts w:ascii="Times New Roman" w:hAnsi="Times New Roman"/>
                <w:sz w:val="20"/>
              </w:rPr>
              <w:t>BofA Securities, Inc.</w:t>
            </w:r>
          </w:p>
        </w:tc>
        <w:tc>
          <w:tcPr>
            <w:tcW w:w="698"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267" w:type="dxa"/>
            <w:tcBorders/>
            <w:vAlign w:val="bottom"/>
          </w:tcPr>
          <w:p>
            <w:pPr>
              <w:pStyle w:val="TableContents"/>
              <w:bidi w:val="0"/>
              <w:spacing w:before="0" w:after="283"/>
              <w:jc w:val="right"/>
              <w:rPr/>
            </w:pPr>
            <w:r>
              <w:rPr/>
              <w:t>1,685,714</w:t>
            </w:r>
          </w:p>
        </w:tc>
        <w:tc>
          <w:tcPr>
            <w:tcW w:w="62" w:type="dxa"/>
            <w:tcBorders/>
            <w:vAlign w:val="bottom"/>
          </w:tcPr>
          <w:p>
            <w:pPr>
              <w:pStyle w:val="TableContents"/>
              <w:bidi w:val="0"/>
              <w:spacing w:before="0" w:after="283"/>
              <w:jc w:val="left"/>
              <w:rPr/>
            </w:pPr>
            <w:r>
              <w:rPr/>
              <w:t> </w:t>
            </w:r>
          </w:p>
        </w:tc>
      </w:tr>
      <w:tr>
        <w:trPr/>
        <w:tc>
          <w:tcPr>
            <w:tcW w:w="65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Guggenheim Securities, LLC</w:t>
            </w:r>
          </w:p>
        </w:tc>
        <w:tc>
          <w:tcPr>
            <w:tcW w:w="698"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267" w:type="dxa"/>
            <w:tcBorders/>
            <w:shd w:fill="CCEEFF" w:val="clear"/>
            <w:vAlign w:val="bottom"/>
          </w:tcPr>
          <w:p>
            <w:pPr>
              <w:pStyle w:val="TableContents"/>
              <w:bidi w:val="0"/>
              <w:spacing w:before="0" w:after="283"/>
              <w:jc w:val="right"/>
              <w:rPr/>
            </w:pPr>
            <w:r>
              <w:rPr/>
              <w:t>1,142,857</w:t>
            </w:r>
          </w:p>
        </w:tc>
        <w:tc>
          <w:tcPr>
            <w:tcW w:w="62" w:type="dxa"/>
            <w:tcBorders/>
            <w:shd w:fill="CCEEFF" w:val="clear"/>
            <w:vAlign w:val="bottom"/>
          </w:tcPr>
          <w:p>
            <w:pPr>
              <w:pStyle w:val="TableContents"/>
              <w:bidi w:val="0"/>
              <w:spacing w:before="0" w:after="283"/>
              <w:jc w:val="left"/>
              <w:rPr/>
            </w:pPr>
            <w:r>
              <w:rPr/>
              <w:t> </w:t>
            </w:r>
          </w:p>
        </w:tc>
      </w:tr>
      <w:tr>
        <w:trPr/>
        <w:tc>
          <w:tcPr>
            <w:tcW w:w="6571" w:type="dxa"/>
            <w:tcBorders/>
          </w:tcPr>
          <w:p>
            <w:pPr>
              <w:pStyle w:val="TableContents"/>
              <w:bidi w:val="0"/>
              <w:spacing w:before="0" w:after="0"/>
              <w:jc w:val="left"/>
              <w:rPr>
                <w:rFonts w:ascii="Times New Roman" w:hAnsi="Times New Roman"/>
                <w:sz w:val="20"/>
              </w:rPr>
            </w:pPr>
            <w:r>
              <w:rPr>
                <w:rFonts w:ascii="Times New Roman" w:hAnsi="Times New Roman"/>
                <w:sz w:val="20"/>
              </w:rPr>
              <w:t>Oppenheimer &amp; Co. Inc.</w:t>
            </w:r>
          </w:p>
        </w:tc>
        <w:tc>
          <w:tcPr>
            <w:tcW w:w="698"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267" w:type="dxa"/>
            <w:tcBorders/>
            <w:vAlign w:val="bottom"/>
          </w:tcPr>
          <w:p>
            <w:pPr>
              <w:pStyle w:val="TableContents"/>
              <w:bidi w:val="0"/>
              <w:spacing w:before="0" w:after="283"/>
              <w:jc w:val="right"/>
              <w:rPr/>
            </w:pPr>
            <w:r>
              <w:rPr/>
              <w:t>514,286</w:t>
            </w:r>
          </w:p>
        </w:tc>
        <w:tc>
          <w:tcPr>
            <w:tcW w:w="62" w:type="dxa"/>
            <w:tcBorders/>
            <w:vAlign w:val="bottom"/>
          </w:tcPr>
          <w:p>
            <w:pPr>
              <w:pStyle w:val="TableContents"/>
              <w:bidi w:val="0"/>
              <w:spacing w:before="0" w:after="283"/>
              <w:jc w:val="left"/>
              <w:rPr/>
            </w:pPr>
            <w:r>
              <w:rPr/>
              <w:t> </w:t>
            </w:r>
          </w:p>
        </w:tc>
      </w:tr>
      <w:tr>
        <w:trPr/>
        <w:tc>
          <w:tcPr>
            <w:tcW w:w="6571" w:type="dxa"/>
            <w:tcBorders/>
            <w:vAlign w:val="bottom"/>
          </w:tcPr>
          <w:p>
            <w:pPr>
              <w:pStyle w:val="TableContents"/>
              <w:bidi w:val="0"/>
              <w:spacing w:before="0" w:after="283"/>
              <w:jc w:val="left"/>
              <w:rPr>
                <w:sz w:val="4"/>
                <w:szCs w:val="4"/>
              </w:rPr>
            </w:pPr>
            <w:r>
              <w:rPr>
                <w:sz w:val="4"/>
                <w:szCs w:val="4"/>
              </w:rPr>
            </w:r>
          </w:p>
        </w:tc>
        <w:tc>
          <w:tcPr>
            <w:tcW w:w="698"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267"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65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698"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267" w:type="dxa"/>
            <w:tcBorders/>
            <w:shd w:fill="CCEEFF" w:val="clear"/>
            <w:vAlign w:val="bottom"/>
          </w:tcPr>
          <w:p>
            <w:pPr>
              <w:pStyle w:val="TableContents"/>
              <w:bidi w:val="0"/>
              <w:spacing w:before="0" w:after="283"/>
              <w:jc w:val="right"/>
              <w:rPr/>
            </w:pPr>
            <w:r>
              <w:rPr/>
              <w:t>5,714,285</w:t>
            </w:r>
          </w:p>
        </w:tc>
        <w:tc>
          <w:tcPr>
            <w:tcW w:w="62" w:type="dxa"/>
            <w:tcBorders/>
            <w:shd w:fill="CCEEFF" w:val="clear"/>
            <w:vAlign w:val="bottom"/>
          </w:tcPr>
          <w:p>
            <w:pPr>
              <w:pStyle w:val="TableContents"/>
              <w:bidi w:val="0"/>
              <w:spacing w:before="0" w:after="283"/>
              <w:jc w:val="left"/>
              <w:rPr/>
            </w:pPr>
            <w:r>
              <w:rPr/>
              <w:t> </w:t>
            </w:r>
          </w:p>
        </w:tc>
      </w:tr>
      <w:tr>
        <w:trPr/>
        <w:tc>
          <w:tcPr>
            <w:tcW w:w="6571" w:type="dxa"/>
            <w:tcBorders/>
            <w:vAlign w:val="bottom"/>
          </w:tcPr>
          <w:p>
            <w:pPr>
              <w:pStyle w:val="TableContents"/>
              <w:bidi w:val="0"/>
              <w:spacing w:before="0" w:after="283"/>
              <w:jc w:val="left"/>
              <w:rPr>
                <w:sz w:val="4"/>
                <w:szCs w:val="4"/>
              </w:rPr>
            </w:pPr>
            <w:r>
              <w:rPr>
                <w:sz w:val="4"/>
                <w:szCs w:val="4"/>
              </w:rPr>
            </w:r>
          </w:p>
        </w:tc>
        <w:tc>
          <w:tcPr>
            <w:tcW w:w="698"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double" w:sz="6" w:space="1" w:color="000000"/>
              </w:pBdr>
              <w:bidi w:val="0"/>
              <w:spacing w:before="0" w:after="0"/>
              <w:jc w:val="left"/>
              <w:rPr/>
            </w:pPr>
            <w:r>
              <w:rPr/>
              <w:t> </w:t>
            </w:r>
          </w:p>
        </w:tc>
        <w:tc>
          <w:tcPr>
            <w:tcW w:w="1267"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underwriters are committed to take and pay for all of the shares being offered, if any are taken, other than the shares covered by the option described below unless and until this option is exercised.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have an option to buy up to an additional 857,142 shares from us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the per share and total underwriting discounts and commissions to be paid to the underwriters by us. Such amounts are shown assuming both no exercise and full exercise of the underwriters option to purchase up to 857,142 additional shares from us. </w:t>
      </w:r>
    </w:p>
    <w:p>
      <w:pPr>
        <w:pStyle w:val="TextBody"/>
        <w:bidi w:val="0"/>
        <w:spacing w:before="0" w:after="0"/>
        <w:jc w:val="left"/>
        <w:rPr/>
      </w:pPr>
      <w:r>
        <w:rPr/>
        <w:t> </w:t>
      </w:r>
    </w:p>
    <w:tbl>
      <w:tblPr>
        <w:tblW w:w="2750" w:type="pct"/>
        <w:jc w:val="center"/>
        <w:tblInd w:w="0" w:type="dxa"/>
        <w:tblLayout w:type="fixed"/>
        <w:tblCellMar>
          <w:top w:w="0" w:type="dxa"/>
          <w:left w:w="0" w:type="dxa"/>
          <w:bottom w:w="0" w:type="dxa"/>
          <w:right w:w="0" w:type="dxa"/>
        </w:tblCellMar>
      </w:tblPr>
      <w:tblGrid>
        <w:gridCol w:w="1904"/>
        <w:gridCol w:w="332"/>
        <w:gridCol w:w="156"/>
        <w:gridCol w:w="1245"/>
        <w:gridCol w:w="60"/>
        <w:gridCol w:w="332"/>
        <w:gridCol w:w="167"/>
        <w:gridCol w:w="1351"/>
        <w:gridCol w:w="65"/>
      </w:tblGrid>
      <w:tr>
        <w:trPr/>
        <w:tc>
          <w:tcPr>
            <w:tcW w:w="1904" w:type="dxa"/>
            <w:tcBorders/>
            <w:vAlign w:val="center"/>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1904"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401" w:type="dxa"/>
            <w:gridSpan w:val="2"/>
            <w:tcBorders>
              <w:bottom w:val="single" w:sz="2" w:space="0" w:color="000000"/>
            </w:tcBorders>
            <w:tcMar>
              <w:bottom w:w="28" w:type="dxa"/>
            </w:tcMar>
            <w:vAlign w:val="bottom"/>
          </w:tcPr>
          <w:p>
            <w:pPr>
              <w:pStyle w:val="TableContents"/>
              <w:bidi w:val="0"/>
              <w:spacing w:before="0" w:after="283"/>
              <w:jc w:val="center"/>
              <w:rPr>
                <w:b/>
              </w:rPr>
            </w:pPr>
            <w:r>
              <w:rPr>
                <w:b/>
              </w:rPr>
              <w:t>No Exercise</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518" w:type="dxa"/>
            <w:gridSpan w:val="2"/>
            <w:tcBorders>
              <w:bottom w:val="single" w:sz="2" w:space="0" w:color="000000"/>
            </w:tcBorders>
            <w:tcMar>
              <w:bottom w:w="28" w:type="dxa"/>
            </w:tcMar>
            <w:vAlign w:val="bottom"/>
          </w:tcPr>
          <w:p>
            <w:pPr>
              <w:pStyle w:val="TableContents"/>
              <w:bidi w:val="0"/>
              <w:spacing w:before="0" w:after="283"/>
              <w:jc w:val="center"/>
              <w:rPr>
                <w:b/>
              </w:rPr>
            </w:pPr>
            <w:r>
              <w:rPr>
                <w:b/>
              </w:rPr>
              <w:t>Full Exercise</w:t>
            </w:r>
          </w:p>
        </w:tc>
        <w:tc>
          <w:tcPr>
            <w:tcW w:w="65" w:type="dxa"/>
            <w:tcBorders/>
            <w:vAlign w:val="bottom"/>
          </w:tcPr>
          <w:p>
            <w:pPr>
              <w:pStyle w:val="TableContents"/>
              <w:bidi w:val="0"/>
              <w:spacing w:before="0" w:after="283"/>
              <w:jc w:val="left"/>
              <w:rPr/>
            </w:pPr>
            <w:r>
              <w:rPr/>
              <w:t> </w:t>
            </w:r>
          </w:p>
        </w:tc>
      </w:tr>
      <w:tr>
        <w:trPr/>
        <w:tc>
          <w:tcPr>
            <w:tcW w:w="19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Share</w:t>
            </w:r>
          </w:p>
        </w:tc>
        <w:tc>
          <w:tcPr>
            <w:tcW w:w="332"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1245" w:type="dxa"/>
            <w:tcBorders/>
            <w:shd w:fill="CCEEFF" w:val="clear"/>
            <w:vAlign w:val="bottom"/>
          </w:tcPr>
          <w:p>
            <w:pPr>
              <w:pStyle w:val="TableContents"/>
              <w:bidi w:val="0"/>
              <w:spacing w:before="0" w:after="283"/>
              <w:jc w:val="right"/>
              <w:rPr/>
            </w:pPr>
            <w:r>
              <w:rPr/>
              <w:t>1.05</w:t>
            </w:r>
          </w:p>
        </w:tc>
        <w:tc>
          <w:tcPr>
            <w:tcW w:w="6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1351" w:type="dxa"/>
            <w:tcBorders/>
            <w:shd w:fill="CCEEFF" w:val="clear"/>
            <w:vAlign w:val="bottom"/>
          </w:tcPr>
          <w:p>
            <w:pPr>
              <w:pStyle w:val="TableContents"/>
              <w:bidi w:val="0"/>
              <w:spacing w:before="0" w:after="283"/>
              <w:jc w:val="right"/>
              <w:rPr/>
            </w:pPr>
            <w:r>
              <w:rPr/>
              <w:t>1.05</w:t>
            </w:r>
          </w:p>
        </w:tc>
        <w:tc>
          <w:tcPr>
            <w:tcW w:w="65" w:type="dxa"/>
            <w:tcBorders/>
            <w:shd w:fill="CCEEFF" w:val="clear"/>
            <w:vAlign w:val="bottom"/>
          </w:tcPr>
          <w:p>
            <w:pPr>
              <w:pStyle w:val="TableContents"/>
              <w:bidi w:val="0"/>
              <w:spacing w:before="0" w:after="283"/>
              <w:jc w:val="left"/>
              <w:rPr/>
            </w:pPr>
            <w:r>
              <w:rPr/>
              <w:t> </w:t>
            </w:r>
          </w:p>
        </w:tc>
      </w:tr>
      <w:tr>
        <w:trPr/>
        <w:tc>
          <w:tcPr>
            <w:tcW w:w="1904"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32"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1245" w:type="dxa"/>
            <w:tcBorders/>
            <w:vAlign w:val="bottom"/>
          </w:tcPr>
          <w:p>
            <w:pPr>
              <w:pStyle w:val="TableContents"/>
              <w:bidi w:val="0"/>
              <w:spacing w:before="0" w:after="283"/>
              <w:jc w:val="right"/>
              <w:rPr/>
            </w:pPr>
            <w:r>
              <w:rPr/>
              <w:t>5,999,999</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w:t>
            </w:r>
          </w:p>
        </w:tc>
        <w:tc>
          <w:tcPr>
            <w:tcW w:w="1351" w:type="dxa"/>
            <w:tcBorders/>
            <w:vAlign w:val="bottom"/>
          </w:tcPr>
          <w:p>
            <w:pPr>
              <w:pStyle w:val="TableContents"/>
              <w:bidi w:val="0"/>
              <w:spacing w:before="0" w:after="283"/>
              <w:jc w:val="right"/>
              <w:rPr/>
            </w:pPr>
            <w:r>
              <w:rPr/>
              <w:t>6,899,998</w:t>
            </w:r>
          </w:p>
        </w:tc>
        <w:tc>
          <w:tcPr>
            <w:tcW w:w="65"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Shares sold by the underwriters to the public will initially be offered at the public offering price set forth on the cover of this prospectus supplement. Any shares sold by the underwriters to securities dealers may be sold at a discount of up to $0.63 per share from the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 </w:t>
      </w:r>
    </w:p>
    <w:p>
      <w:pPr>
        <w:pStyle w:val="TextBody"/>
        <w:bidi w:val="0"/>
        <w:spacing w:before="240" w:after="0"/>
        <w:jc w:val="left"/>
        <w:rPr>
          <w:rFonts w:ascii="Times New Roman" w:hAnsi="Times New Roman"/>
          <w:sz w:val="20"/>
        </w:rPr>
      </w:pPr>
      <w:r>
        <w:rPr>
          <w:rFonts w:ascii="Times New Roman" w:hAnsi="Times New Roman"/>
          <w:sz w:val="20"/>
        </w:rPr>
        <w:t xml:space="preserve">We and our executive officers, directors, and certain other stockholders have agreed or will agree with the underwriters, among other things and subject to certain exceptions, not to dispose of or hedge any of our or their common stock or securities convertible into or exchangeable for shares of common stock during the period from the date of this prospectus supplement continuing through the date 90 days after the date of this prospectus supplement, or the Lock-Up Period, except with the prior written consent of Goldman Sachs &amp; Co. LLC, BofA Securities, Inc. and Guggenheim Securities, LLC. This agreement does not apply to any existing employee benefit plans. </w:t>
      </w:r>
    </w:p>
    <w:p>
      <w:pPr>
        <w:pStyle w:val="TextBody"/>
        <w:bidi w:val="0"/>
        <w:spacing w:before="240" w:after="0"/>
        <w:jc w:val="left"/>
        <w:rPr>
          <w:rFonts w:ascii="Times New Roman" w:hAnsi="Times New Roman"/>
          <w:sz w:val="20"/>
        </w:rPr>
      </w:pPr>
      <w:r>
        <w:rPr>
          <w:rFonts w:ascii="Times New Roman" w:hAnsi="Times New Roman"/>
          <w:sz w:val="20"/>
        </w:rPr>
        <w:t xml:space="preserve">The restrictions described in the immediately preceding paragraph do not apply to us with respect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408"/>
        <w:gridCol w:w="8981"/>
      </w:tblGrid>
      <w:tr>
        <w:trPr/>
        <w:tc>
          <w:tcPr>
            <w:tcW w:w="8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9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sold in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408"/>
        <w:gridCol w:w="8982"/>
      </w:tblGrid>
      <w:tr>
        <w:trPr/>
        <w:tc>
          <w:tcPr>
            <w:tcW w:w="815"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shares of common stock issued by us upon the exercise of an option or warrant or the conversion of a security, in each case, outstanding on the date of this prospectus and referred to herein;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816"/>
        <w:gridCol w:w="408"/>
        <w:gridCol w:w="8981"/>
      </w:tblGrid>
      <w:tr>
        <w:trPr/>
        <w:tc>
          <w:tcPr>
            <w:tcW w:w="8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9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reacquisition or withholding of all or a portion of shares of common stock subject to a stock award to satisfy a tax withholding obligation of us in connection with the vesting or exercise of such stock award or to satisfy the purchase price or exercise price of such stock award;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408"/>
        <w:gridCol w:w="8982"/>
      </w:tblGrid>
      <w:tr>
        <w:trPr/>
        <w:tc>
          <w:tcPr>
            <w:tcW w:w="815"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grant of compensatory equity-based awards, and/or the issuance of shares of common stock with respect thereto, made pursuant to compensatory equity-based plans referred to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408"/>
        <w:gridCol w:w="8981"/>
      </w:tblGrid>
      <w:tr>
        <w:trPr/>
        <w:tc>
          <w:tcPr>
            <w:tcW w:w="8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w:t>
            </w:r>
          </w:p>
        </w:tc>
        <w:tc>
          <w:tcPr>
            <w:tcW w:w="89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shares of common stock issued pursuant to any non-employee director compensation plan or program or dividend reinvestment plan referred to in the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407"/>
        <w:gridCol w:w="8982"/>
      </w:tblGrid>
      <w:tr>
        <w:trPr/>
        <w:tc>
          <w:tcPr>
            <w:tcW w:w="8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(vi)</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filing of a registration statement on Form S-8 relating to the registration of securities to be offered under any of our employee benefit or equity incentive plans referred to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408"/>
        <w:gridCol w:w="8982"/>
      </w:tblGrid>
      <w:tr>
        <w:trPr/>
        <w:tc>
          <w:tcPr>
            <w:tcW w:w="815"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(vii)</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shares of common stock, restricted stock awards or securities convertible into or exercisable or exchangeable for shares of common stock in connection with (i) the acquisition of the securities, business, property or other assets of another person or pursuant to any employee benefit plan assumed in connection with any such acquisition, (ii) joint ventures, (iii) commercial relationships or (iv) other strategic transactions, provided that the aggregate number of shares of our common stock, restricted stock awards and shares of common stock issuable upon the conversion, exercise or exchange of securities (on an as converted or as exercised basis, as the case may be) issued pursuant to this clause (vii) shall not exceed 5% of the total number of shares of our common stock issued and outstanding immediately following the issuance and sale of the shares of common stock in this offering;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2"/>
        <w:gridCol w:w="417"/>
        <w:gridCol w:w="8976"/>
      </w:tblGrid>
      <w:tr>
        <w:trPr/>
        <w:tc>
          <w:tcPr>
            <w:tcW w:w="812" w:type="dxa"/>
            <w:tcBorders/>
            <w:vAlign w:val="center"/>
          </w:tcPr>
          <w:p>
            <w:pPr>
              <w:pStyle w:val="TableContents"/>
              <w:bidi w:val="0"/>
              <w:spacing w:before="0" w:after="283"/>
              <w:jc w:val="left"/>
              <w:rPr/>
            </w:pPr>
            <w:r>
              <w:rPr/>
              <w:t> </w:t>
            </w:r>
          </w:p>
        </w:tc>
        <w:tc>
          <w:tcPr>
            <w:tcW w:w="417" w:type="dxa"/>
            <w:tcBorders/>
          </w:tcPr>
          <w:p>
            <w:pPr>
              <w:pStyle w:val="TableContents"/>
              <w:bidi w:val="0"/>
              <w:spacing w:before="0" w:after="283"/>
              <w:jc w:val="left"/>
              <w:rPr/>
            </w:pPr>
            <w:r>
              <w:rPr/>
              <w:t>(viii)</w:t>
            </w:r>
          </w:p>
        </w:tc>
        <w:tc>
          <w:tcPr>
            <w:tcW w:w="89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beginning on the 61st day from the date of this prospectus supplement, the shares of common stock sold pursuant to that certain Open Market Sale AgreementSM by and between us and Jefferies LLC (provided that no public filings regarding such sales or announcement regarding such sales shall be required or be voluntarily made during the Lock-Up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restrictions described above do not apply to our executive officers, directors and certain stockholders with respect to, among other things and subject to certain exceptions: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408"/>
        <w:gridCol w:w="8981"/>
      </w:tblGrid>
      <w:tr>
        <w:trPr/>
        <w:tc>
          <w:tcPr>
            <w:tcW w:w="8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(ix)</w:t>
            </w:r>
          </w:p>
        </w:tc>
        <w:tc>
          <w:tcPr>
            <w:tcW w:w="89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of shares of common stock acquired in this offering or in transactions relating to shares or other securities acquired in open market transactions after the completion of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407"/>
        <w:gridCol w:w="8982"/>
      </w:tblGrid>
      <w:tr>
        <w:trPr/>
        <w:tc>
          <w:tcPr>
            <w:tcW w:w="8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(x)</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of a </w:t>
            </w:r>
            <w:r>
              <w:rPr>
                <w:rFonts w:ascii="Times New Roman" w:hAnsi="Times New Roman"/>
                <w:i/>
                <w:sz w:val="20"/>
              </w:rPr>
              <w:t>bona fide</w:t>
            </w:r>
            <w:r>
              <w:rPr>
                <w:rFonts w:ascii="Times New Roman" w:hAnsi="Times New Roman"/>
                <w:sz w:val="20"/>
              </w:rPr>
              <w:t xml:space="preserve"> gift or gifts;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407"/>
        <w:gridCol w:w="8983"/>
      </w:tblGrid>
      <w:tr>
        <w:trPr/>
        <w:tc>
          <w:tcPr>
            <w:tcW w:w="815"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(xi)</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of any trust for the direct or indirect benefit of the stockholder or the immediate family of the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408"/>
        <w:gridCol w:w="8982"/>
      </w:tblGrid>
      <w:tr>
        <w:trPr/>
        <w:tc>
          <w:tcPr>
            <w:tcW w:w="815"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(xii)</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of any general or limited partners, members, stockholders or other equity holders of the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407"/>
        <w:gridCol w:w="8982"/>
      </w:tblGrid>
      <w:tr>
        <w:trPr/>
        <w:tc>
          <w:tcPr>
            <w:tcW w:w="8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(xiii)</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by the stockholders affiliates or to any investment fund or other entity that, directly or indirectly, controls or manages, is controlled or managed by, or is under common control or management with, the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409"/>
        <w:gridCol w:w="8981"/>
      </w:tblGrid>
      <w:tr>
        <w:trPr/>
        <w:tc>
          <w:tcPr>
            <w:tcW w:w="815" w:type="dxa"/>
            <w:tcBorders/>
            <w:vAlign w:val="center"/>
          </w:tcPr>
          <w:p>
            <w:pPr>
              <w:pStyle w:val="TableContents"/>
              <w:bidi w:val="0"/>
              <w:spacing w:before="0" w:after="283"/>
              <w:jc w:val="left"/>
              <w:rPr/>
            </w:pPr>
            <w:r>
              <w:rPr/>
              <w:t> </w:t>
            </w:r>
          </w:p>
        </w:tc>
        <w:tc>
          <w:tcPr>
            <w:tcW w:w="409" w:type="dxa"/>
            <w:tcBorders/>
          </w:tcPr>
          <w:p>
            <w:pPr>
              <w:pStyle w:val="TableContents"/>
              <w:bidi w:val="0"/>
              <w:spacing w:before="0" w:after="283"/>
              <w:jc w:val="left"/>
              <w:rPr/>
            </w:pPr>
            <w:r>
              <w:rPr/>
              <w:t>(xiv)</w:t>
            </w:r>
          </w:p>
        </w:tc>
        <w:tc>
          <w:tcPr>
            <w:tcW w:w="89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by will or intestate succession upon the death of the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407"/>
        <w:gridCol w:w="8982"/>
      </w:tblGrid>
      <w:tr>
        <w:trPr/>
        <w:tc>
          <w:tcPr>
            <w:tcW w:w="8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(xv)</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pursuant to a court of regulatory agency order, a qualified domestic order or in connection with a divorce settlement;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407"/>
        <w:gridCol w:w="8982"/>
      </w:tblGrid>
      <w:tr>
        <w:trPr/>
        <w:tc>
          <w:tcPr>
            <w:tcW w:w="8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(xvi)</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by us in connection with the settlement of restricted stock units or exercise of options, warrants or other rights to acquire shares of common stock or any security convertible, exercisable for or settled into shares of our common stock by way of net exercise, net settlement and/or to cover withholding tax obligations in connection with such exercise or settlement pursuant to an employee benefit plan, option, restricted stock unit or warrant or other right disclosed herein or any document incorporated by reference therein, provided that any such shares of the common stock issued upon settlement of such restricted stock unit or exercise of such option, warrant or other right shall be subject to the restrictions set forth herein;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803"/>
        <w:gridCol w:w="478"/>
        <w:gridCol w:w="8924"/>
      </w:tblGrid>
      <w:tr>
        <w:trPr/>
        <w:tc>
          <w:tcPr>
            <w:tcW w:w="803" w:type="dxa"/>
            <w:tcBorders/>
            <w:vAlign w:val="center"/>
          </w:tcPr>
          <w:p>
            <w:pPr>
              <w:pStyle w:val="TableContents"/>
              <w:bidi w:val="0"/>
              <w:spacing w:before="0" w:after="283"/>
              <w:jc w:val="left"/>
              <w:rPr/>
            </w:pPr>
            <w:r>
              <w:rPr/>
              <w:t> </w:t>
            </w:r>
          </w:p>
        </w:tc>
        <w:tc>
          <w:tcPr>
            <w:tcW w:w="478" w:type="dxa"/>
            <w:tcBorders/>
          </w:tcPr>
          <w:p>
            <w:pPr>
              <w:pStyle w:val="TableContents"/>
              <w:bidi w:val="0"/>
              <w:spacing w:before="0" w:after="283"/>
              <w:jc w:val="left"/>
              <w:rPr/>
            </w:pPr>
            <w:r>
              <w:rPr/>
              <w:t>(xvii)</w:t>
            </w:r>
          </w:p>
        </w:tc>
        <w:tc>
          <w:tcPr>
            <w:tcW w:w="892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by us pursuant to agreements under which we have exercised an option to repurchase such shares or has exercised a right of first refusal with respect to transfers of such shares upon termination of service of the stockholder, so long as such agreement or right of first refusal is disclosed herein or in any document incorporated by reference herein, for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95"/>
        <w:gridCol w:w="531"/>
        <w:gridCol w:w="8879"/>
      </w:tblGrid>
      <w:tr>
        <w:trPr/>
        <w:tc>
          <w:tcPr>
            <w:tcW w:w="795" w:type="dxa"/>
            <w:tcBorders/>
            <w:vAlign w:val="center"/>
          </w:tcPr>
          <w:p>
            <w:pPr>
              <w:pStyle w:val="TableContents"/>
              <w:bidi w:val="0"/>
              <w:spacing w:before="0" w:after="283"/>
              <w:jc w:val="left"/>
              <w:rPr/>
            </w:pPr>
            <w:r>
              <w:rPr/>
              <w:t> </w:t>
            </w:r>
          </w:p>
        </w:tc>
        <w:tc>
          <w:tcPr>
            <w:tcW w:w="531" w:type="dxa"/>
            <w:tcBorders/>
          </w:tcPr>
          <w:p>
            <w:pPr>
              <w:pStyle w:val="TableContents"/>
              <w:bidi w:val="0"/>
              <w:spacing w:before="0" w:after="283"/>
              <w:jc w:val="left"/>
              <w:rPr/>
            </w:pPr>
            <w:r>
              <w:rPr/>
              <w:t>(xviii)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by a bona fide third party pursuant to a merger, consolidation, tender offer or other similar transaction made to all holders of shares of the common stock and involving a change of control of us and approved by our board of directors; provided that, in the event that such Change of Control is not completed, the stockholders Lock-Up Securities shall remain subject to the restrictions contained herein, provided further that any shares of the common stock not transferred in such merger, consolidation, tender offer or other transaction shall remain subject to the restrictions contained herein. Change of Control shall mean the transfer (whether by tender offer, merger, consolidation or other similar transaction), in one transaction or a series of related transactions, to a person or group of affiliated persons (other than an underwriter pursuant to this offering), of our voting securities if, after such transfer, such person or group of affiliated persons would hold more than 50% of our outstanding voting securities (or the surviving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3"/>
        <w:gridCol w:w="421"/>
        <w:gridCol w:w="8971"/>
      </w:tblGrid>
      <w:tr>
        <w:trPr/>
        <w:tc>
          <w:tcPr>
            <w:tcW w:w="813" w:type="dxa"/>
            <w:tcBorders/>
            <w:vAlign w:val="center"/>
          </w:tcPr>
          <w:p>
            <w:pPr>
              <w:pStyle w:val="TableContents"/>
              <w:bidi w:val="0"/>
              <w:spacing w:before="0" w:after="283"/>
              <w:jc w:val="left"/>
              <w:rPr/>
            </w:pPr>
            <w:r>
              <w:rPr/>
              <w:t> </w:t>
            </w:r>
          </w:p>
        </w:tc>
        <w:tc>
          <w:tcPr>
            <w:tcW w:w="421" w:type="dxa"/>
            <w:tcBorders/>
          </w:tcPr>
          <w:p>
            <w:pPr>
              <w:pStyle w:val="TableContents"/>
              <w:bidi w:val="0"/>
              <w:spacing w:before="0" w:after="283"/>
              <w:jc w:val="left"/>
              <w:rPr/>
            </w:pPr>
            <w:r>
              <w:rPr/>
              <w:t>(xix)</w:t>
            </w:r>
          </w:p>
        </w:tc>
        <w:tc>
          <w:tcPr>
            <w:tcW w:w="89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on the open market following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407"/>
        <w:gridCol w:w="8982"/>
      </w:tblGrid>
      <w:tr>
        <w:trPr/>
        <w:tc>
          <w:tcPr>
            <w:tcW w:w="8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(xx)</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establishment of a trading plan pursuant to Rule 10b5-1 under the Exchange Act, provided that (1) any required filing under the Exchange Act made by us or any person regarding the establishment of such plan during the Lock-Up Period shall state that the stockholder is not permitted to sell, transfer or otherwise dispose of securities under such plan during the Lock-Up Period in contravention of this lock-up agreement and (2) no sales are made during the Lock-Up Period pursuant to such plan;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3"/>
        <w:gridCol w:w="417"/>
        <w:gridCol w:w="8975"/>
      </w:tblGrid>
      <w:tr>
        <w:trPr/>
        <w:tc>
          <w:tcPr>
            <w:tcW w:w="813" w:type="dxa"/>
            <w:tcBorders/>
            <w:vAlign w:val="center"/>
          </w:tcPr>
          <w:p>
            <w:pPr>
              <w:pStyle w:val="TableContents"/>
              <w:bidi w:val="0"/>
              <w:spacing w:before="0" w:after="283"/>
              <w:jc w:val="left"/>
              <w:rPr/>
            </w:pPr>
            <w:r>
              <w:rPr/>
              <w:t> </w:t>
            </w:r>
          </w:p>
        </w:tc>
        <w:tc>
          <w:tcPr>
            <w:tcW w:w="417" w:type="dxa"/>
            <w:tcBorders/>
          </w:tcPr>
          <w:p>
            <w:pPr>
              <w:pStyle w:val="TableContents"/>
              <w:bidi w:val="0"/>
              <w:spacing w:before="0" w:after="283"/>
              <w:jc w:val="left"/>
              <w:rPr/>
            </w:pPr>
            <w:r>
              <w:rPr/>
              <w:t>(xxi)</w:t>
            </w:r>
          </w:p>
        </w:tc>
        <w:tc>
          <w:tcPr>
            <w:tcW w:w="89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pursuant to a Rule 10b5-1 trading plan that has been entered into by certain of our directors and officers prior to the date of this prospectus supplement, provided (1) any filing under Section 16(a) of the Exchange Act that is made in connection with any such sales during the Lock-Up Period shall state that such sales have been executed under a 10b5-1 Trading Plan and shall also state the date such 10b5-1 Trading Plan was adopted and (2) the stockholder does not otherwise voluntarily effect any public filing or report regarding such sales or transfers during the Lock-Up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and subject to the conditions above, the stockholder may transfer the Lock-Up Securities without the prior written consent of the Representatives, provided that (1) in the case of clause (x) through (xv) and (xviii) above, the Representatives receive a signed lock-up agreement for the balance of the Lock-Up Period from each donee, trustee, distributee or transferee, as the case may be, (2) (A) in the clauses (x) through (xiv) above, any such transfer shall not involve a disposition for value, (B) in the cases of clause (x) through (xv) above, such transfers are not required to be reported during the Lock-Up Period with the SEC on Form 4 in accordance with Section 16 of the Exchange Act, and (C) in the cases of clauses (xiv) through (xviii) above, any filing under Section 16 of the Exchange Act made during the Lock-Up Period shall clearly indicate in the footnotes the circumstances of the transfer, and (3) the stockholder does not otherwise voluntarily effect any public filing or report regarding such transfers during the Lock-Up Period.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under the symbol TARS.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offering, the underwriters may purchase and sell shares of our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 </w:t>
      </w:r>
    </w:p>
    <w:p>
      <w:pPr>
        <w:pStyle w:val="TextBody"/>
        <w:bidi w:val="0"/>
        <w:spacing w:before="240" w:after="0"/>
        <w:jc w:val="left"/>
        <w:rPr>
          <w:rFonts w:ascii="Times New Roman" w:hAnsi="Times New Roman"/>
          <w:sz w:val="20"/>
        </w:rPr>
      </w:pPr>
      <w:r>
        <w:rPr>
          <w:rFonts w:ascii="Times New Roman" w:hAnsi="Times New Roman"/>
          <w:sz w:val="20"/>
        </w:rPr>
        <w:t xml:space="preserve">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our common stock. As a result, the price of our common stock may be higher than the price that otherwise might exist in the open market. The underwriters are not required to engage in these activities and may end any of these activities at any time. These transactions may be effected on The Nasdaq Global Select Market, in the over-the-counter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our share of the total expenses of the offering, excluding underwriting discounts and commissions, will be approximately $0.4 million. We have agreed to reimburse the underwriters for certain of their expenses in an amount up to $30,000.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several underwriters against certain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or instruments of the issuer (directly, as collateral securing other obligations or otherwise) or persons and entities with relationships with the issuer.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and/or short positions in such assets, securities and instruments. </w:t>
      </w:r>
    </w:p>
    <w:p>
      <w:pPr>
        <w:pStyle w:val="TextBody"/>
        <w:bidi w:val="0"/>
        <w:spacing w:before="240" w:after="0"/>
        <w:jc w:val="left"/>
        <w:rPr>
          <w:rFonts w:ascii="Times New Roman" w:hAnsi="Times New Roman"/>
          <w:b/>
          <w:i/>
          <w:sz w:val="20"/>
        </w:rPr>
      </w:pPr>
      <w:r>
        <w:rPr>
          <w:rFonts w:ascii="Times New Roman" w:hAnsi="Times New Roman"/>
          <w:b/>
          <w:i/>
          <w:sz w:val="20"/>
        </w:rPr>
        <w:t xml:space="preserve">European Economic Area </w:t>
      </w:r>
    </w:p>
    <w:p>
      <w:pPr>
        <w:pStyle w:val="TextBody"/>
        <w:bidi w:val="0"/>
        <w:spacing w:before="240" w:after="0"/>
        <w:jc w:val="left"/>
        <w:rPr>
          <w:rFonts w:ascii="Times New Roman" w:hAnsi="Times New Roman"/>
          <w:sz w:val="20"/>
        </w:rPr>
      </w:pPr>
      <w:r>
        <w:rPr>
          <w:rFonts w:ascii="Times New Roman" w:hAnsi="Times New Roman"/>
          <w:sz w:val="20"/>
        </w:rPr>
        <w:t xml:space="preserve">In relation to each Member State of the European Economic Area, each a Relevant Member State, no shares of common stock have been offered or will be offered pursuant to the offering to the public in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Prospectus Regulation, except that the shares may be offered to the public in that Relevant Member State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406"/>
        <w:gridCol w:w="8984"/>
      </w:tblGrid>
      <w:tr>
        <w:trPr/>
        <w:tc>
          <w:tcPr>
            <w:tcW w:w="815"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(a)</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Article 2 of the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407"/>
        <w:gridCol w:w="8982"/>
      </w:tblGrid>
      <w:tr>
        <w:trPr/>
        <w:tc>
          <w:tcPr>
            <w:tcW w:w="8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Article 2 of the Prospectus Regulation), subject to obtaining the prior consent of the Joint Global Coordinators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406"/>
        <w:gridCol w:w="8984"/>
      </w:tblGrid>
      <w:tr>
        <w:trPr/>
        <w:tc>
          <w:tcPr>
            <w:tcW w:w="815"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(c)</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1(4) of the Prospectus Regulation;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no such offer of shares of our common stock shall require us or any of the representatives to publish a prospectus pursuant to Article 3 of the Prospectus Regulation or supplement a prospectus pursuant to Article 23 of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our common stock in any Relevant Member State means the communication in any form and by any means of sufficient information on the terms of the offer and our common stock to be offered so as to enable an investor to decide to purchase any shares, and the expression Prospectus Regulation means Regulation (EU) 2017/1129. </w:t>
      </w:r>
    </w:p>
    <w:p>
      <w:pPr>
        <w:pStyle w:val="TextBody"/>
        <w:bidi w:val="0"/>
        <w:spacing w:before="240" w:after="0"/>
        <w:jc w:val="left"/>
        <w:rPr>
          <w:rFonts w:ascii="Times New Roman" w:hAnsi="Times New Roman"/>
          <w:sz w:val="20"/>
        </w:rPr>
      </w:pPr>
      <w:r>
        <w:rPr>
          <w:rFonts w:ascii="Times New Roman" w:hAnsi="Times New Roman"/>
          <w:sz w:val="20"/>
        </w:rPr>
        <w:t xml:space="preserve">Each person in a Relevant Member State who receives any communication in respect of, or who acquires any shares under, the offering contemplated hereby will be deemed to have represented warranted and agreed to and with each of the underwriters and their affiliates and the Company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407"/>
        <w:gridCol w:w="8983"/>
      </w:tblGrid>
      <w:tr>
        <w:trPr/>
        <w:tc>
          <w:tcPr>
            <w:tcW w:w="815"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a qualified investor within the meaning of the Prospectus Regulation;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406"/>
        <w:gridCol w:w="8984"/>
      </w:tblGrid>
      <w:tr>
        <w:trPr/>
        <w:tc>
          <w:tcPr>
            <w:tcW w:w="815"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(b)</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any shares acquired by it as a financial intermediary, as that term is used in Article 5 of the Prospectus Regulation, (i) the shares acquired by it in the offering have not been acquired on a non-discretionary basis on behalf of, nor have they been acquired with a view to their offer or resale to, persons in any Relevant Member State other than qualified investors, as that term is defined in the Prospectus Regulation, or have been acquired in other circumstances falling within the points (a) to (d) of Article 1(4) of the Prospectus Regulation and the prior consent of the Joint Global Coordinators has been given to the offer or resale; or (ii) where the shares have been acquired by it on behalf of persons in any Relevant Member State other than qualified investors, the offer of those shares to it is not treated under the Prospectus Regulation as having been made to such persons.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the underwriters and their affiliates, and others will rely upon the truth and accuracy of the foregoing representation, acknowledgement and agreement. Notwithstanding the above, a person who is not a qualified investor and who has notified the Joint Global Coordinators of such fact in writing may, with the prior consent of the Joint Global Coordinators, be permitted to acquire shares in the offering. </w:t>
      </w:r>
    </w:p>
    <w:p>
      <w:pPr>
        <w:pStyle w:val="TextBody"/>
        <w:bidi w:val="0"/>
        <w:spacing w:before="240" w:after="0"/>
        <w:jc w:val="left"/>
        <w:rPr>
          <w:rFonts w:ascii="Times New Roman" w:hAnsi="Times New Roman"/>
          <w:b/>
          <w:i/>
          <w:sz w:val="20"/>
        </w:rPr>
      </w:pPr>
      <w:r>
        <w:rPr>
          <w:rFonts w:ascii="Times New Roman" w:hAnsi="Times New Roman"/>
          <w:b/>
          <w:i/>
          <w:sz w:val="20"/>
        </w:rPr>
        <w:t xml:space="preserve">United Kingdom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any other material in relation to the shares of common stock described herein is only being distributed to, and is only directed at, and any investment or investment activity to which this prospectus supplement relates is available only to, and will be engaged in only with persons who are (i) persons having professional experience in matters relating to investments who fall within the definition of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professionals in Article 19(5) of the FPO; or (ii) high net worth entities falling within Article 49(2)(a) to (d) of the FPO; (iii) outside the United Kingdom; or (iv) persons to whom an invitation or inducement to engage in investment activity (within the meaning of Section 21 of the FSMA) in connection with the issue or sale of any shares may otherwise lawfully be communicated or caused to be communicated, all such persons together being referred to as Relevant Persons. The shares are only available in the United Kingdom to, and any invitation, offer or agreement to purchase or otherwise acquire the shares will be engaged in only with, the Relevant Persons. This prospectus supplement and its contents are confidential and should not be distributed, published or reproduced (in whole or in part) or disclosed by recipients to any other person in the United Kingdom. Any person in the United Kingdom that is not a Relevant Person should not act or rely on this prospectus supplement or any of its contents. </w:t>
      </w:r>
    </w:p>
    <w:p>
      <w:pPr>
        <w:pStyle w:val="TextBody"/>
        <w:bidi w:val="0"/>
        <w:spacing w:before="240" w:after="0"/>
        <w:jc w:val="left"/>
        <w:rPr>
          <w:rFonts w:ascii="Times New Roman" w:hAnsi="Times New Roman"/>
          <w:sz w:val="20"/>
        </w:rPr>
      </w:pPr>
      <w:r>
        <w:rPr>
          <w:rFonts w:ascii="Times New Roman" w:hAnsi="Times New Roman"/>
          <w:sz w:val="20"/>
        </w:rPr>
        <w:t xml:space="preserve">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406"/>
        <w:gridCol w:w="8984"/>
      </w:tblGrid>
      <w:tr>
        <w:trPr/>
        <w:tc>
          <w:tcPr>
            <w:tcW w:w="815"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(a)</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Article 2 of the UK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407"/>
        <w:gridCol w:w="8982"/>
      </w:tblGrid>
      <w:tr>
        <w:trPr/>
        <w:tc>
          <w:tcPr>
            <w:tcW w:w="8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Article 2 of the UK Prospectus Regulation), subject to obtaining the prior consent of the Global Coordinators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406"/>
        <w:gridCol w:w="8984"/>
      </w:tblGrid>
      <w:tr>
        <w:trPr/>
        <w:tc>
          <w:tcPr>
            <w:tcW w:w="815"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(c)</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Section 86 of the FSMA;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no such offer of the shares shall require the Company and/or any underwriters or any of their affiliates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 </w:t>
      </w:r>
    </w:p>
    <w:p>
      <w:pPr>
        <w:pStyle w:val="TextBody"/>
        <w:bidi w:val="0"/>
        <w:spacing w:before="240" w:after="0"/>
        <w:jc w:val="left"/>
        <w:rPr>
          <w:rFonts w:ascii="Times New Roman" w:hAnsi="Times New Roman"/>
          <w:sz w:val="20"/>
        </w:rPr>
      </w:pPr>
      <w:r>
        <w:rPr>
          <w:rFonts w:ascii="Times New Roman" w:hAnsi="Times New Roman"/>
          <w:sz w:val="20"/>
        </w:rPr>
        <w:t xml:space="preserve">Each person in the United Kingdom who acquires any shares in the offering or to whom any offer is made will be deemed to have represented, acknowledged and agreed to and with the Company, the underwriters and their affiliates that it meets the criteria outlined in this section. </w:t>
      </w:r>
    </w:p>
    <w:p>
      <w:pPr>
        <w:pStyle w:val="TextBody"/>
        <w:bidi w:val="0"/>
        <w:spacing w:before="240" w:after="0"/>
        <w:jc w:val="left"/>
        <w:rPr>
          <w:rFonts w:ascii="Times New Roman" w:hAnsi="Times New Roman"/>
          <w:b/>
          <w:i/>
          <w:sz w:val="20"/>
        </w:rPr>
      </w:pPr>
      <w:r>
        <w:rPr>
          <w:rFonts w:ascii="Times New Roman" w:hAnsi="Times New Roman"/>
          <w:b/>
          <w:i/>
          <w:sz w:val="20"/>
        </w:rPr>
        <w:t xml:space="preserve">Canada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240" w:after="0"/>
        <w:jc w:val="left"/>
        <w:rPr>
          <w:rFonts w:ascii="Times New Roman" w:hAnsi="Times New Roman"/>
          <w:b/>
          <w:i/>
          <w:sz w:val="20"/>
        </w:rPr>
      </w:pPr>
      <w:r>
        <w:rPr>
          <w:rFonts w:ascii="Times New Roman" w:hAnsi="Times New Roman"/>
          <w:b/>
          <w:i/>
          <w:sz w:val="20"/>
        </w:rPr>
        <w:t xml:space="preserve">Hong Kong </w:t>
      </w:r>
    </w:p>
    <w:p>
      <w:pPr>
        <w:pStyle w:val="TextBody"/>
        <w:bidi w:val="0"/>
        <w:spacing w:before="240" w:after="0"/>
        <w:jc w:val="left"/>
        <w:rPr>
          <w:rFonts w:ascii="Times New Roman" w:hAnsi="Times New Roman"/>
          <w:sz w:val="20"/>
        </w:rPr>
      </w:pPr>
      <w:r>
        <w:rPr>
          <w:rFonts w:ascii="Times New Roman" w:hAnsi="Times New Roman"/>
          <w:sz w:val="20"/>
        </w:rPr>
        <w:t xml:space="preserve">The shares may not be offered or sold in Hong Kong by means of any document other than (i) in circumstances which do not constitute an offer to the public within the meaning of the Companies (Winding Up and Miscellaneous Provisions) Ordinance (Cap. 32 of the Laws of Hong Kong), or the Companies (Winding Up and Miscellaneous Provisions Ordinance, or which do not constitute an invitation to the public within the meaning of the Securities and Futures Ordinance (Cap. 571 of the Laws of Hong Kong), or the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 </w:t>
      </w:r>
    </w:p>
    <w:p>
      <w:pPr>
        <w:pStyle w:val="TextBody"/>
        <w:bidi w:val="0"/>
        <w:spacing w:before="240" w:after="0"/>
        <w:jc w:val="left"/>
        <w:rPr>
          <w:rFonts w:ascii="Times New Roman" w:hAnsi="Times New Roman"/>
          <w:b/>
          <w:i/>
          <w:sz w:val="20"/>
        </w:rPr>
      </w:pPr>
      <w:r>
        <w:rPr>
          <w:rFonts w:ascii="Times New Roman" w:hAnsi="Times New Roman"/>
          <w:b/>
          <w:i/>
          <w:sz w:val="20"/>
        </w:rPr>
        <w:t xml:space="preserve">Singapore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has not been registered as a prospectus with the Monetary Authority of Singapore. Accordingly, this prospectus supplement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or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 </w:t>
      </w:r>
    </w:p>
    <w:p>
      <w:pPr>
        <w:pStyle w:val="TextBody"/>
        <w:bidi w:val="0"/>
        <w:spacing w:before="240" w:after="0"/>
        <w:jc w:val="left"/>
        <w:rPr>
          <w:rFonts w:ascii="Times New Roman" w:hAnsi="Times New Roman"/>
          <w:sz w:val="20"/>
        </w:rPr>
      </w:pPr>
      <w:r>
        <w:rPr>
          <w:rFonts w:ascii="Times New Roman" w:hAnsi="Times New Roman"/>
          <w:sz w:val="20"/>
        </w:rPr>
        <w:t xml:space="preserve">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or Regulation 32. </w:t>
      </w:r>
    </w:p>
    <w:p>
      <w:pPr>
        <w:pStyle w:val="TextBody"/>
        <w:bidi w:val="0"/>
        <w:spacing w:before="240" w:after="0"/>
        <w:jc w:val="left"/>
        <w:rPr>
          <w:rFonts w:ascii="Times New Roman" w:hAnsi="Times New Roman"/>
          <w:sz w:val="20"/>
        </w:rPr>
      </w:pPr>
      <w:r>
        <w:rPr>
          <w:rFonts w:ascii="Times New Roman" w:hAnsi="Times New Roman"/>
          <w:sz w:val="20"/>
        </w:rPr>
        <w:t xml:space="preserve">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six months after that trust has acquired the shares under Section 275 of the SFA except: (1) to an institutional investor under Section 274 of the SFA or to a relevant person (as defined in Section 275(2) of the SFA), (2) where such transfer arises from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 </w:t>
      </w:r>
    </w:p>
    <w:p>
      <w:pPr>
        <w:pStyle w:val="TextBody"/>
        <w:bidi w:val="0"/>
        <w:spacing w:before="240" w:after="0"/>
        <w:jc w:val="left"/>
        <w:rPr>
          <w:rFonts w:ascii="Times New Roman" w:hAnsi="Times New Roman"/>
          <w:b/>
          <w:i/>
          <w:sz w:val="20"/>
        </w:rPr>
      </w:pPr>
      <w:r>
        <w:rPr>
          <w:rFonts w:ascii="Times New Roman" w:hAnsi="Times New Roman"/>
          <w:b/>
          <w:i/>
          <w:sz w:val="20"/>
        </w:rPr>
        <w:t xml:space="preserve">Japan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 </w:t>
      </w:r>
    </w:p>
    <w:p>
      <w:pPr>
        <w:pStyle w:val="TextBody"/>
        <w:bidi w:val="0"/>
        <w:spacing w:before="240" w:after="0"/>
        <w:jc w:val="left"/>
        <w:rPr>
          <w:rFonts w:ascii="Times New Roman" w:hAnsi="Times New Roman"/>
          <w:b/>
          <w:i/>
          <w:sz w:val="20"/>
        </w:rPr>
      </w:pPr>
      <w:r>
        <w:rPr>
          <w:rFonts w:ascii="Times New Roman" w:hAnsi="Times New Roman"/>
          <w:b/>
          <w:i/>
          <w:sz w:val="20"/>
        </w:rPr>
        <w:t xml:space="preserve">Australia </w:t>
      </w:r>
    </w:p>
    <w:p>
      <w:pPr>
        <w:pStyle w:val="TextBody"/>
        <w:bidi w:val="0"/>
        <w:spacing w:before="240" w:after="0"/>
        <w:jc w:val="left"/>
        <w:rPr>
          <w:rFonts w:ascii="Times New Roman" w:hAnsi="Times New Roman"/>
          <w:sz w:val="20"/>
        </w:rPr>
      </w:pPr>
      <w:r>
        <w:rPr>
          <w:rFonts w:ascii="Times New Roman" w:hAnsi="Times New Roman"/>
          <w:sz w:val="20"/>
        </w:rPr>
        <w:t xml:space="preserve">No prospectus or other disclosure document, as defined in the Corporations Act 2001, or Cth, of Australia, or the Corporations Act, in relation to our shares has been or will be lodged with the Australian Securities &amp; Investments Commission, or the ASIC. This document has not been lodged with ASIC and is only directed to certain categories of exempt persons. Accordingly, if you receive this document in Australia: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408"/>
        <w:gridCol w:w="8982"/>
      </w:tblGrid>
      <w:tr>
        <w:trPr/>
        <w:tc>
          <w:tcPr>
            <w:tcW w:w="815"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confirm and warrant that you are either: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223"/>
        <w:gridCol w:w="508"/>
        <w:gridCol w:w="8474"/>
      </w:tblGrid>
      <w:tr>
        <w:trPr/>
        <w:tc>
          <w:tcPr>
            <w:tcW w:w="1223"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84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sophisticated investor under section 708(8)(a) or (b) of the Corporations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224"/>
        <w:gridCol w:w="509"/>
        <w:gridCol w:w="8472"/>
      </w:tblGrid>
      <w:tr>
        <w:trPr/>
        <w:tc>
          <w:tcPr>
            <w:tcW w:w="1224"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4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sophisticated investor under section 708(8)(c) or (d) of the Corporations Act and that you have provided an accountants certificate to us which complies with the requirements of section 708(8)(c)(i) or (ii) of the Corporations Act and related regulations before the offer has been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223"/>
        <w:gridCol w:w="510"/>
        <w:gridCol w:w="8472"/>
      </w:tblGrid>
      <w:tr>
        <w:trPr/>
        <w:tc>
          <w:tcPr>
            <w:tcW w:w="1223"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84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associated with us under section 708(12) of the Corporations Act;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224"/>
        <w:gridCol w:w="509"/>
        <w:gridCol w:w="8472"/>
      </w:tblGrid>
      <w:tr>
        <w:trPr/>
        <w:tc>
          <w:tcPr>
            <w:tcW w:w="1224"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84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professional investor within the meaning of section 708(11)(a) or (b) of the Corporations Act, and to the extent that you are unable to confirm or warrant that you are an exempt sophisticated investor, associated person or professional investor under the Corporations Act, any offer made to you under this document is void and incapable of acceptance;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407"/>
        <w:gridCol w:w="8982"/>
      </w:tblGrid>
      <w:tr>
        <w:trPr/>
        <w:tc>
          <w:tcPr>
            <w:tcW w:w="8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warrant and agree that you will not offer any of our shares for resale in Australia within 12 months of that security being issued unless any such resale offer is exempt from the requirement to issue a disclosure document under section 708 of the Corporations Act. </w:t>
            </w:r>
          </w:p>
        </w:tc>
      </w:tr>
    </w:tbl>
    <w:p>
      <w:pPr>
        <w:pStyle w:val="TextBody"/>
        <w:bidi w:val="0"/>
        <w:spacing w:before="240" w:after="0"/>
        <w:jc w:val="left"/>
        <w:rPr>
          <w:rFonts w:ascii="Times New Roman" w:hAnsi="Times New Roman"/>
          <w:b/>
          <w:i/>
          <w:sz w:val="20"/>
        </w:rPr>
      </w:pPr>
      <w:r>
        <w:rPr>
          <w:rFonts w:ascii="Times New Roman" w:hAnsi="Times New Roman"/>
          <w:b/>
          <w:i/>
          <w:sz w:val="20"/>
        </w:rPr>
        <w:t xml:space="preserve">Dubai International Financial Centre </w:t>
      </w:r>
    </w:p>
    <w:p>
      <w:pPr>
        <w:pStyle w:val="TextBody"/>
        <w:bidi w:val="0"/>
        <w:spacing w:before="240" w:after="0"/>
        <w:jc w:val="left"/>
        <w:rPr>
          <w:rFonts w:ascii="Times New Roman" w:hAnsi="Times New Roman"/>
          <w:sz w:val="20"/>
        </w:rPr>
      </w:pPr>
      <w:r>
        <w:rPr>
          <w:rFonts w:ascii="Times New Roman" w:hAnsi="Times New Roman"/>
          <w:sz w:val="20"/>
        </w:rPr>
        <w:t xml:space="preserve">This offering document relates to an Exempt Offer in accordance with the Offered Securities Rules of the Dubai Financial Services Authority, or the DFSA. This offering document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in this prospectus and has no responsibility for the offering document. The securities to which this offering document relates may be illiquid and/or subject to restrictions on their resale. Prospective purchasers of the securities offered should conduct their own due diligence on the securities. If you do not understand the contents of this offering document you should consult an authorized financial advisor.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Switzerland </w:t>
      </w:r>
    </w:p>
    <w:p>
      <w:pPr>
        <w:pStyle w:val="TextBody"/>
        <w:bidi w:val="0"/>
        <w:spacing w:before="240" w:after="0"/>
        <w:jc w:val="left"/>
        <w:rPr>
          <w:rFonts w:ascii="Times New Roman" w:hAnsi="Times New Roman"/>
          <w:sz w:val="20"/>
        </w:rPr>
      </w:pPr>
      <w:r>
        <w:rPr>
          <w:rFonts w:ascii="Times New Roman" w:hAnsi="Times New Roman"/>
          <w:sz w:val="20"/>
        </w:rPr>
        <w:t xml:space="preserve">We have not and will not register with the Swiss Financial Market Supervisory Authority, or the FINMA, as a foreign collective investment scheme pursuant to Article 119 of the Federal Act on Collective Investment Scheme of 23 June 2006, as amended, or CISA, and accordingly the securities being offered pursuant to this prospectus have not and will not be approved, and may not be licenseable, with FINMA. Therefore, the securities have not been authorized for distribution by FINMA as a foreign collective investment scheme pursuant to Article 119 CISA and the securities offered hereby may not be offered to the public (as this term is defined in Article 3 CISA) in or from Switzerland. The securities may solely be offered to qualified investors, as this term is defined in Article 10 CISA, and in the circumstances set out in Article 3 of the Ordinance on Collective Investment Scheme of 22 November 2006, as amended, or CISO, such that there is no public offer. Investors, however, do not benefit from protection under CISA or CISO or supervision by FINMA. This prospectus and any other materials relating to the securities are strictly personal and confidential to each offeree and do not constitute an offer to any other person. This prospectus may only be used by those qualified investors to whom it has been handed out in connection with the offer described in this prospectus and may neither directly or indirectly be distributed or made available to any person or entity other than its recipients. It may not be used in connection with any other offer and shall in particular not be copied and/or distributed to the public in Switzerland or from Switzerland. This prospectus does not constitute an issue prospectus as that term is understood pursuant to Article 652a and/or 1156 of the Swiss Federal Code of Obligations. We have not applied for a listing of the securities on the SIX Swiss Exchange or any other regulated securities market in Switzerland, and consequently, the information presented in this prospectus does not necessarily comply with the information standards set out in the listing rules of the SIX Swiss Exchange and corresponding prospectus schemes annexed to the listing rules of the SIX Swiss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1" w:name="supptoc538323_8"/>
      <w:bookmarkEnd w:id="11"/>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shares of our common stock offered in this prospectus supplement will be passed upon for us by Gunderson Dettmer Stough Villeneuve Franklin &amp; Hachigian, LLP, San Diego, California. Cooley LLP, San Diego, California is acting as counsel for the underwriters in connection with this offering. Certain partners of Gunderson Dettmer Stough Villeneuve Franklin  &amp; Hachigian, LLP, collectively own an interest representing less than one percent of the shares of our common stock. </w:t>
      </w:r>
    </w:p>
    <w:p>
      <w:pPr>
        <w:pStyle w:val="TextBody"/>
        <w:bidi w:val="0"/>
        <w:spacing w:before="480" w:after="0"/>
        <w:jc w:val="center"/>
        <w:rPr>
          <w:rFonts w:ascii="Times New Roman" w:hAnsi="Times New Roman"/>
          <w:b/>
          <w:sz w:val="20"/>
        </w:rPr>
      </w:pPr>
      <w:bookmarkStart w:id="12" w:name="supptoc538323_9"/>
      <w:bookmarkEnd w:id="12"/>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Ernst &amp; Young LLP, independent registered public accounting firm, has audited our financial statements included in our Annual Report on Form 10-K for the year ended December 31, 2022, as set forth in their report which is incorporated by reference in this prospectus supplement and elsewhere in the registration statement. Our financial statements are incorporated by reference in reliance on Ernst &amp; Young LLPs report, given on their authority as experts in accounting and auditing. </w:t>
      </w:r>
    </w:p>
    <w:p>
      <w:pPr>
        <w:pStyle w:val="TextBody"/>
        <w:bidi w:val="0"/>
        <w:spacing w:before="480" w:after="0"/>
        <w:jc w:val="center"/>
        <w:rPr>
          <w:rFonts w:ascii="Times New Roman" w:hAnsi="Times New Roman"/>
          <w:b/>
          <w:sz w:val="20"/>
        </w:rPr>
      </w:pPr>
      <w:bookmarkStart w:id="13" w:name="supptoc538323_10"/>
      <w:bookmarkEnd w:id="13"/>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other reports, proxy statements and other information with the SEC. Our SEC filings are available to the public over the Internet at the SECs website at http://www.sec.gov.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through the Internet. These filings will be available as soon as reasonably practicable after we electronically file such material with, or furnish it to, the SEC. </w:t>
      </w:r>
    </w:p>
    <w:p>
      <w:pPr>
        <w:pStyle w:val="TextBody"/>
        <w:bidi w:val="0"/>
        <w:spacing w:before="240" w:after="0"/>
        <w:jc w:val="left"/>
        <w:rPr>
          <w:rFonts w:ascii="Times New Roman" w:hAnsi="Times New Roman"/>
          <w:sz w:val="20"/>
        </w:rPr>
      </w:pPr>
      <w:r>
        <w:rPr>
          <w:rFonts w:ascii="Times New Roman" w:hAnsi="Times New Roman"/>
          <w:sz w:val="20"/>
        </w:rPr>
        <w:t xml:space="preserve">We have filed with the SEC a registration statement under the Securities Act relating to the offering of these securities. The registration statement, including the attached exhibits, contains additional relevant information about us and the securities. This prospectus supplement and the accompanying prospectus do not contain all of the information set forth in the registration statement. The registration statement and the documents referred to below under Incorporation by Reference are also available on our website, www.tarsusrx.com. This website address, and the website addresses included in any documents incorporated by reference herein, are not intended to function as hyperlinks, and the information contained on such websites and on the SECs website is not incorporated by reference in this prospectus supplement and the accompanying prospectus and you should not consider it a part of this prospectus supplement and the accompanying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4" w:name="supptoc538323_11"/>
      <w:bookmarkEnd w:id="14"/>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into this prospectus supplement certain information we file with it, which means that we can disclose important information by referring you to those documents. The information incorporated by reference is considered to be a part of this prospectus supplement, and information that we file later with the SEC will automatically update and supersede information contained in this prospectus supplement. We incorporate by reference the documents listed below that we have previously filed with the SEC (excluding any portions of any Form 8-K that are not deemed filed pursuant to the General Instructions of Form 8-K):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224"/>
        <w:gridCol w:w="203"/>
        <w:gridCol w:w="101"/>
        <w:gridCol w:w="8677"/>
      </w:tblGrid>
      <w:tr>
        <w:trPr/>
        <w:tc>
          <w:tcPr>
            <w:tcW w:w="1224"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677"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2022, filed with the SEC on March 17,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224"/>
        <w:gridCol w:w="203"/>
        <w:gridCol w:w="100"/>
        <w:gridCol w:w="8678"/>
      </w:tblGrid>
      <w:tr>
        <w:trPr/>
        <w:tc>
          <w:tcPr>
            <w:tcW w:w="1224"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678" w:type="dxa"/>
            <w:tcBorders/>
          </w:tcPr>
          <w:p>
            <w:pPr>
              <w:pStyle w:val="TableContents"/>
              <w:bidi w:val="0"/>
              <w:spacing w:before="0" w:after="0"/>
              <w:jc w:val="left"/>
              <w:rPr/>
            </w:pPr>
            <w:r>
              <w:rPr>
                <w:rFonts w:ascii="Times New Roman" w:hAnsi="Times New Roman"/>
                <w:sz w:val="20"/>
              </w:rPr>
              <w:t xml:space="preserve">our Quarterly Report on </w:t>
            </w:r>
            <w:hyperlink r:id="rId4">
              <w:r>
                <w:rPr>
                  <w:rStyle w:val="InternetLink"/>
                  <w:rFonts w:ascii="Times New Roman" w:hAnsi="Times New Roman"/>
                  <w:sz w:val="20"/>
                </w:rPr>
                <w:t>Form 10-Q</w:t>
              </w:r>
            </w:hyperlink>
            <w:r>
              <w:rPr>
                <w:rFonts w:ascii="Times New Roman" w:hAnsi="Times New Roman"/>
                <w:sz w:val="20"/>
              </w:rPr>
              <w:t xml:space="preserve">, filed with the SEC on May 9,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224"/>
        <w:gridCol w:w="204"/>
        <w:gridCol w:w="100"/>
        <w:gridCol w:w="8677"/>
      </w:tblGrid>
      <w:tr>
        <w:trPr/>
        <w:tc>
          <w:tcPr>
            <w:tcW w:w="1224"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677"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5">
              <w:r>
                <w:rPr>
                  <w:rStyle w:val="InternetLink"/>
                  <w:rFonts w:ascii="Times New Roman" w:hAnsi="Times New Roman"/>
                  <w:sz w:val="20"/>
                </w:rPr>
                <w:t>January 5, 2023</w:t>
              </w:r>
            </w:hyperlink>
            <w:r>
              <w:rPr>
                <w:rFonts w:ascii="Times New Roman" w:hAnsi="Times New Roman"/>
                <w:sz w:val="20"/>
              </w:rPr>
              <w:t xml:space="preserve">, </w:t>
            </w:r>
            <w:hyperlink r:id="rId6">
              <w:r>
                <w:rPr>
                  <w:rStyle w:val="InternetLink"/>
                  <w:rFonts w:ascii="Times New Roman" w:hAnsi="Times New Roman"/>
                  <w:sz w:val="20"/>
                </w:rPr>
                <w:t>April  24, 2023</w:t>
              </w:r>
            </w:hyperlink>
            <w:r>
              <w:rPr>
                <w:rFonts w:ascii="Times New Roman" w:hAnsi="Times New Roman"/>
                <w:sz w:val="20"/>
              </w:rPr>
              <w:t xml:space="preserve">, </w:t>
            </w:r>
            <w:hyperlink r:id="rId7">
              <w:r>
                <w:rPr>
                  <w:rStyle w:val="InternetLink"/>
                  <w:rFonts w:ascii="Times New Roman" w:hAnsi="Times New Roman"/>
                  <w:sz w:val="20"/>
                </w:rPr>
                <w:t>June  27, 2023</w:t>
              </w:r>
            </w:hyperlink>
            <w:r>
              <w:rPr>
                <w:rFonts w:ascii="Times New Roman" w:hAnsi="Times New Roman"/>
                <w:sz w:val="20"/>
              </w:rPr>
              <w:t xml:space="preserve"> and </w:t>
            </w:r>
            <w:hyperlink r:id="rId8">
              <w:r>
                <w:rPr>
                  <w:rStyle w:val="InternetLink"/>
                  <w:rFonts w:ascii="Times New Roman" w:hAnsi="Times New Roman"/>
                  <w:sz w:val="20"/>
                </w:rPr>
                <w:t>July 31, 2023</w:t>
              </w:r>
            </w:hyperlink>
            <w:r>
              <w:rPr>
                <w:rFonts w:ascii="Times New Roman" w:hAnsi="Times New Roman"/>
                <w:sz w:val="20"/>
              </w:rPr>
              <w:t xml:space="preserve"> (each to the extent filed and not furnished);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224"/>
        <w:gridCol w:w="203"/>
        <w:gridCol w:w="101"/>
        <w:gridCol w:w="8677"/>
      </w:tblGrid>
      <w:tr>
        <w:trPr/>
        <w:tc>
          <w:tcPr>
            <w:tcW w:w="1224"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677"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w:t>
            </w:r>
            <w:hyperlink r:id="rId9">
              <w:r>
                <w:rPr>
                  <w:rStyle w:val="InternetLink"/>
                  <w:rFonts w:ascii="Times New Roman" w:hAnsi="Times New Roman"/>
                  <w:sz w:val="20"/>
                </w:rPr>
                <w:t>Form 10-K</w:t>
              </w:r>
            </w:hyperlink>
            <w:r>
              <w:rPr>
                <w:rFonts w:ascii="Times New Roman" w:hAnsi="Times New Roman"/>
                <w:sz w:val="20"/>
              </w:rPr>
              <w:t xml:space="preserve"> for the year ended December 31, 2022 from our </w:t>
            </w:r>
            <w:hyperlink r:id="rId10">
              <w:r>
                <w:rPr>
                  <w:rStyle w:val="InternetLink"/>
                  <w:rFonts w:ascii="Times New Roman" w:hAnsi="Times New Roman"/>
                  <w:sz w:val="20"/>
                </w:rPr>
                <w:t>definitive proxy statement</w:t>
              </w:r>
            </w:hyperlink>
            <w:r>
              <w:rPr>
                <w:rFonts w:ascii="Times New Roman" w:hAnsi="Times New Roman"/>
                <w:sz w:val="20"/>
              </w:rPr>
              <w:t xml:space="preserve"> relating to our 2023 annual meeting of stockholders, which was filed with the SEC on April 26, 2023;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224"/>
        <w:gridCol w:w="203"/>
        <w:gridCol w:w="101"/>
        <w:gridCol w:w="8677"/>
      </w:tblGrid>
      <w:tr>
        <w:trPr/>
        <w:tc>
          <w:tcPr>
            <w:tcW w:w="1224"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677" w:type="dxa"/>
            <w:tcBorders/>
          </w:tcPr>
          <w:p>
            <w:pPr>
              <w:pStyle w:val="TableContents"/>
              <w:bidi w:val="0"/>
              <w:spacing w:before="0" w:after="0"/>
              <w:jc w:val="left"/>
              <w:rPr/>
            </w:pPr>
            <w:r>
              <w:rPr>
                <w:rFonts w:ascii="Times New Roman" w:hAnsi="Times New Roman"/>
                <w:sz w:val="20"/>
              </w:rPr>
              <w:t xml:space="preserve">the description of our common stock contained in </w:t>
            </w:r>
            <w:hyperlink r:id="rId11">
              <w:r>
                <w:rPr>
                  <w:rStyle w:val="InternetLink"/>
                  <w:rFonts w:ascii="Times New Roman" w:hAnsi="Times New Roman"/>
                  <w:sz w:val="20"/>
                </w:rPr>
                <w:t>Exhibit 4.2</w:t>
              </w:r>
            </w:hyperlink>
            <w:r>
              <w:rPr>
                <w:rFonts w:ascii="Times New Roman" w:hAnsi="Times New Roman"/>
                <w:sz w:val="20"/>
              </w:rPr>
              <w:t xml:space="preserve"> to the Registrants Form 10-K for the year ended December 31, 2022, filed with the SEC on March 17, 2023, and any amendment or report filed with the SEC for the purpose of updating the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also incorporate by reference into this prospectus supplement additional documents that we may file with the SEC under Sections 13(a), 13(c), 14 or 15(d) of the Exchange Act after the date of this prospectus supplement and prior to the completion or termination of the offering, but excluding any information deemed furnished and not filed with the SEC. Any statements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may contain information that updates, modifies or is contrary to information in one or more of the documents incorporated by reference in this prospectus supplement. You should rely only on the information incorporated by reference or provided in this prospectus supplement. We have not authorized anyone else to provide you with different information. You should not assume that the information in this prospectus supplement is accurate as of any date other than the date of this prospectus supplement or the date of the documents incorporated by reference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to each person, including any beneficial owner, to whom this prospectus supplement is delivered, upon written or oral request, at no cost to the requester, a copy of any and all of the information that is incorporated by reference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You should direct any requests for documents to: </w:t>
      </w:r>
    </w:p>
    <w:p>
      <w:pPr>
        <w:pStyle w:val="TextBody"/>
        <w:bidi w:val="0"/>
        <w:spacing w:before="240" w:after="0"/>
        <w:jc w:val="center"/>
        <w:rPr>
          <w:rFonts w:ascii="Times New Roman" w:hAnsi="Times New Roman"/>
          <w:sz w:val="20"/>
        </w:rPr>
      </w:pPr>
      <w:r>
        <w:rPr>
          <w:rFonts w:ascii="Times New Roman" w:hAnsi="Times New Roman"/>
          <w:sz w:val="20"/>
        </w:rPr>
        <w:t xml:space="preserve">Tarsus Pharmaceuticals, Inc.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15440 Laguna Canyon Road, Suite 160 </w:t>
      </w:r>
    </w:p>
    <w:p>
      <w:pPr>
        <w:pStyle w:val="TextBody"/>
        <w:bidi w:val="0"/>
        <w:spacing w:before="0" w:after="0"/>
        <w:jc w:val="center"/>
        <w:rPr>
          <w:rFonts w:ascii="Times New Roman" w:hAnsi="Times New Roman"/>
          <w:sz w:val="20"/>
        </w:rPr>
      </w:pPr>
      <w:r>
        <w:rPr>
          <w:rFonts w:ascii="Times New Roman" w:hAnsi="Times New Roman"/>
          <w:sz w:val="20"/>
        </w:rPr>
        <w:t xml:space="preserve">Irvine, California 92618 </w:t>
      </w:r>
    </w:p>
    <w:p>
      <w:pPr>
        <w:pStyle w:val="TextBody"/>
        <w:bidi w:val="0"/>
        <w:spacing w:before="0" w:after="0"/>
        <w:jc w:val="center"/>
        <w:rPr>
          <w:rFonts w:ascii="Times New Roman" w:hAnsi="Times New Roman"/>
          <w:sz w:val="20"/>
        </w:rPr>
      </w:pPr>
      <w:r>
        <w:rPr>
          <w:rFonts w:ascii="Times New Roman" w:hAnsi="Times New Roman"/>
          <w:sz w:val="20"/>
        </w:rPr>
        <w:t xml:space="preserve">(949) 409-9820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reports and documents incorporated by reference herein may also be found in the Investors &amp; News section of our website at www.tarsusrx.com. Except for the specific incorporated documents listed above, the information on, or that can be accessed through, our website shall not be deemed to be incorporated by reference in this prospectus supplement or the registration statement of which it forms a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226695" cy="15367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2"/>
                    <a:stretch>
                      <a:fillRect/>
                    </a:stretch>
                  </pic:blipFill>
                  <pic:spPr bwMode="auto">
                    <a:xfrm>
                      <a:off x="0" y="0"/>
                      <a:ext cx="226695" cy="153670"/>
                    </a:xfrm>
                    <a:prstGeom prst="rect">
                      <a:avLst/>
                    </a:prstGeom>
                  </pic:spPr>
                </pic:pic>
              </a:graphicData>
            </a:graphic>
          </wp:inline>
        </w:drawing>
      </w:r>
      <w:r>
        <w:rPr/>
        <w:t xml:space="preserve"> </w:t>
      </w:r>
    </w:p>
    <w:p>
      <w:pPr>
        <w:pStyle w:val="TextBody"/>
        <w:bidi w:val="0"/>
        <w:spacing w:before="80" w:after="0"/>
        <w:jc w:val="center"/>
        <w:rPr>
          <w:rFonts w:ascii="Times New Roman" w:hAnsi="Times New Roman"/>
          <w:b/>
          <w:sz w:val="36"/>
        </w:rPr>
      </w:pPr>
      <w:r>
        <w:rPr>
          <w:rFonts w:ascii="Times New Roman" w:hAnsi="Times New Roman"/>
          <w:b/>
          <w:sz w:val="36"/>
        </w:rPr>
        <w:t xml:space="preserve">$300,000,000 </w:t>
      </w:r>
    </w:p>
    <w:p>
      <w:pPr>
        <w:pStyle w:val="TextBody"/>
        <w:bidi w:val="0"/>
        <w:spacing w:before="8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8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8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80" w:after="0"/>
        <w:jc w:val="center"/>
        <w:rPr>
          <w:rFonts w:ascii="Times New Roman" w:hAnsi="Times New Roman"/>
          <w:b/>
          <w:sz w:val="28"/>
        </w:rPr>
      </w:pPr>
      <w:r>
        <w:rPr>
          <w:rFonts w:ascii="Times New Roman" w:hAnsi="Times New Roman"/>
          <w:b/>
          <w:sz w:val="28"/>
        </w:rPr>
        <w:t xml:space="preserve">Warrants </w:t>
      </w:r>
    </w:p>
    <w:p>
      <w:pPr>
        <w:pStyle w:val="TextBody"/>
        <w:bidi w:val="0"/>
        <w:spacing w:before="8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80" w:after="0"/>
        <w:jc w:val="left"/>
        <w:rPr>
          <w:rFonts w:ascii="Times New Roman" w:hAnsi="Times New Roman"/>
          <w:sz w:val="20"/>
        </w:rPr>
      </w:pPr>
      <w:r>
        <w:rPr>
          <w:rFonts w:ascii="Times New Roman" w:hAnsi="Times New Roman"/>
          <w:sz w:val="20"/>
        </w:rPr>
        <w:t xml:space="preserve">We may offer and sell from time to time up to $300 million in the aggregate, in one or more series or issuances and on terms that we will determine at the time of the offering, any combination of the securities described in this prospectus. This prospectus provides you with a general description of the securities we may offer. We will provide specific terms of any offering in a prospectus supplement to this prospectus. Any prospectus supplement and any related free writing prospectus may also add, update, or change information contained in this prospectus. You should carefully read this prospectus and the applicable prospectus supplement and any related free writing prospectus relating to a particular offering as well as the documents incorporated or deemed to be incorporated by reference in this prospectus before you purchase any of the securities offered hereby. </w:t>
      </w:r>
    </w:p>
    <w:p>
      <w:pPr>
        <w:pStyle w:val="TextBody"/>
        <w:bidi w:val="0"/>
        <w:spacing w:before="80" w:after="0"/>
        <w:jc w:val="left"/>
        <w:rPr>
          <w:rFonts w:ascii="Times New Roman" w:hAnsi="Times New Roman"/>
          <w:sz w:val="20"/>
        </w:rPr>
      </w:pPr>
      <w:r>
        <w:rPr>
          <w:rFonts w:ascii="Times New Roman" w:hAnsi="Times New Roman"/>
          <w:sz w:val="20"/>
        </w:rPr>
        <w:t xml:space="preserve">We may offer and sell these securities in the same offering or in separate offerings; to or through one or more underwriters, dealers and agents; or directly to purchasers, or through a combination of these methods. The names of any underwriters, dealers, or agents involved in the sale of our securities, their compensation and any over-allotment options held by them will be described in the applicable prospectus supplement. None of our securities may be sold without delivery of the applicable prospectus supplement describing the method and terms of the offering of those securities. See Plan of Distribution. </w:t>
      </w:r>
    </w:p>
    <w:p>
      <w:pPr>
        <w:pStyle w:val="TextBody"/>
        <w:bidi w:val="0"/>
        <w:spacing w:before="80" w:after="0"/>
        <w:jc w:val="left"/>
        <w:rPr>
          <w:rFonts w:ascii="Times New Roman" w:hAnsi="Times New Roman"/>
          <w:sz w:val="20"/>
        </w:rPr>
      </w:pPr>
      <w:r>
        <w:rPr>
          <w:rFonts w:ascii="Times New Roman" w:hAnsi="Times New Roman"/>
          <w:sz w:val="20"/>
        </w:rPr>
        <w:t xml:space="preserve">Our common stock is listed on the Nasdaq Global Select Market, or Nasdaq, under the symbol TARS. On October 29, 2021, the last reported sale price for our common stock was $27.76 per share. This prospectus may not be used to consummate a sale of any securities unless accompanied by a prospectus supplement.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80" w:after="0"/>
        <w:jc w:val="left"/>
        <w:rPr/>
      </w:pPr>
      <w:r>
        <w:rPr>
          <w:rFonts w:ascii="Times New Roman" w:hAnsi="Times New Roman"/>
          <w:b/>
          <w:sz w:val="24"/>
        </w:rPr>
        <w:t>INVESTING IN OUR SECURITIES INVOLVES SIGNIFICANT RISKS. SEE </w:t>
      </w:r>
      <w:hyperlink w:anchor="tx538323_3">
        <w:r>
          <w:rPr>
            <w:rStyle w:val="InternetLink"/>
            <w:rFonts w:ascii="Times New Roman" w:hAnsi="Times New Roman"/>
            <w:b/>
            <w:sz w:val="24"/>
          </w:rPr>
          <w:t>RISK FACTORS</w:t>
        </w:r>
      </w:hyperlink>
      <w:r>
        <w:rPr>
          <w:rFonts w:ascii="Times New Roman" w:hAnsi="Times New Roman"/>
          <w:b/>
          <w:sz w:val="24"/>
        </w:rPr>
        <w:t> BEGINNING ON PAGE 5 OF THIS PROSPECTUS AND ANY SIMILAR SECTION CONTAINED IN THE APPLICABLE PROSPECTUS SUPPLEMENT AS WELL AS THE RISK FACTORS THAT ARE INCORPORATED BY REFERENCE INTO THIS PROSPECTUS AND ANY PROSPECTUS SUPPLEMENT FROM OUR FILINGS WITH THE SECURITIES AND EXCHANGE COMMISSION, BEFORE INVESTING IN ANY OF OUR SECURITIES.</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80" w:after="0"/>
        <w:jc w:val="left"/>
        <w:rPr>
          <w:rFonts w:ascii="Times New Roman" w:hAnsi="Times New Roman"/>
          <w:b/>
          <w:sz w:val="20"/>
        </w:rPr>
      </w:pPr>
      <w:r>
        <w:rPr>
          <w:rFonts w:ascii="Times New Roman" w:hAnsi="Times New Roman"/>
          <w:b/>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before="80" w:after="0"/>
        <w:jc w:val="center"/>
        <w:rPr>
          <w:rFonts w:ascii="Times New Roman" w:hAnsi="Times New Roman"/>
          <w:b/>
          <w:sz w:val="20"/>
        </w:rPr>
      </w:pPr>
      <w:r>
        <w:rPr>
          <w:rFonts w:ascii="Times New Roman" w:hAnsi="Times New Roman"/>
          <w:b/>
          <w:sz w:val="20"/>
        </w:rPr>
        <w:t xml:space="preserve">The date of this prospectus is November 5, 2021.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5" w:name="toc1"/>
      <w:bookmarkEnd w:id="15"/>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538323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tcPr>
          <w:p>
            <w:pPr>
              <w:pStyle w:val="TableContents"/>
              <w:bidi w:val="0"/>
              <w:spacing w:before="0" w:after="0"/>
              <w:jc w:val="left"/>
              <w:rPr/>
            </w:pPr>
            <w:hyperlink w:anchor="tx538323_2">
              <w:r>
                <w:rPr>
                  <w:rStyle w:val="InternetLink"/>
                  <w:rFonts w:ascii="Times New Roman" w:hAnsi="Times New Roman"/>
                  <w:sz w:val="20"/>
                </w:rPr>
                <w:t>PROSPECTUS SUMMARY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tcPr>
          <w:p>
            <w:pPr>
              <w:pStyle w:val="TableContents"/>
              <w:bidi w:val="0"/>
              <w:spacing w:before="0" w:after="0"/>
              <w:jc w:val="left"/>
              <w:rPr/>
            </w:pPr>
            <w:hyperlink w:anchor="tx538323_3">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tcPr>
          <w:p>
            <w:pPr>
              <w:pStyle w:val="TableContents"/>
              <w:bidi w:val="0"/>
              <w:spacing w:before="0" w:after="0"/>
              <w:jc w:val="left"/>
              <w:rPr/>
            </w:pPr>
            <w:hyperlink w:anchor="tx538323_4">
              <w:r>
                <w:rPr>
                  <w:rStyle w:val="InternetLink"/>
                  <w:rFonts w:ascii="Times New Roman" w:hAnsi="Times New Roman"/>
                  <w:sz w:val="20"/>
                </w:rPr>
                <w:t>SPECIAL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tcPr>
          <w:p>
            <w:pPr>
              <w:pStyle w:val="TableContents"/>
              <w:bidi w:val="0"/>
              <w:spacing w:before="0" w:after="0"/>
              <w:jc w:val="left"/>
              <w:rPr/>
            </w:pPr>
            <w:hyperlink w:anchor="tx538323_5">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tcPr>
          <w:p>
            <w:pPr>
              <w:pStyle w:val="TableContents"/>
              <w:bidi w:val="0"/>
              <w:spacing w:before="0" w:after="0"/>
              <w:jc w:val="left"/>
              <w:rPr/>
            </w:pPr>
            <w:hyperlink w:anchor="tx538323_6">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tcPr>
          <w:p>
            <w:pPr>
              <w:pStyle w:val="TableContents"/>
              <w:bidi w:val="0"/>
              <w:spacing w:before="0" w:after="0"/>
              <w:jc w:val="left"/>
              <w:rPr/>
            </w:pPr>
            <w:hyperlink w:anchor="tx538323_7">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tcPr>
          <w:p>
            <w:pPr>
              <w:pStyle w:val="TableContents"/>
              <w:bidi w:val="0"/>
              <w:spacing w:before="0" w:after="0"/>
              <w:jc w:val="left"/>
              <w:rPr/>
            </w:pPr>
            <w:hyperlink w:anchor="tx538323_8">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tcPr>
          <w:p>
            <w:pPr>
              <w:pStyle w:val="TableContents"/>
              <w:bidi w:val="0"/>
              <w:spacing w:before="0" w:after="0"/>
              <w:jc w:val="left"/>
              <w:rPr/>
            </w:pPr>
            <w:hyperlink w:anchor="tx538323_9">
              <w:r>
                <w:rPr>
                  <w:rStyle w:val="InternetLink"/>
                  <w:rFonts w:ascii="Times New Roman" w:hAnsi="Times New Roman"/>
                  <w:sz w:val="20"/>
                </w:rPr>
                <w:t>DESCRIPTION OF UNITS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tcPr>
          <w:p>
            <w:pPr>
              <w:pStyle w:val="TableContents"/>
              <w:bidi w:val="0"/>
              <w:spacing w:before="0" w:after="0"/>
              <w:jc w:val="left"/>
              <w:rPr/>
            </w:pPr>
            <w:hyperlink w:anchor="tx538323_10">
              <w:r>
                <w:rPr>
                  <w:rStyle w:val="InternetLink"/>
                  <w:rFonts w:ascii="Times New Roman" w:hAnsi="Times New Roman"/>
                  <w:sz w:val="20"/>
                </w:rPr>
                <w:t>LEGAL OWNERSHIP OF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tcPr>
          <w:p>
            <w:pPr>
              <w:pStyle w:val="TableContents"/>
              <w:bidi w:val="0"/>
              <w:spacing w:before="0" w:after="0"/>
              <w:jc w:val="left"/>
              <w:rPr/>
            </w:pPr>
            <w:hyperlink w:anchor="tx538323_11">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tcPr>
          <w:p>
            <w:pPr>
              <w:pStyle w:val="TableContents"/>
              <w:bidi w:val="0"/>
              <w:spacing w:before="0" w:after="0"/>
              <w:jc w:val="left"/>
              <w:rPr/>
            </w:pPr>
            <w:hyperlink w:anchor="tx538323_12">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tcPr>
          <w:p>
            <w:pPr>
              <w:pStyle w:val="TableContents"/>
              <w:bidi w:val="0"/>
              <w:spacing w:before="0" w:after="0"/>
              <w:jc w:val="left"/>
              <w:rPr/>
            </w:pPr>
            <w:hyperlink w:anchor="tx538323_13">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tcPr>
          <w:p>
            <w:pPr>
              <w:pStyle w:val="TableContents"/>
              <w:bidi w:val="0"/>
              <w:spacing w:before="0" w:after="0"/>
              <w:jc w:val="left"/>
              <w:rPr/>
            </w:pPr>
            <w:hyperlink w:anchor="tx538323_14">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tcPr>
          <w:p>
            <w:pPr>
              <w:pStyle w:val="TableContents"/>
              <w:bidi w:val="0"/>
              <w:spacing w:before="0" w:after="0"/>
              <w:jc w:val="left"/>
              <w:rPr/>
            </w:pPr>
            <w:hyperlink w:anchor="tx538323_15">
              <w:r>
                <w:rPr>
                  <w:rStyle w:val="InternetLink"/>
                  <w:rFonts w:ascii="Times New Roman" w:hAnsi="Times New Roman"/>
                  <w:sz w:val="20"/>
                </w:rPr>
                <w:t>INFORMATION INCORPORATED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6" w:name="tx538323_1"/>
      <w:bookmarkEnd w:id="16"/>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on Form S-3 that we filed with the United States Securities and Exchange Commission, or the SEC, using a shelf registration process. Under this shelf registration process, we may, from time to time, offer and sell any combination of the securities described in this prospectus in one or more offerings up to a total aggregate offering price of $300 million.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with a general description of the securities we may offer. Each time we sell securities, we will provide a prospectus supplement that will contain specific information about the terms of that offering. The prospectus supplement may include a discussion of any risk factors or other special considerations that apply to those securities. The prospectus supplement may also add to, update or change information contained in the prospectus and, accordingly, to the extent inconsistent, information in this prospectus is superseded by the information in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to be attached to the front of this prospectus may describe, as applicable: the terms of the securities offered; the initial or secondary public offering price; the price paid for the securities; net proceeds; and the other specific terms related to the offering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You should only rely on the information contained or incorporated by reference in this prospectus and any prospectus supplement or related free writing prospectus relating to a particular offering. No person has been authorized to give any information or make any representations in connection with this offering other than those contained or incorporated by reference in this prospectus, any accompanying prospectus supplement and any related free writing prospectus in connection with the offering described herein and therein, and, if given or made, such information or representations must not be relied upon as having been authorized by us. Neither this prospectus nor any prospectus supplement nor any related free writing prospectus shall constitute an offer to sell or a solicitation of an offer to buy offered securities in any jurisdiction in which it is unlawful for such person to make such an offering or solicitation. This prospectus does not contain all of the information included in the registration statement. For a more complete understanding of the offering of the securities, you should refer to the registration statement, including its exhibits.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the entire prospectus and any accompanying prospectus supplement and any related free writing prospectus, as well as the documents incorporated by reference before making an investment decision. Neither the delivery of this prospectus or any prospectus supplement or any related free writing prospectus nor any sale made hereunder shall under any circumstances imply that the information contained or incorporated by reference herein or in any prospectus supplement or related free writing prospectus is correct as of any date subsequent to the date hereof or of such prospectus supplement or related free writing prospectus, as applicable. You should assume that the information appearing in this prospectus, any prospectus supplement or any document incorporated by reference is accurate only as of the date of the applicable documents, regardless of the time of delivery of this prospectus or any sale of securities. Our business, financial condition, results of operations and prospects may have changed since that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17" w:name="tx538323_2"/>
      <w:bookmarkEnd w:id="17"/>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description about us and our business highlights selected information contained elsewhere in this prospectus or incorporated in this prospectus by reference. This summary does not contain all of the information you should consider before buying securities in this offering. You should carefully read this entire prospectus and any applicable prospectus supplement, including each of the documents incorporated herein or therein by reference, before making an investment decision. As used in this prospectus, we, us, Tarsus, the Company, and our refer to Tarsus Pharmaceuticals, Inc., a Delaware corporation.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late clinical-stage biopharmaceutical company focused on the development and commercialization of therapeutic candidates to address large market opportunities initially in ophthalmic conditions where there are limited treatment alternatives. Our lead product candidate, TP-03, is a novel therapeutic in Phase 3 that is being developed for the treatment of blepharitis caused by the infestation of Demodex mites, which is referred to as Demodex blepharitis. Blepharitis (Blephar is a reference to eyelid and itis is a reference to inflammation) is a condition characterized by inflammation of the eyelid margin, redness and ocular irritation, including a specific type of eyelash dandruff called collarettes. The healthy interaction of the eyelid and the surface of the eye is crucial to ocular health. Poorly controlled and progressive blepharitis can lead to worsening of corneal damage over time and, in extreme cases, blindness.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believe that TP-03 has the potential to be the first therapeutic approved by the United States Food and Drug Administration, or FDA, for the treatment of Demodex blepharitis and become the standard of care. The active pharmaceutical ingredient, or API, of TP-03, lotilaner, is designed to paralyze and eradicate mites and other parasites through the inhibition of parasite-specific gamma-aminobutyric acid-gated chloride, or GABA-Cl channels.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intend to further advance our pipeline with the lotilaner API to address several diseases across therapeutic categories in human medicine, including eye care, dermatology, and other diseases. These targeted diseases with high unmet medical needs currently include TP-03 for the treatment of Meibomian Glad Disease, TP-04 for the potential treatment of rosacea and TP-05 for the potential Lyme disease prophylaxis and community malaria reduction.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under the laws of the state of Delaware on November 17, 2016. Our principal executive offices are located at 15440 Laguna Canyon Road, Suite 160, Irvine, California 92618. Our main telephone number is (949) 409-9820. Our website is www.tarsusrx.com. The information on, or that can be accessed through, our website address is not part of this prospectus and is not incorporated by reference herein.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Trademarks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Tarsus Pharmaceuticals, Tarsus, and our logo are some of our tradenames used in this prospectus and in the documents incorporated by reference in this prospectus. This prospectus also includes trademarks, tradenames, and service marks that are the property of other organizations. Solely for convenience, our trademarks and tradenames referred to in this prospectus or in the documents incorporated by reference in this prospectus appear without the  or ® symbol, but those references are not intended to indicate, in any way, that we will not assert, to the fullest extent under applicable law, our rights, or the right of the applicable licensor to these trademarks and tradenames.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We are an Emerging Growth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currently are an emerging growth company as defined in the Jumpstart Our Business Startups Act of 2012, as amended, or JOBS Act. We will remain an emerging growth company until the earliest to occur of: (i) the last day of the fiscal year in which we have more than $1.07 billion in annual revenue; (ii) the date we qualify as a large accelerated filer, as defined in Rule 12b-2 under the Exchange Act, with at least $700 million of equity securities held by non-affiliates; (iii) the issuance, in any three-year period, by us of more than $1.0 billion in non-convertible debt securities; and (iv) the last day of the fiscal year ending after the fifth anniversary of our initial public offering. As a result of this status, we have taken advantage of reduced reporting requirements in this prospectus that are applicable to other publicly-traded entities that are not emerging growth companies and may elect to take advantage of other exemptions from reporting requirements in our future filings with the SEC. In addition, Section 107 of the JOBS Act provides that an emerging growth company may take advantage of an extended transition period for complying with new or revised accounting standards, delaying the adoption of these accounting standards until they would apply to private companies. We have irrevocably elected not to avail ourselves of this exemption and, as a result, we will adopt new or revised accounting standards on the relevant dates on which adoption of such standards is required for other public companies that are not emerging growth companies. Even after we no longer qualify as an emerging growth company, we may continue to qualify as a smaller reporting company, which would allow us to take advantage of many of the same exemptions from disclosure requirements including reduced disclosure obligations regarding executive compensation in this prospectus and our periodic reports and proxy statements, if either (i) the market value of our stock held by non-affiliates is less than $250 million or (ii) our annual revenue is less than $100 million during the most recently completed fiscal year and the market value of our stock held by non-affiliates is less than $700 million.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Securities We May Offer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offer up to $300 million of common stock, preferred stock, debt securities and warrants in one or more offerings and in any combination, including in units from time to time. This prospectus provides you with a general description of the securities we may offer. A prospectus supplement, which we will provide each time we offer securities, will describe the specific amounts, prices and terms of these securities.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Common Stock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holder of our common stock is entitled to one vote for each share on all matters to be voted upon by the stockholders, and there are no cumulative rights. Subject to any preferential rights of any outstanding preferred stock, holders of our common stock are entitled to receive ratably the dividends, if any, as may be declared from time to time by the board of directors out of funds legally available therefor. If there is a liquidation, dissolution or winding up of our company, holders of our common stock would be entitled to share in our assets remaining after the payment of liabilities and any preferential rights of any outstanding preferred stock. Our common stock is described in greater detail in this prospectus under Description of Capital Stock  Common Stock.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Preferred Stock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terms of our amended and restated certificate of incorporation, our board of directors is authorized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series of preferred stock, if issued, will be more fully described in the particular prospectus supplement that will accompany this prospectus, including redemption provisions, rights in the event of our liquidation, dissolution or winding up, voting rights and rights to convert into common stock. We have no present plans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issue any shares of preferred stock, nor are any shares of our preferred stock presently outstanding. Preferred stock is described in greater detail in this prospectus under Description of Capital Stock  Preferred Stock.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Debt Securities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debt securities may be senior or subordinated in right of payment. For any particular debt securities we offer, the applicable prospectus supplement or term sheet will describe the title and series of the debt securities, the aggregate principal amount and the original issue price; the ranking, whether senior or subordinated; the stated maturity; the redemption terms, if any; the rate or manner of calculating the rate and the payment dates for interest; the amount or manner of calculating the amount payable at maturity and whether that amount may be paid by delivering cash, securities or other property; the terms on which the debt securities may be convertible into or exchangeable for common stock or other securities of Tarsus, or any other entity, if any; and any other specific terms. We will issue the debt securities under an indenture, as described in Description of Debt Securities.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Warrants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issue warrants for the purchase of common stock, preferred stock or debt securities. We may issue warrants independently or together with other securities.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warrants will be evidenced by warrant certificates issued under one or more warrant agreements, which are contracts between us and an agent for the holders of the warrants. In this prospectus, we have summarized certain general features of the warrants under Description of Warrants. We urge you, however, to read the prospectus supplements and any free writing prospectus that we may authorize to be provided to you related to the series of warrants being offered, as well as the complete warrant agreements and warrant certificates that contain the terms of the warrants. Specific warrant agreements will contain additional important terms and provisions and will be incorporated by reference as an exhibit to the registration statement which includes this prospectus.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Units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issue units comprised of one or more of the other classes of securities issued by us as described in this prospectus in any combination. Each unit will be issued so that the holder of the unit is also the holder of each security included in the unit. Units are described in greater detail in this prospectus under Description of Units.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8" w:name="tx538323_3"/>
      <w:bookmarkEnd w:id="18"/>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An investment in our securities involves significant risks.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Item 1A, Risk Factors, in our most recent Annual Report on Form 10-K and in our Quarterly Reports on Form 10-Q filed subsequent to such Annual Report on Form 10-K, as well as any amendments thereto, all of which are incorporated herein by reference, and may be amended, supplemented or superseded from time to time by other reports we file with the SEC in the future and by information contained in any prospectus supplement related to a particular offering. The risks and uncertainties we have described are not the only ones we face. Additional risks and uncertainties not presently known to us or that we currently deem immaterial may also affect our business, results of operations and financial conditions and could result in a partial or complete loss of your investment. </w:t>
      </w:r>
    </w:p>
    <w:p>
      <w:pPr>
        <w:pStyle w:val="TextBody"/>
        <w:bidi w:val="0"/>
        <w:spacing w:before="480" w:after="0"/>
        <w:jc w:val="center"/>
        <w:rPr>
          <w:rFonts w:ascii="Times New Roman" w:hAnsi="Times New Roman"/>
          <w:b/>
          <w:sz w:val="20"/>
        </w:rPr>
      </w:pPr>
      <w:bookmarkStart w:id="19" w:name="tx538323_4"/>
      <w:bookmarkEnd w:id="19"/>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each prospectus supplement and the information incorporated by reference in this prospectus and each prospectus supplement contains and may contain certain statements that constitute forward-looking statements within the meaning of Section 27A of the Securities Act of 1933 and Section 21E of the Securities Exchange Act of 1934. The words aim, anticipate, assume, believe, can, contemplate, continue, could, due, estimate, expect, goal, intend, may, objective, ongoing, plan, potential, project, predict, seek, should, target, will, and would and similar expressions and variations thereof are intended to identify forward-looking statements, but are not the exclusive means of identifying such statements. Those statements appear in this prospectus, any accompanying prospectus supplement and the documents incorporated herein and therein by reference, particularly in the sections entitled Prospectus Summary, Risk Factors, Managements Discussion and Analysis of Financial Condition and Results of Operations, and Business, and include statements regarding the intent, belief or current expectations of the Company and management that are subject to known and unknown risks, uncertainties and assumptions.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any prospectus supplement and the information incorporated by reference in this prospectus and any prospectus supplement also contain statements that are based on the current expectations of our Company and management. You are cautioned that any such forward-looking statements are not guarantees of future performance and involve risks and uncertainties, and that actual results may differ materially from those projected in the forward-looking statements as a result of various factors. </w:t>
      </w:r>
    </w:p>
    <w:p>
      <w:pPr>
        <w:pStyle w:val="TextBody"/>
        <w:bidi w:val="0"/>
        <w:spacing w:before="240" w:after="0"/>
        <w:jc w:val="left"/>
        <w:rPr>
          <w:rFonts w:ascii="Times New Roman" w:hAnsi="Times New Roman"/>
          <w:sz w:val="20"/>
        </w:rPr>
      </w:pPr>
      <w:r>
        <w:rPr>
          <w:rFonts w:ascii="Times New Roman" w:hAnsi="Times New Roman"/>
          <w:sz w:val="20"/>
        </w:rPr>
        <w:t xml:space="preserve">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The risks, uncertainties and assumptions that could cause actual results to differ materially from those anticipated or implied in our forward-looking statements include, but are not limited to, those set forth above under the section entitled Risk Factors and in the applicable prospectus supplement, together with all of the other information contained in or incorporated by reference into the prospectus supplement or appearing or incorporated by reference into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0" w:name="tx538323_5"/>
      <w:bookmarkEnd w:id="20"/>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prospectus supplement, we will use the net proceeds from the sale of securities offered by this prospectus to fund the clinical development of our current product candidates, to develop or acquire new products or technologies that are complementary to our business (although have no such acquisition commitments as of the date of this prospectus supplement), and for our general corporate and working capital purposes. The timing and amount of our actual expenditures will be based on many factors, including the anticipated growth of our business. As a result, unless otherwise indicated in the prospectus supplement, our management will have broad discretion to allocate the net proceeds of the offerings. Pending their ultimate use, we intend to invest the net proceeds in short-term, investment-grade, interest-bearing instruments.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1" w:name="tx538323_6"/>
      <w:bookmarkEnd w:id="21"/>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information describes our common stock and preferred stock, as well as certain provisions of our amended and restated certificate of incorporation and amended and restated bylaws. This description is only a summary. You should also refer to our amended and restated certificate of incorporation and amended and restated bylaws, which have been incorporated by reference as exhibits to our registration statement, of which this prospectus forms a part. </w:t>
      </w:r>
    </w:p>
    <w:p>
      <w:pPr>
        <w:pStyle w:val="TextBody"/>
        <w:bidi w:val="0"/>
        <w:spacing w:before="240" w:after="0"/>
        <w:jc w:val="left"/>
        <w:rPr>
          <w:rFonts w:ascii="Times New Roman" w:hAnsi="Times New Roman"/>
          <w:sz w:val="20"/>
        </w:rPr>
      </w:pPr>
      <w:r>
        <w:rPr>
          <w:rFonts w:ascii="Times New Roman" w:hAnsi="Times New Roman"/>
          <w:sz w:val="20"/>
        </w:rPr>
        <w:t xml:space="preserve">Our authorized capital stock consists of 200,000,000 shares of common stock, with a $0.0001 par value per share and 10,000,000 shares of preferred stock, with a $0.0001 par value per share, all of which shares of preferred stock are undesignated. Our board of directors may establish the rights and preferences of the preferred stock from time to time. As of September 30, 2021, there were 20,671,079 shares of our common stock outstanding held by approximately 35 stockholders of record, although we believe that there may be a significantly larger number of beneficial owners of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common stock are entitled to one vote per share on all matters to be voted upon by the stockholders. The holders of common stock are entitled to receive ratably such dividends, if any, as may be declared from time to time by the board of directors out of funds legally available, subject to preferences that may be applicable to preferred stock, if any, then outstanding. In the event of a liquidation, dissolution or winding up of our company, the holders of common stock are entitled to share ratably in all assets remaining after payment of liabilities, subject to prior distribution rights of preferred stock, if any, then outstanding. The common stock has no preemptive or conversion rights or other subscription rights. There are no redemption or sinking fund provisions applicable to the common stock. All outstanding shares of common stock are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The rights, preferences and privileges of the holders of our common stock are subject to, and may be adversely affected by, the rights of the holders of shares of any series of preferred stock that we may designate and issue in the future.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under the symbol TARS. The transfer agent and registrar for our common stock is ComputerShare Trust Company, N.A. Its address is 462 South 4th Street, Suite 1600, Louisville, KY 40202.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 of preferred stock and the description of the terms of any particular series of preferred stock that we choose to issue hereunder and that will be set forth in the related prospectus supplement are not complete. These descriptions are qualified in their entirety by reference to our amended and restated certificate of incorporation and the certificate of designation relating to any series. The rights, preferences, privileges and restrictions of the preferred stock of each series will be fixed by the certificate of designation relating to that series. The prospectus supplement also will contain a description of certain United States federal income tax consequences relating to the purchase and ownership of the series of preferred stock that is described in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our amended and restated certificate of incorporation, our board of directors is authorized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 There are no restrictions presently on the repurchase or redemption of any shares of our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prospectus supplement for a series of preferred stock will specify: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maximum number of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of the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annual dividend rate, if any, whether the dividend rate is fixed or variable, the date or dates on which dividends will accrue, the dividend payment dates, and whether dividends will be cumulative;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and the terms and conditions for redemption, if any, including redemption at our option or at the option of the holders, including the time period for redemption, and any accumulated dividends or premiums;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liquidation preference, if any, and any accumulated dividends upon the liquidation, dissolution or winding up of our affairs;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sinking fund or similar provision, and, if so, the terms and provisions relating to the purpose and operation of the fund;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any, for conversion or exchange of shares of any other class or classes of our capital stock or any series of any other class or classes, or of any other series of the same class, or any other securities or assets, including the price or the rate of conversion or exchange and the method, if any, of adjustment;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voting rights;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or all other preferences and relative, participating, optional or other special rights, privileges or qualifications, limitations or restrictions.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issuance of preferred stock will affect, and may adversely affect, the rights of holders of common stock. It is not possible to state the actual effect of the issuance of any shares of preferred stock on the rights of holders of common stock until the board of directors determines the specific rights attached to that preferred stock. The effects of issuing preferred stock could include one or more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restricting dividends on the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diluting the voting power of the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impairing the liquidation rights of the common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delaying or preventing changes in control or management of our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no present plans to issue any shares of preferred stock nor are any shares of our preferred stock presently outstanding. Preferred stock will be fully paid and nonassessable upon issuance.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2" w:name="tx538323_7"/>
      <w:bookmarkEnd w:id="22"/>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in one or more distinct series. This section summarizes the material terms of the debt securities that are expected to be common to all series. Most of the financial terms and other specific material terms, as well as any material U.S. federal income tax consequences, of any series of debt securities that we offer will be described in a prospectus supplement or term sheet to be attached to this prospectus. Since the terms of specific debt securities may differ from the general information provided below, you should read both this prospectus and the relevant prospectus supplement or term sheet and rely on information in the prospectus supplement or term sheet that supersedes any contrary or inconsistent information below. </w:t>
      </w:r>
    </w:p>
    <w:p>
      <w:pPr>
        <w:pStyle w:val="TextBody"/>
        <w:bidi w:val="0"/>
        <w:spacing w:before="240" w:after="0"/>
        <w:jc w:val="left"/>
        <w:rPr>
          <w:rFonts w:ascii="Times New Roman" w:hAnsi="Times New Roman"/>
          <w:sz w:val="20"/>
        </w:rPr>
      </w:pPr>
      <w:r>
        <w:rPr>
          <w:rFonts w:ascii="Times New Roman" w:hAnsi="Times New Roman"/>
          <w:sz w:val="20"/>
        </w:rPr>
        <w:t xml:space="preserve">As required by federal law for all bonds and notes of companies that are publicly offered, the debt securities will be governed by a document called an indenture. An indenture is a contract between us and a financial institution acting as trustee on your behalf. The trustee has two main roles. First, the trustee can enforce your rights against us if we default. There are some limitations on the extent to which the trustee acts on your behalf, described in the second paragraph under Events of Default. Second, the trustee performs certain administrative duties for us. </w:t>
      </w:r>
    </w:p>
    <w:p>
      <w:pPr>
        <w:pStyle w:val="TextBody"/>
        <w:bidi w:val="0"/>
        <w:spacing w:before="240" w:after="0"/>
        <w:jc w:val="left"/>
        <w:rPr>
          <w:rFonts w:ascii="Times New Roman" w:hAnsi="Times New Roman"/>
          <w:sz w:val="20"/>
        </w:rPr>
      </w:pPr>
      <w:r>
        <w:rPr>
          <w:rFonts w:ascii="Times New Roman" w:hAnsi="Times New Roman"/>
          <w:sz w:val="20"/>
        </w:rPr>
        <w:t xml:space="preserve">Senior or subordinated debt securities will be issued by us under an indenture or indentures dated as of                , 20     , as supplemented from time to time, between us, as issuer, and the trustee identified in the relevant prospectus supplement, or the trustee. The debt securities may be guaranteed by one or more of our subsidiaries.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be subject to and governed by the Trust Indenture Act of 1939, as amended, or the TIA. The terms we, our and us, when used to refer to an issuer of securities, means Tarsus Pharmaceuticals, Inc. </w:t>
      </w:r>
    </w:p>
    <w:p>
      <w:pPr>
        <w:pStyle w:val="TextBody"/>
        <w:bidi w:val="0"/>
        <w:spacing w:before="240" w:after="0"/>
        <w:jc w:val="left"/>
        <w:rPr>
          <w:rFonts w:ascii="Times New Roman" w:hAnsi="Times New Roman"/>
          <w:sz w:val="20"/>
        </w:rPr>
      </w:pPr>
      <w:r>
        <w:rPr>
          <w:rFonts w:ascii="Times New Roman" w:hAnsi="Times New Roman"/>
          <w:sz w:val="20"/>
        </w:rPr>
        <w:t xml:space="preserve">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or in the relevant prospectus supplement, but for the rest you will need to read the indenture. See Where You Can Find More Information for information on how to locate the indenture and any supplemental indentures that may be filed. </w:t>
      </w:r>
    </w:p>
    <w:p>
      <w:pPr>
        <w:pStyle w:val="TextBody"/>
        <w:bidi w:val="0"/>
        <w:spacing w:before="360" w:after="0"/>
        <w:jc w:val="left"/>
        <w:rPr>
          <w:rFonts w:ascii="Times New Roman" w:hAnsi="Times New Roman"/>
          <w:b/>
          <w:sz w:val="20"/>
        </w:rPr>
      </w:pPr>
      <w:r>
        <w:rPr>
          <w:rFonts w:ascii="Times New Roman" w:hAnsi="Times New Roman"/>
          <w:b/>
          <w:sz w:val="20"/>
        </w:rPr>
        <w:t xml:space="preserve">General Provisions of the Indenture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specified in a prospectus supplement or term sheet for a particular series, the debt securities covered by this prospectus will be direct, unsecured obligations of Tarsus. Any senior securities will be unsecured and will rank equally with all other unsecured and unsubordinated indebtedness of Tarsus. Any subordinated securities will be unsecured and will be subordinated in right of payment to the prior payment in full of the senior indebtedness of Tarsus, as more fully described in a prospectus supplement or term sheet.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provides that any debt securities proposed to be sold under this prospectus and an attached prospectus supplement or term sheet (offered debt securities) and any debt securities issuable upon the exercise of debt warrants or upon conversion or exchange of other offered securities (underlying debt securities), as well as other debt securities, may be issued under the indenture in one or more series. Any secured indebtedness of ours will rank ahead of the debt securities to the extent of the value of the assets securing such indebtedness.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the prospectus supplement or term sheet for the material terms of the offered debt securities and any underlying debt securities,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debt securities and whether the debt securities will be senior securities or subordinated securities of Tarsus;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total principal amount of the debt securities of the series and any limit on such total principal amount;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not the principal amount of the debt securities, the portion of the principal amount payable upon acceleration of the maturity of the debt securities or how this portion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or how the date or dates will be determined or may be extended, when the principal of the debt securities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rate or rates, which may be fixed or variable, that the debt securities will bear, if any, or how the rate or rates will be determined, the date or dates from which any interest will accrue or how the date or dates will be determined, the interest payment dates, any record dates for these payments, whether payments of interest will be made in cash or in kind and the basis upon which interest will be calculated if other than that of a 360-day year of twelve 30-day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optional redemption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sinking fund or other provisions that would obligate us to repurchase or otherwise redeem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form in which we will issue the debt securities and whether we will have the option of issuing debt securities in certificated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U.S. dollars, the currency or currencies in which the debt securities are denominated and/or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amount of payments of principal, premium or interest, if any, on the debt securities will be determined with reference to an index, formula or other method (which index, formula or method may be based, without limitation, on one or more currencies, commodities, equity indices or other indices), and how these amounts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if any, other than or in addition to The City of New York, of payment, transfer, conversion and/or exchange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minimum denominations of $2,000 or any integral multiple of $1,000 above the minimum denomination in the case of registered securities issued in certificated form, the denominations in which the offered debt securities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provisions of Article Fourteen of the indenture described under defeasance are not applicable and any provisions in modification of, in addition to or in lieu of any of these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under what circumstances we will pay additional amounts, as contemplated by Section 1010 of the indenture, in respect of any tax, assessment or governmental charge and, if so, whether we will have the option to redeem the debt securities rather than pay the additional amounts (and the terms of this option);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are subordinated and the terms of such subordination;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granting special rights to the holders of the debt securities upon the occurrence of specified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changes or additions to the Events of Default or covenants contained in the applicable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convertible into or exchangeable for any other securities and the applicable terms and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are guaranteed;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material terms of the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this prospectus, any reference to the payment of principal of or premium or interest, if any, on the debt securities will include additional amounts if required by the terms of the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 </w:t>
      </w:r>
    </w:p>
    <w:p>
      <w:pPr>
        <w:pStyle w:val="TextBody"/>
        <w:bidi w:val="0"/>
        <w:spacing w:before="240" w:after="0"/>
        <w:jc w:val="left"/>
        <w:rPr>
          <w:rFonts w:ascii="Times New Roman" w:hAnsi="Times New Roman"/>
          <w:sz w:val="20"/>
        </w:rPr>
      </w:pPr>
      <w:r>
        <w:rPr>
          <w:rFonts w:ascii="Times New Roman" w:hAnsi="Times New Roman"/>
          <w:sz w:val="20"/>
        </w:rPr>
        <w:t xml:space="preserve">The indenture does not contain any provisions that give you protection in the event we issue a large amount of debt, we repurchase a significant amount of equity or effect a recapitalization, or we are acquired by another entity. </w:t>
      </w:r>
    </w:p>
    <w:p>
      <w:pPr>
        <w:pStyle w:val="TextBody"/>
        <w:bidi w:val="0"/>
        <w:spacing w:before="240" w:after="0"/>
        <w:jc w:val="left"/>
        <w:rPr>
          <w:rFonts w:ascii="Times New Roman" w:hAnsi="Times New Roman"/>
          <w:sz w:val="20"/>
        </w:rPr>
      </w:pPr>
      <w:r>
        <w:rPr>
          <w:rFonts w:ascii="Times New Roman" w:hAnsi="Times New Roman"/>
          <w:sz w:val="20"/>
        </w:rPr>
        <w:t xml:space="preserve">We refer you to the applicable prospectus supplement or term sheet for information with respect to any deletions from, modifications of or additions to the Events of Default or our covenants that are described below, including any addition of a covenant or other provision providing event risk or similar protection. </w:t>
      </w:r>
    </w:p>
    <w:p>
      <w:pPr>
        <w:pStyle w:val="TextBody"/>
        <w:bidi w:val="0"/>
        <w:spacing w:before="240" w:after="0"/>
        <w:jc w:val="left"/>
        <w:rPr>
          <w:rFonts w:ascii="Times New Roman" w:hAnsi="Times New Roman"/>
          <w:sz w:val="20"/>
        </w:rPr>
      </w:pPr>
      <w:r>
        <w:rPr>
          <w:rFonts w:ascii="Times New Roman" w:hAnsi="Times New Roman"/>
          <w:sz w:val="20"/>
        </w:rPr>
        <w:t xml:space="preserve">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 Any additional indenture securities, together with all other outstanding indenture securities of that series, will constitute a single series of indenture securities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applicable prospectus supplement or term sheet, the debt securities will be denominated in U.S. dollars and all payments on the debt securities will be made in U.S. dollars. </w:t>
      </w:r>
    </w:p>
    <w:p>
      <w:pPr>
        <w:pStyle w:val="TextBody"/>
        <w:bidi w:val="0"/>
        <w:spacing w:before="240" w:after="0"/>
        <w:jc w:val="left"/>
        <w:rPr>
          <w:rFonts w:ascii="Times New Roman" w:hAnsi="Times New Roman"/>
          <w:sz w:val="20"/>
        </w:rPr>
      </w:pPr>
      <w:r>
        <w:rPr>
          <w:rFonts w:ascii="Times New Roman" w:hAnsi="Times New Roman"/>
          <w:sz w:val="20"/>
        </w:rPr>
        <w:t xml:space="preserve">Payment of the purchase price of the debt securities must be made in immediately available funds. </w:t>
      </w:r>
    </w:p>
    <w:p>
      <w:pPr>
        <w:pStyle w:val="TextBody"/>
        <w:bidi w:val="0"/>
        <w:spacing w:before="240" w:after="0"/>
        <w:jc w:val="left"/>
        <w:rPr>
          <w:rFonts w:ascii="Times New Roman" w:hAnsi="Times New Roman"/>
          <w:sz w:val="20"/>
        </w:rPr>
      </w:pPr>
      <w:r>
        <w:rPr>
          <w:rFonts w:ascii="Times New Roman" w:hAnsi="Times New Roman"/>
          <w:sz w:val="20"/>
        </w:rPr>
        <w:t xml:space="preserve">The authorized denominations of debt securities denominated in U.S. dollars will be a minimum denomination of $2,000 and integral multiples of $1,000 above the minimum denomination. The authorized denominations of foreign currency notes will be set forth in the applicable prospectus supplement or term sheet. </w:t>
      </w:r>
    </w:p>
    <w:p>
      <w:pPr>
        <w:pStyle w:val="TextBody"/>
        <w:bidi w:val="0"/>
        <w:spacing w:before="360" w:after="0"/>
        <w:jc w:val="left"/>
        <w:rPr>
          <w:rFonts w:ascii="Times New Roman" w:hAnsi="Times New Roman"/>
          <w:b/>
          <w:sz w:val="20"/>
        </w:rPr>
      </w:pPr>
      <w:r>
        <w:rPr>
          <w:rFonts w:ascii="Times New Roman" w:hAnsi="Times New Roman"/>
          <w:b/>
          <w:sz w:val="20"/>
        </w:rPr>
        <w:t xml:space="preserve">Interest and Interest Rates </w:t>
      </w:r>
    </w:p>
    <w:p>
      <w:pPr>
        <w:pStyle w:val="TextBody"/>
        <w:bidi w:val="0"/>
        <w:spacing w:before="120" w:after="0"/>
        <w:jc w:val="left"/>
        <w:rPr>
          <w:rFonts w:ascii="Times New Roman" w:hAnsi="Times New Roman"/>
          <w:sz w:val="20"/>
        </w:rPr>
      </w:pPr>
      <w:r>
        <w:rPr>
          <w:rFonts w:ascii="Times New Roman" w:hAnsi="Times New Roman"/>
          <w:sz w:val="20"/>
        </w:rPr>
        <w:t xml:space="preserve">Each debt security will begin to accrue interest from the date it is originally issued. The related prospectus supplement or term sheet will describe the method of determining the interest rate. </w:t>
      </w:r>
    </w:p>
    <w:p>
      <w:pPr>
        <w:pStyle w:val="TextBody"/>
        <w:bidi w:val="0"/>
        <w:spacing w:before="360" w:after="0"/>
        <w:jc w:val="left"/>
        <w:rPr>
          <w:rFonts w:ascii="Times New Roman" w:hAnsi="Times New Roman"/>
          <w:b/>
          <w:sz w:val="20"/>
        </w:rPr>
      </w:pPr>
      <w:r>
        <w:rPr>
          <w:rFonts w:ascii="Times New Roman" w:hAnsi="Times New Roman"/>
          <w:b/>
          <w:sz w:val="20"/>
        </w:rPr>
        <w:t xml:space="preserve">Payment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We will pay interest to the person listed in the trustees records as the owner of the debt security at the close of business on a particular day in advance of each regularly scheduled date for interest, even if that person no longer owns the debt security on the interest due date. That day, typically set at a date approximately two weeks prior to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Payments on 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w:t>
      </w:r>
    </w:p>
    <w:p>
      <w:pPr>
        <w:pStyle w:val="TextBody"/>
        <w:bidi w:val="0"/>
        <w:spacing w:before="360" w:after="0"/>
        <w:jc w:val="left"/>
        <w:rPr>
          <w:rFonts w:ascii="Times New Roman" w:hAnsi="Times New Roman"/>
          <w:i/>
          <w:sz w:val="20"/>
        </w:rPr>
      </w:pPr>
      <w:r>
        <w:rPr>
          <w:rFonts w:ascii="Times New Roman" w:hAnsi="Times New Roman"/>
          <w:i/>
          <w:sz w:val="20"/>
        </w:rPr>
        <w:t xml:space="preserve">Payments on Certificated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payments of principal and premium, if any, duly and punctually to the office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Alternatively, if the holder asks us to do so, we may pay any amount that becomes due on the debt security by wire transfer of immediately available funds to an account at a bank in New York City, on the due date. To request payment by wire, the holder must give the trustee or other paying agent appropriate transfer instructions at least 15 calendar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 In addition, see the description under Interest and Interest Rates. </w:t>
      </w:r>
    </w:p>
    <w:p>
      <w:pPr>
        <w:pStyle w:val="TextBody"/>
        <w:bidi w:val="0"/>
        <w:spacing w:before="360" w:after="0"/>
        <w:jc w:val="left"/>
        <w:rPr>
          <w:rFonts w:ascii="Times New Roman" w:hAnsi="Times New Roman"/>
          <w:b/>
          <w:sz w:val="20"/>
        </w:rPr>
      </w:pPr>
      <w:r>
        <w:rPr>
          <w:rFonts w:ascii="Times New Roman" w:hAnsi="Times New Roman"/>
          <w:b/>
          <w:sz w:val="20"/>
        </w:rPr>
        <w:t xml:space="preserve">Material Covenants </w:t>
      </w:r>
    </w:p>
    <w:p>
      <w:pPr>
        <w:pStyle w:val="TextBody"/>
        <w:bidi w:val="0"/>
        <w:spacing w:before="120" w:after="0"/>
        <w:jc w:val="left"/>
        <w:rPr>
          <w:rFonts w:ascii="Times New Roman" w:hAnsi="Times New Roman"/>
          <w:sz w:val="20"/>
        </w:rPr>
      </w:pPr>
      <w:r>
        <w:rPr>
          <w:rFonts w:ascii="Times New Roman" w:hAnsi="Times New Roman"/>
          <w:sz w:val="20"/>
        </w:rPr>
        <w:t xml:space="preserve">The prospectus supplement or term sheet relating to a particular series of debt securities that we offer will describe the material covenants included in the indenture and will be subject to negotiation between the holder and us. Such material covenants may include covenants with respect to payments of principal, premium (if any) and interest and limitations or restrictions with respect to a consolidation, merger sale or conveyance of us, restrictions on liens, or other covenants, limitations or restrictions on us.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An event of default with respect to the debt securities of any series is defined in the indenture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for 30 days in payment of any interest on the debt securities of such series when it becomes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payment of principal of or any premium on the debt securities of such series at maturity or upon redemption or repayment when the same becomes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by us in the performance of any other covenant contained in the applicable indenture for the benefit of the debt securities of such series that has not been remedied by the end of a specified period of time after notice is given as specified in the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events of bankruptcy, insolvency and reorganization of Tarsus.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or term sheet relating to a particular series of debt securities that we offer will describe the events of default included in the indenture and will be subject to negotiation between the holder and us.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of the Indenture </w:t>
      </w:r>
    </w:p>
    <w:p>
      <w:pPr>
        <w:pStyle w:val="TextBody"/>
        <w:bidi w:val="0"/>
        <w:spacing w:before="120" w:after="0"/>
        <w:jc w:val="left"/>
        <w:rPr>
          <w:rFonts w:ascii="Times New Roman" w:hAnsi="Times New Roman"/>
          <w:sz w:val="20"/>
        </w:rPr>
      </w:pPr>
      <w:r>
        <w:rPr>
          <w:rFonts w:ascii="Times New Roman" w:hAnsi="Times New Roman"/>
          <w:sz w:val="20"/>
        </w:rPr>
        <w:t xml:space="preserve">We and the trustee may, without the consent of the holders of the debt securities issued under such indenture, enter into supplemental indentures for, among others, one or more of the following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the succession of another corporation to us and the assumption by such successor of its obligations under the indenture and the debt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covenants of Tarsus or surrender any of its rights, or add any rights for the benefit of the holders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omission, defect or inconsistency in such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establish the form or terms of any other series of debt securities, including any subordinated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requirements of the SEC in order to maintain the qualification of the indenture under the Trust Indenture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the acceptance of any successor trustee with respect to the debt securities or one or more other series of debt securities under the indenture or to facilitate the administration of the trusts thereunder by one or more trustees in accordance with the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any additional events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change or eliminate any of the provisions of the indentures in respect of one or more series of debt securities, provided that any such addition, change or elimination, shall become effective only when there is no security outstanding of any series created prior to the adoption of such addition, change or elimination;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provisions with respect to the optional conversion rights of holders, including providing for the conversion of the debt securities into any other security or securities of ours, provided that such provisions are not adverse to the interests of the holders of any debt securities then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any guarantee of one or more series of the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supplement any of the provisions of the indenture to such extent as shall be necessary to permit or facilitate the defeasance and discharge of any series of debt securities pursuant to the indenture; provided that any such action shall not adversely affect the interests of the holders of debt securities of such series and any related coupons or any other series of securities in any material respect.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certain exceptions, the indenture or the rights of the holders of the debt securities may be modified by us and the trustee with the consent of the holders of a majority in aggregate principal amount of the debt securities then outstanding affected thereby, but no such modification may be made without the consent of the holder of each outstanding note affected thereby that would: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maturity of the principal of, or any premium on, or any installment of principal of or interest on any debt securities, or reduce the principal amount or any premium or the rate or manner of calculating interest or any premium payable upon redemption or repayment of any debt securities, or change the dates or periods for any redemption or repayment or change any place of payment where, or the coin or currency in which, any principal, premium or interest is payable, or impair the right to institute suit for the enforcement of any such payment on or after the maturity thereof (or, in the case of redemption or repayment, on or after the redemption or repayment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in principal amount of the outstanding debt securities, the consent whose holders is required for any such modification, or the consent of whose holders is required for any waiver of compliance with certain provisions of the indenture or certain defaults thereunder and their consequences provided for in the indenture;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modify any of the provisions of certain sections of the indenture, including the provisions summarized in this paragraph, except to increase any such percentage or to provide that certain other provisions of the indenture cannot be modified or waived without the consent of the holder of each of the outstanding debt securities affected thereby.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Defeasance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provisions will be applicable to each series of debt securities unless we state in the applicable prospectus supplement or term sheet that the provisions of covenant defeasance and full defeasance will not be applicable to that series. </w:t>
      </w:r>
    </w:p>
    <w:p>
      <w:pPr>
        <w:pStyle w:val="TextBody"/>
        <w:bidi w:val="0"/>
        <w:spacing w:before="360" w:after="0"/>
        <w:jc w:val="left"/>
        <w:rPr>
          <w:rFonts w:ascii="Times New Roman" w:hAnsi="Times New Roman"/>
          <w:i/>
          <w:sz w:val="20"/>
        </w:rPr>
      </w:pPr>
      <w:r>
        <w:rPr>
          <w:rFonts w:ascii="Times New Roman" w:hAnsi="Times New Roman"/>
          <w:i/>
          <w:sz w:val="20"/>
        </w:rPr>
        <w:t xml:space="preserve">Covenant Defeasance </w:t>
      </w:r>
    </w:p>
    <w:p>
      <w:pPr>
        <w:pStyle w:val="TextBody"/>
        <w:bidi w:val="0"/>
        <w:spacing w:before="120" w:after="0"/>
        <w:jc w:val="left"/>
        <w:rPr>
          <w:rFonts w:ascii="Times New Roman" w:hAnsi="Times New Roman"/>
          <w:sz w:val="20"/>
        </w:rPr>
      </w:pPr>
      <w:r>
        <w:rPr>
          <w:rFonts w:ascii="Times New Roman" w:hAnsi="Times New Roman"/>
          <w:sz w:val="20"/>
        </w:rPr>
        <w:t xml:space="preserve">Under current United States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In order to achieve covenant defeasance, we must do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 in trust for the benefit of all holders of such debt securities a combination of money and government or government agency debt securities or bonds in the relevant currency that will generate enough cash to make interest, principal and any other payments on the debt securities of such series in the relevant currency on their various due dates;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 to the trustee a legal opinion of our counsel confirming that, under current United States federal income tax law, we may make the above deposit without causing you to be taxed on the debt securities of such series any differently than if we did not make the deposit and just repaid such debt securities ourselves at maturity.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 </w:t>
      </w:r>
    </w:p>
    <w:p>
      <w:pPr>
        <w:pStyle w:val="TextBody"/>
        <w:bidi w:val="0"/>
        <w:spacing w:before="360" w:after="0"/>
        <w:jc w:val="left"/>
        <w:rPr>
          <w:rFonts w:ascii="Times New Roman" w:hAnsi="Times New Roman"/>
          <w:i/>
          <w:sz w:val="20"/>
        </w:rPr>
      </w:pPr>
      <w:r>
        <w:rPr>
          <w:rFonts w:ascii="Times New Roman" w:hAnsi="Times New Roman"/>
          <w:i/>
          <w:sz w:val="20"/>
        </w:rPr>
        <w:t xml:space="preserve">Full Defeasance </w:t>
      </w:r>
    </w:p>
    <w:p>
      <w:pPr>
        <w:pStyle w:val="TextBody"/>
        <w:bidi w:val="0"/>
        <w:spacing w:before="120" w:after="0"/>
        <w:jc w:val="left"/>
        <w:rPr>
          <w:rFonts w:ascii="Times New Roman" w:hAnsi="Times New Roman"/>
          <w:sz w:val="20"/>
        </w:rPr>
      </w:pPr>
      <w:r>
        <w:rPr>
          <w:rFonts w:ascii="Times New Roman" w:hAnsi="Times New Roman"/>
          <w:sz w:val="20"/>
        </w:rPr>
        <w:t xml:space="preserve">If there is a change in United States federal tax law, as described below, we can legally release ourselves from all payment and other obligations on the debt securities of a particular series (called full defeasance) if we put in place the following other arrangements for you to be repaid: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deposit in trust for the benefit of all holders of the debt securities of such series a combination of money and government or government agency debt securities or bonds in the relevant currency that will generate enough cash to make interest, principal and any other payments on the debt securities of such series in the relevant currency on their various due dates;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a legal opinion confirming that there has been a change in current United States federal tax law or an Internal Revenue Service ruling that allows us to make the above deposit without causing you to be taxed on the debt securities of such series any differently than if we did not make the deposit and just repaid such debt securities ourselves at maturity. Under current United States federal tax law, the deposit and our legal release from the debt securities of such series would be treated as though we paid you your share of the cash and debt securities or bonds at the time the cash and debt securities or bonds were deposited in trust in exchange for your debt securities and you would recognize gain or loss on your debt securities at the time of the deposit.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ever did accomplish full defeasance, as described above, you would have to rely solely on the trust deposit for repayment of the debt securities of such series. You could not look to us for repayment in the unlikely event of any shortfall. Conversely, the trust deposit would most likely be protected from claims of our lenders and other creditors if we ever became bankrupt or insolvent.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Covenant defeasance and full defeasance are both subject to certain conditions, such as no default or event of default occurring and continuing, and no breach of any material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Discharge of the Indenture </w:t>
      </w:r>
    </w:p>
    <w:p>
      <w:pPr>
        <w:pStyle w:val="TextBody"/>
        <w:bidi w:val="0"/>
        <w:spacing w:before="120" w:after="0"/>
        <w:jc w:val="left"/>
        <w:rPr>
          <w:rFonts w:ascii="Times New Roman" w:hAnsi="Times New Roman"/>
          <w:sz w:val="20"/>
        </w:rPr>
      </w:pPr>
      <w:r>
        <w:rPr>
          <w:rFonts w:ascii="Times New Roman" w:hAnsi="Times New Roman"/>
          <w:sz w:val="20"/>
        </w:rPr>
        <w:t xml:space="preserve">We may satisfy and discharge our obligations under the indenture by delivering to the trustee for cancellation all outstanding debt securities or by depositing with the trustee or the paying agent after the debt securities have become due and payable, whether at stated maturity, or any redemption or repayment date, or otherwise, cash sufficient to pay all of the outstanding debt securities and paying all other sums payable under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No Personal Liability of Directors, Officers, Employees and Stockholders </w:t>
      </w:r>
    </w:p>
    <w:p>
      <w:pPr>
        <w:pStyle w:val="TextBody"/>
        <w:bidi w:val="0"/>
        <w:spacing w:before="120" w:after="0"/>
        <w:jc w:val="left"/>
        <w:rPr>
          <w:rFonts w:ascii="Times New Roman" w:hAnsi="Times New Roman"/>
          <w:sz w:val="20"/>
        </w:rPr>
      </w:pPr>
      <w:r>
        <w:rPr>
          <w:rFonts w:ascii="Times New Roman" w:hAnsi="Times New Roman"/>
          <w:sz w:val="20"/>
        </w:rPr>
        <w:t xml:space="preserve">No recourse for the payment of the principal of or premium, if any, or interest on any debt security or any coupons appertaining thereto, or for any claim based thereon or otherwise in respect thereof, and no recourse under or upon any obligation, covenant or agreement of ours in the indenture or in any supplemental indenture, or in any debt security or any coupons appertaining thereto, or because of the creation of any indebtedness represented thereby, shall be had against any director, officer, employee, or stockholder as such, past, present or future, of ours or any of our affiliates or any successor person, either directly or through us or any of our affiliates or any successor person,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the indenture and the issue of the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New York law will govern the indenture and the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Form, Exchange and Transfer of Certificated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If registered debt securities cease to be issued in book-entry form, they will be issued: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only in fully registered certificated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without interest coupons,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unless we indicate otherwise in the prospectus supplement or term sheet, in a minimum denomination of $2,000 and amounts above the minimum denomination that are integral multiples of $1,000.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Holders may exchange their certificated debt securities of smaller denominations or combined into fewer debt securities of larger denominations, as long as the total principal amount is not changed. </w:t>
      </w:r>
    </w:p>
    <w:p>
      <w:pPr>
        <w:pStyle w:val="TextBody"/>
        <w:bidi w:val="0"/>
        <w:spacing w:before="240" w:after="0"/>
        <w:jc w:val="left"/>
        <w:rPr>
          <w:rFonts w:ascii="Times New Roman" w:hAnsi="Times New Roman"/>
          <w:sz w:val="20"/>
        </w:rPr>
      </w:pPr>
      <w:r>
        <w:rPr>
          <w:rFonts w:ascii="Times New Roman" w:hAnsi="Times New Roman"/>
          <w:sz w:val="20"/>
        </w:rPr>
        <w:t xml:space="preserve">Holders may exchange or transfer their certificated debt securities at the office of the trustee. We have appointed the trustee to act as our agent for registering debt securities in the names of holders transferring debt securities. We may appoint another entity to perform these functions or perform them ourselves. </w:t>
      </w:r>
    </w:p>
    <w:p>
      <w:pPr>
        <w:pStyle w:val="TextBody"/>
        <w:bidi w:val="0"/>
        <w:spacing w:before="240" w:after="0"/>
        <w:jc w:val="left"/>
        <w:rPr>
          <w:rFonts w:ascii="Times New Roman" w:hAnsi="Times New Roman"/>
          <w:sz w:val="20"/>
        </w:rPr>
      </w:pPr>
      <w:r>
        <w:rPr>
          <w:rFonts w:ascii="Times New Roman" w:hAnsi="Times New Roman"/>
          <w:sz w:val="20"/>
        </w:rPr>
        <w:t xml:space="preserve">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 </w:t>
      </w:r>
    </w:p>
    <w:p>
      <w:pPr>
        <w:pStyle w:val="TextBody"/>
        <w:bidi w:val="0"/>
        <w:spacing w:before="240" w:after="0"/>
        <w:jc w:val="left"/>
        <w:rPr>
          <w:rFonts w:ascii="Times New Roman" w:hAnsi="Times New Roman"/>
          <w:sz w:val="20"/>
        </w:rPr>
      </w:pPr>
      <w:r>
        <w:rPr>
          <w:rFonts w:ascii="Times New Roman" w:hAnsi="Times New Roman"/>
          <w:sz w:val="20"/>
        </w:rPr>
        <w:t xml:space="preserve">If we have designated additional transfer agents for your debt security, they will be named in the applicable prospectus supplement or term sheet. We may appoint additional transfer agents or cancel the appointment of any particular transfer agent. We may also approve a change in the office through which any transfer agent acts.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any certificated debt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debt securities selected for redemption, except that we will continue to permit transfers and exchanges of the unredeemed portion of any debt security that will be partially redeemed. </w:t>
      </w:r>
    </w:p>
    <w:p>
      <w:pPr>
        <w:pStyle w:val="TextBody"/>
        <w:bidi w:val="0"/>
        <w:spacing w:before="240" w:after="0"/>
        <w:jc w:val="left"/>
        <w:rPr>
          <w:rFonts w:ascii="Times New Roman" w:hAnsi="Times New Roman"/>
          <w:sz w:val="20"/>
        </w:rPr>
      </w:pPr>
      <w:r>
        <w:rPr>
          <w:rFonts w:ascii="Times New Roman" w:hAnsi="Times New Roman"/>
          <w:sz w:val="20"/>
        </w:rPr>
        <w:t xml:space="preserve">If a registered debt security is issued in book-entry form, only the depositary will be entitled to transfer and exchange the debt security as described in this subsection, since it will be the sole holder of the debt security. </w:t>
      </w:r>
    </w:p>
    <w:p>
      <w:pPr>
        <w:pStyle w:val="TextBody"/>
        <w:bidi w:val="0"/>
        <w:spacing w:before="360" w:after="0"/>
        <w:jc w:val="left"/>
        <w:rPr>
          <w:rFonts w:ascii="Times New Roman" w:hAnsi="Times New Roman"/>
          <w:b/>
          <w:sz w:val="20"/>
        </w:rPr>
      </w:pPr>
      <w:r>
        <w:rPr>
          <w:rFonts w:ascii="Times New Roman" w:hAnsi="Times New Roman"/>
          <w:b/>
          <w:sz w:val="20"/>
        </w:rPr>
        <w:t xml:space="preserve">Resignation of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may resign or be removed at any time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 </w:t>
      </w:r>
    </w:p>
    <w:p>
      <w:pPr>
        <w:pStyle w:val="TextBody"/>
        <w:bidi w:val="0"/>
        <w:spacing w:before="360" w:after="0"/>
        <w:jc w:val="left"/>
        <w:rPr>
          <w:rFonts w:ascii="Times New Roman" w:hAnsi="Times New Roman"/>
          <w:b/>
          <w:sz w:val="20"/>
        </w:rPr>
      </w:pPr>
      <w:r>
        <w:rPr>
          <w:rFonts w:ascii="Times New Roman" w:hAnsi="Times New Roman"/>
          <w:b/>
          <w:sz w:val="20"/>
        </w:rPr>
        <w:t xml:space="preserve">The Trustee Under the Indenture </w:t>
      </w:r>
    </w:p>
    <w:p>
      <w:pPr>
        <w:pStyle w:val="TextBody"/>
        <w:bidi w:val="0"/>
        <w:spacing w:before="120" w:after="0"/>
        <w:jc w:val="left"/>
        <w:rPr>
          <w:rFonts w:ascii="Times New Roman" w:hAnsi="Times New Roman"/>
          <w:sz w:val="20"/>
        </w:rPr>
      </w:pPr>
      <w:r>
        <w:rPr>
          <w:rFonts w:ascii="Times New Roman" w:hAnsi="Times New Roman"/>
          <w:sz w:val="20"/>
        </w:rPr>
        <w:t xml:space="preserve">The trustee may be one of a number of banks with which we maintain ordinary banking relationships and from which we may obtain credit facilities and lines of credit in the future. The trustee may also serve as trustee under other indentures under which we are the obligor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3" w:name="tx538323_8"/>
      <w:bookmarkEnd w:id="23"/>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for the purchase of our preferred stock, common stock, debt securities or any combination thereof. Warrants may be issued independently or together with our preferred stock, common stock or debt securities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The warrant agent will not have any obligation or relationship of agency or trust for or with any holders or beneficial owners of warrants. This summary of certain provisions of the warrants is not complete. For the terms of a particular series of warrants, you should refer to the prospectus supplement for that series of warrants and the warrant agreement for that particular series.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relating to a particular series of warrants to purchase such securities will describe the terms of the warrants,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offering price for the warrants,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the securities that may be purchased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securities with which the warrants are issued and the number of warrants issued with each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from and after which the warrants and any securities issued with the warrants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warrants will be issued in registered form or bearer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with respect to book-entry procedures,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and basic terms of the securities that may be purchased upon exercise of a warrant and the exercise price for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the right to exercise the warrants shall commence and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minimum or maximum amount of the warrants that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currency units in which the offering price, if any, and the exercise price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a discussion of material U.S. federal income tax considerations;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antidilution provisions of the warrants,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or call provisions, if any, applicable to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with respect to the holders right to require us to repurchase the warrants upon a change in control or similar event;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terms of the warrants, including procedures, and limitations relating to the exchange, exercise and settlement of the warrants.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Holders of equity warrants will not be entitled: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consent or receive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receive notice as stockholders with respect to any meeting of stockholders for the election of our directors or any other matter;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exercise any rights as stockholders of 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Holders of warrants to purchase debt securities will not be entitled to payments of principal of, or any premium or interest on, the debt securities purchasable on exercise, or to exercise any of the rights of the holders of such debt securities until such warrant is exercised. </w:t>
      </w:r>
    </w:p>
    <w:p>
      <w:pPr>
        <w:pStyle w:val="TextBody"/>
        <w:bidi w:val="0"/>
        <w:spacing w:before="360" w:after="0"/>
        <w:jc w:val="left"/>
        <w:rPr>
          <w:rFonts w:ascii="Times New Roman" w:hAnsi="Times New Roman"/>
          <w:b/>
          <w:sz w:val="20"/>
        </w:rPr>
      </w:pPr>
      <w:r>
        <w:rPr>
          <w:rFonts w:ascii="Times New Roman" w:hAnsi="Times New Roman"/>
          <w:b/>
          <w:sz w:val="20"/>
        </w:rPr>
        <w:t xml:space="preserve">Exercise of Warrants </w:t>
      </w:r>
    </w:p>
    <w:p>
      <w:pPr>
        <w:pStyle w:val="TextBody"/>
        <w:bidi w:val="0"/>
        <w:spacing w:before="120" w:after="0"/>
        <w:jc w:val="left"/>
        <w:rPr>
          <w:rFonts w:ascii="Times New Roman" w:hAnsi="Times New Roman"/>
          <w:sz w:val="20"/>
        </w:rPr>
      </w:pPr>
      <w:r>
        <w:rPr>
          <w:rFonts w:ascii="Times New Roman" w:hAnsi="Times New Roman"/>
          <w:sz w:val="20"/>
        </w:rPr>
        <w:t xml:space="preserve">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 </w:t>
      </w:r>
    </w:p>
    <w:p>
      <w:pPr>
        <w:pStyle w:val="TextBody"/>
        <w:bidi w:val="0"/>
        <w:spacing w:before="240" w:after="0"/>
        <w:jc w:val="left"/>
        <w:rPr>
          <w:rFonts w:ascii="Times New Roman" w:hAnsi="Times New Roman"/>
          <w:sz w:val="20"/>
        </w:rPr>
      </w:pPr>
      <w:r>
        <w:rPr>
          <w:rFonts w:ascii="Times New Roman" w:hAnsi="Times New Roman"/>
          <w:sz w:val="20"/>
        </w:rPr>
        <w:t xml:space="preserve">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the warrant agent. </w:t>
      </w:r>
    </w:p>
    <w:p>
      <w:pPr>
        <w:pStyle w:val="TextBody"/>
        <w:bidi w:val="0"/>
        <w:spacing w:before="240" w:after="0"/>
        <w:jc w:val="left"/>
        <w:rPr>
          <w:rFonts w:ascii="Times New Roman" w:hAnsi="Times New Roman"/>
          <w:sz w:val="20"/>
        </w:rPr>
      </w:pPr>
      <w:r>
        <w:rPr>
          <w:rFonts w:ascii="Times New Roman" w:hAnsi="Times New Roman"/>
          <w:sz w:val="20"/>
        </w:rPr>
        <w:t xml:space="preserve">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Enforceability of Rights by Holders of Warrants </w:t>
      </w:r>
    </w:p>
    <w:p>
      <w:pPr>
        <w:pStyle w:val="TextBody"/>
        <w:bidi w:val="0"/>
        <w:spacing w:before="120" w:after="0"/>
        <w:jc w:val="left"/>
        <w:rPr>
          <w:rFonts w:ascii="Times New Roman" w:hAnsi="Times New Roman"/>
          <w:sz w:val="20"/>
        </w:rPr>
      </w:pPr>
      <w:r>
        <w:rPr>
          <w:rFonts w:ascii="Times New Roman" w:hAnsi="Times New Roman"/>
          <w:sz w:val="20"/>
        </w:rPr>
        <w:t xml:space="preserve">Each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4" w:name="tx538323_9"/>
      <w:bookmarkEnd w:id="24"/>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If we offer any units, certain terms of that series of units will be described in the applicable prospectus supplement, including, without limitation, the following,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series of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identification and description of the separate constituent securities comprising the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the units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and after which the constituent securities comprising the units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certain United States federal income tax considerations applicable to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units and their constituent securities.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Enforceability of Rights by Holders of Units </w:t>
      </w:r>
    </w:p>
    <w:p>
      <w:pPr>
        <w:pStyle w:val="TextBody"/>
        <w:bidi w:val="0"/>
        <w:spacing w:before="120" w:after="0"/>
        <w:jc w:val="left"/>
        <w:rPr>
          <w:rFonts w:ascii="Times New Roman" w:hAnsi="Times New Roman"/>
          <w:sz w:val="20"/>
        </w:rPr>
      </w:pPr>
      <w:r>
        <w:rPr>
          <w:rFonts w:ascii="Times New Roman" w:hAnsi="Times New Roman"/>
          <w:sz w:val="20"/>
        </w:rPr>
        <w:t xml:space="preserve">To the extent applicable, 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 </w:t>
      </w:r>
    </w:p>
    <w:p>
      <w:pPr>
        <w:pStyle w:val="TextBody"/>
        <w:bidi w:val="0"/>
        <w:spacing w:before="240" w:after="0"/>
        <w:jc w:val="left"/>
        <w:rPr>
          <w:rFonts w:ascii="Times New Roman" w:hAnsi="Times New Roman"/>
          <w:sz w:val="20"/>
        </w:rPr>
      </w:pPr>
      <w:r>
        <w:rPr>
          <w:rFonts w:ascii="Times New Roman" w:hAnsi="Times New Roman"/>
          <w:sz w:val="20"/>
        </w:rPr>
        <w:t xml:space="preserve">We, any unit agents and any of their agents may treat the registered holder of any unit certificate as an absolute owner of the units evidenced by that certificate for any purpose and as the person entitled to exercise the rights attaching to the units so requested, despite any notice to the contrary. See Legal Ownership of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5" w:name="tx538323_10"/>
      <w:bookmarkEnd w:id="25"/>
      <w:r>
        <w:rPr>
          <w:rFonts w:ascii="Times New Roman" w:hAnsi="Times New Roman"/>
          <w:b/>
          <w:sz w:val="20"/>
        </w:rPr>
        <w:t xml:space="preserve">LEGAL OWNERSHIP OF SECURITIES </w:t>
      </w:r>
    </w:p>
    <w:p>
      <w:pPr>
        <w:pStyle w:val="TextBody"/>
        <w:bidi w:val="0"/>
        <w:spacing w:before="240" w:after="0"/>
        <w:jc w:val="left"/>
        <w:rPr>
          <w:rFonts w:ascii="Times New Roman" w:hAnsi="Times New Roman"/>
          <w:sz w:val="20"/>
        </w:rPr>
      </w:pPr>
      <w:r>
        <w:rPr>
          <w:rFonts w:ascii="Times New Roman" w:hAnsi="Times New Roman"/>
          <w:sz w:val="20"/>
        </w:rPr>
        <w:t xml:space="preserve">We can issue securities in registered form or in the form of one or more global securities. We describe global securities in greater detail below. We refer to those persons who have securities registered in their own names on the books that we or any applicable trustee or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Holders </w:t>
      </w:r>
    </w:p>
    <w:p>
      <w:pPr>
        <w:pStyle w:val="TextBody"/>
        <w:bidi w:val="0"/>
        <w:spacing w:before="120" w:after="0"/>
        <w:jc w:val="left"/>
        <w:rPr>
          <w:rFonts w:ascii="Times New Roman" w:hAnsi="Times New Roman"/>
          <w:sz w:val="20"/>
        </w:rPr>
      </w:pPr>
      <w:r>
        <w:rPr>
          <w:rFonts w:ascii="Times New Roman" w:hAnsi="Times New Roman"/>
          <w:sz w:val="20"/>
        </w:rPr>
        <w:t xml:space="preserve">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 </w:t>
      </w:r>
    </w:p>
    <w:p>
      <w:pPr>
        <w:pStyle w:val="TextBody"/>
        <w:bidi w:val="0"/>
        <w:spacing w:before="240" w:after="0"/>
        <w:jc w:val="left"/>
        <w:rPr>
          <w:rFonts w:ascii="Times New Roman" w:hAnsi="Times New Roman"/>
          <w:sz w:val="20"/>
        </w:rPr>
      </w:pPr>
      <w:r>
        <w:rPr>
          <w:rFonts w:ascii="Times New Roman" w:hAnsi="Times New Roman"/>
          <w:sz w:val="20"/>
        </w:rPr>
        <w:t xml:space="preserve">Only the person in whose name a security is registered is recognized as the holder of that security. Global securities will be registered in the name of the depositary or its participants. Consequently, for global securities,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Street Name Holders </w:t>
      </w:r>
    </w:p>
    <w:p>
      <w:pPr>
        <w:pStyle w:val="TextBody"/>
        <w:bidi w:val="0"/>
        <w:spacing w:before="120" w:after="0"/>
        <w:jc w:val="left"/>
        <w:rPr>
          <w:rFonts w:ascii="Times New Roman" w:hAnsi="Times New Roman"/>
          <w:sz w:val="20"/>
        </w:rPr>
      </w:pPr>
      <w:r>
        <w:rPr>
          <w:rFonts w:ascii="Times New Roman" w:hAnsi="Times New Roman"/>
          <w:sz w:val="20"/>
        </w:rPr>
        <w:t xml:space="preserve">We may terminate a global security or issue securities that are not issued in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 </w:t>
      </w:r>
    </w:p>
    <w:p>
      <w:pPr>
        <w:pStyle w:val="TextBody"/>
        <w:bidi w:val="0"/>
        <w:spacing w:before="240" w:after="0"/>
        <w:jc w:val="left"/>
        <w:rPr>
          <w:rFonts w:ascii="Times New Roman" w:hAnsi="Times New Roman"/>
          <w:sz w:val="20"/>
        </w:rPr>
      </w:pPr>
      <w:r>
        <w:rPr>
          <w:rFonts w:ascii="Times New Roman" w:hAnsi="Times New Roman"/>
          <w:sz w:val="20"/>
        </w:rPr>
        <w:t xml:space="preserve">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legal holders, of those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Legal Holders </w:t>
      </w:r>
    </w:p>
    <w:p>
      <w:pPr>
        <w:pStyle w:val="TextBody"/>
        <w:bidi w:val="0"/>
        <w:spacing w:before="120" w:after="0"/>
        <w:jc w:val="left"/>
        <w:rPr>
          <w:rFonts w:ascii="Times New Roman" w:hAnsi="Times New Roman"/>
          <w:sz w:val="20"/>
        </w:rPr>
      </w:pPr>
      <w:r>
        <w:rPr>
          <w:rFonts w:ascii="Times New Roman" w:hAnsi="Times New Roman"/>
          <w:sz w:val="20"/>
        </w:rPr>
        <w:t xml:space="preserve">Our obligations, as well as the obligations of any applicable trustee or third party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example, once we make a payment or give a notice to the holder, we have no further responsibility for the payment or notice even if that holder is required, under agreements with its participants or customers or by law, to pass it along to the indirect holders but does not do so. </w:t>
      </w:r>
    </w:p>
    <w:p>
      <w:pPr>
        <w:pStyle w:val="TextBody"/>
        <w:bidi w:val="0"/>
        <w:spacing w:before="360" w:after="0"/>
        <w:jc w:val="left"/>
        <w:rPr>
          <w:rFonts w:ascii="Times New Roman" w:hAnsi="Times New Roman"/>
          <w:b/>
          <w:sz w:val="20"/>
        </w:rPr>
      </w:pPr>
      <w:r>
        <w:rPr>
          <w:rFonts w:ascii="Times New Roman" w:hAnsi="Times New Roman"/>
          <w:b/>
          <w:sz w:val="20"/>
        </w:rPr>
        <w:t xml:space="preserve">Special Considerations for Indirect Holders </w:t>
      </w:r>
    </w:p>
    <w:p>
      <w:pPr>
        <w:pStyle w:val="TextBody"/>
        <w:bidi w:val="0"/>
        <w:spacing w:before="120" w:after="0"/>
        <w:jc w:val="left"/>
        <w:rPr>
          <w:rFonts w:ascii="Times New Roman" w:hAnsi="Times New Roman"/>
          <w:sz w:val="20"/>
        </w:rPr>
      </w:pPr>
      <w:r>
        <w:rPr>
          <w:rFonts w:ascii="Times New Roman" w:hAnsi="Times New Roman"/>
          <w:sz w:val="20"/>
        </w:rPr>
        <w:t xml:space="preserve">If you hold securities through a bank, broker or other financial institution, either in book-entry form because the securities are represented by one or more global securities or in street name, you should check with your own institution to find 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handles securities payments and notices;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it imposes fees or charges;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would handle a request for the holders consent, if ever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how you can instruct it to send you securities registered in your own name so you can be a legal holder, if that is permitted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would exercise rights under the securities if there were a default or other event triggering the need for holders to act to protect their interests;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securities are in book-entry form, how the depositarys rules and procedures will affect these matters.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A global security is a security that represents one or any other number of individual securities held by a depositary. Generally, all securities represented by the same global securities will have the same terms. </w:t>
      </w:r>
    </w:p>
    <w:p>
      <w:pPr>
        <w:pStyle w:val="TextBody"/>
        <w:bidi w:val="0"/>
        <w:spacing w:before="240" w:after="0"/>
        <w:jc w:val="left"/>
        <w:rPr>
          <w:rFonts w:ascii="Times New Roman" w:hAnsi="Times New Roman"/>
          <w:sz w:val="20"/>
        </w:rPr>
      </w:pPr>
      <w:r>
        <w:rPr>
          <w:rFonts w:ascii="Times New Roman" w:hAnsi="Times New Roman"/>
          <w:sz w:val="20"/>
        </w:rPr>
        <w:t xml:space="preserve">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securities issued in book-entry form. </w:t>
      </w:r>
    </w:p>
    <w:p>
      <w:pPr>
        <w:pStyle w:val="TextBody"/>
        <w:bidi w:val="0"/>
        <w:spacing w:before="240" w:after="0"/>
        <w:jc w:val="left"/>
        <w:rPr>
          <w:rFonts w:ascii="Times New Roman" w:hAnsi="Times New Roman"/>
          <w:sz w:val="20"/>
        </w:rPr>
      </w:pPr>
      <w:r>
        <w:rPr>
          <w:rFonts w:ascii="Times New Roman" w:hAnsi="Times New Roman"/>
          <w:sz w:val="20"/>
        </w:rPr>
        <w:t xml:space="preserve">A global security may not be transferred to or registered in the name of anyone other than the depositary, its nominee or a successor depositary, unless special termination situations arise. We describe those situations below under  Special Situations When A Global Security Will Be Terminated.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If the prospectus supplement for a particular security indicates that the security will be issued as a global security,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 </w:t>
      </w:r>
    </w:p>
    <w:p>
      <w:pPr>
        <w:pStyle w:val="TextBody"/>
        <w:bidi w:val="0"/>
        <w:spacing w:before="360" w:after="0"/>
        <w:jc w:val="left"/>
        <w:rPr>
          <w:rFonts w:ascii="Times New Roman" w:hAnsi="Times New Roman"/>
          <w:b/>
          <w:sz w:val="20"/>
        </w:rPr>
      </w:pPr>
      <w:r>
        <w:rPr>
          <w:rFonts w:ascii="Times New Roman" w:hAnsi="Times New Roman"/>
          <w:b/>
          <w:sz w:val="20"/>
        </w:rPr>
        <w:t xml:space="preserve">Special Considerations For 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As an indirect holder, an investors rights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securities are issued only as global securities, an investor should be aware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cannot cause the securities to be registered in his or her name, and cannot obtain non-global certificates for his or her interest in the securities, except in the special situations we describe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will be an indirect holder and must look to his or her own bank or broker for payments on the securities and protection of his or her legal rights relating to the securities, as we describe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may not be able to sell interests in the securities to some insurance companies and to other institutions that are required by law to own their securities in non-book-entry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may not be able to pledge his or her interest in the global security in circumstances where certificates representing the securities must be delivered to the lender or other beneficiary of the pledge in order for the pledge to be effective;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depositarys policies, which may change from time to time, will govern payments, transfers, exchanges and other matters relating to an investors interest in the global security. We and any applicable trustee have no responsibility for any aspect of the depositarys actions or for its records of ownership interests in the global security. We and the trustee also do not supervise the depositary in any way;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 may, and we understand that DTC will, require that those who purchase and sell interests in the global security within its book-entry system use immediately available funds, and your broker or bank may require you to do so as well;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institutions that participate in the depositarys book-entry system, and through which an investor holds its interest in the global security, may also have their own policies affecting payments, notices and other matters relating to the securities. There may be more than one financial intermediary in the chain of ownership for an investor. We do not monitor and are not responsible for the actions of any of those intermediaries.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Special Situations When A Global Security Will Be Terminated </w:t>
      </w:r>
    </w:p>
    <w:p>
      <w:pPr>
        <w:pStyle w:val="TextBody"/>
        <w:bidi w:val="0"/>
        <w:spacing w:before="120" w:after="0"/>
        <w:jc w:val="left"/>
        <w:rPr>
          <w:rFonts w:ascii="Times New Roman" w:hAnsi="Times New Roman"/>
          <w:sz w:val="20"/>
        </w:rPr>
      </w:pPr>
      <w:r>
        <w:rPr>
          <w:rFonts w:ascii="Times New Roman" w:hAnsi="Times New Roman"/>
          <w:sz w:val="20"/>
        </w:rPr>
        <w:t xml:space="preserve">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 We have described the rights of holders and street name investors above. </w:t>
      </w:r>
    </w:p>
    <w:p>
      <w:pPr>
        <w:pStyle w:val="TextBody"/>
        <w:bidi w:val="0"/>
        <w:spacing w:before="240" w:after="0"/>
        <w:jc w:val="left"/>
        <w:rPr>
          <w:rFonts w:ascii="Times New Roman" w:hAnsi="Times New Roman"/>
          <w:sz w:val="20"/>
        </w:rPr>
      </w:pPr>
      <w:r>
        <w:rPr>
          <w:rFonts w:ascii="Times New Roman" w:hAnsi="Times New Roman"/>
          <w:sz w:val="20"/>
        </w:rPr>
        <w:t xml:space="preserve">A global security will terminate when the following special situations occur: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depositary notifies us that it is unwilling, unable or no longer qualified to continue as depositary for that global security and we do not appoint another institution to act as depositary within 90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notify any applicable trustee that we wish to terminate that global security;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 event of default has occurred with regard to securities represented by that global security and has not been cured or waived.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may also list additional situations for terminating a global security that would apply only to the particular series of securities covered by the prospectus supplement. When a global security terminates, the depositary, and neither we nor any applicable trustee, is responsible for deciding the names of the institutions that will be the initial direct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6" w:name="tx538323_11"/>
      <w:bookmarkEnd w:id="26"/>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offered through this prospectus in primary offerings (1) to or through underwriters or dealers, (2) directly to purchasers, including our affiliates, (3) through agents, or (4) through a combination of any these methods. The securities may be distributed at a fixed price or prices, which may be changed, market prices prevailing at the time of sale, prices related to the prevailing market prices, or negotiated prices. The prospectus supplement will include the following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any underwriters or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any managing underwriter or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of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net proceeds from the sale of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delayed delivery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underwriting discounts, commissions and other items constituting underwriters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initial public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or concessions allowed or reallowed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commissions paid to agents.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Sale through underwriters or dealers </w:t>
      </w:r>
    </w:p>
    <w:p>
      <w:pPr>
        <w:pStyle w:val="TextBody"/>
        <w:bidi w:val="0"/>
        <w:spacing w:before="120" w:after="0"/>
        <w:jc w:val="left"/>
        <w:rPr>
          <w:rFonts w:ascii="Times New Roman" w:hAnsi="Times New Roman"/>
          <w:sz w:val="20"/>
        </w:rPr>
      </w:pPr>
      <w:r>
        <w:rPr>
          <w:rFonts w:ascii="Times New Roman" w:hAnsi="Times New Roman"/>
          <w:sz w:val="20"/>
        </w:rPr>
        <w:t xml:space="preserve">If underwriters are used in the sale,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initial public offering price and any discounts or concessions allowed or reallowed or paid to dealers. The prospectus supplement will include the names of the principal underwriters the respective amount of securities underwritten, the nature of the obligation of the underwriters to take the securities and the nature of any material relationship between an underwriter and us. </w:t>
      </w:r>
    </w:p>
    <w:p>
      <w:pPr>
        <w:pStyle w:val="TextBody"/>
        <w:bidi w:val="0"/>
        <w:spacing w:before="240" w:after="0"/>
        <w:jc w:val="left"/>
        <w:rPr>
          <w:rFonts w:ascii="Times New Roman" w:hAnsi="Times New Roman"/>
          <w:sz w:val="20"/>
        </w:rPr>
      </w:pPr>
      <w:r>
        <w:rPr>
          <w:rFonts w:ascii="Times New Roman" w:hAnsi="Times New Roman"/>
          <w:sz w:val="20"/>
        </w:rPr>
        <w:t xml:space="preserve">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 </w:t>
      </w:r>
    </w:p>
    <w:p>
      <w:pPr>
        <w:pStyle w:val="TextBody"/>
        <w:bidi w:val="0"/>
        <w:spacing w:before="360" w:after="0"/>
        <w:jc w:val="left"/>
        <w:rPr>
          <w:rFonts w:ascii="Times New Roman" w:hAnsi="Times New Roman"/>
          <w:i/>
          <w:sz w:val="20"/>
        </w:rPr>
      </w:pPr>
      <w:r>
        <w:rPr>
          <w:rFonts w:ascii="Times New Roman" w:hAnsi="Times New Roman"/>
          <w:i/>
          <w:sz w:val="20"/>
        </w:rPr>
        <w:t xml:space="preserve">Direct sales and sales through agents </w:t>
      </w:r>
    </w:p>
    <w:p>
      <w:pPr>
        <w:pStyle w:val="TextBody"/>
        <w:bidi w:val="0"/>
        <w:spacing w:before="120" w:after="0"/>
        <w:jc w:val="left"/>
        <w:rPr>
          <w:rFonts w:ascii="Times New Roman" w:hAnsi="Times New Roman"/>
          <w:sz w:val="20"/>
        </w:rPr>
      </w:pPr>
      <w:r>
        <w:rPr>
          <w:rFonts w:ascii="Times New Roman" w:hAnsi="Times New Roman"/>
          <w:sz w:val="20"/>
        </w:rPr>
        <w:t xml:space="preserve">We may sell the securities offered through this prospectus directly. In this case, no underwriters or agents would be involved. Such securities may also be sold through agents designated from time to time. The prospectus supplement will name any agent involved in the offer or sale of the offered securities and will describe any commissions payable to the agent by us. Unless otherwise indicated in the prospectus supplement, any agent will agree to use its reasonable best efforts to solicit purchases for the period of its appointment.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directly to institutional investors or others who may be deemed to be underwriters within the meaning of the Securities Act with respect to any sale of those securities. The terms of any such sales will be described in the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Delayed delivery contracts </w:t>
      </w:r>
    </w:p>
    <w:p>
      <w:pPr>
        <w:pStyle w:val="TextBody"/>
        <w:bidi w:val="0"/>
        <w:spacing w:before="120" w:after="0"/>
        <w:jc w:val="left"/>
        <w:rPr>
          <w:rFonts w:ascii="Times New Roman" w:hAnsi="Times New Roman"/>
          <w:sz w:val="20"/>
        </w:rPr>
      </w:pPr>
      <w:r>
        <w:rPr>
          <w:rFonts w:ascii="Times New Roman" w:hAnsi="Times New Roman"/>
          <w:sz w:val="20"/>
        </w:rPr>
        <w:t xml:space="preserve">If the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 </w:t>
      </w:r>
    </w:p>
    <w:p>
      <w:pPr>
        <w:pStyle w:val="TextBody"/>
        <w:bidi w:val="0"/>
        <w:spacing w:before="360" w:after="0"/>
        <w:jc w:val="left"/>
        <w:rPr>
          <w:rFonts w:ascii="Times New Roman" w:hAnsi="Times New Roman"/>
          <w:i/>
          <w:sz w:val="20"/>
        </w:rPr>
      </w:pPr>
      <w:r>
        <w:rPr>
          <w:rFonts w:ascii="Times New Roman" w:hAnsi="Times New Roman"/>
          <w:i/>
          <w:sz w:val="20"/>
        </w:rPr>
        <w:t xml:space="preserve">Market making, stabilization and other transactions </w:t>
      </w:r>
    </w:p>
    <w:p>
      <w:pPr>
        <w:pStyle w:val="TextBody"/>
        <w:bidi w:val="0"/>
        <w:spacing w:before="120" w:after="0"/>
        <w:jc w:val="left"/>
        <w:rPr>
          <w:rFonts w:ascii="Times New Roman" w:hAnsi="Times New Roman"/>
          <w:sz w:val="20"/>
        </w:rPr>
      </w:pPr>
      <w:r>
        <w:rPr>
          <w:rFonts w:ascii="Times New Roman" w:hAnsi="Times New Roman"/>
          <w:sz w:val="20"/>
        </w:rPr>
        <w:t xml:space="preserve">Unless the applicable prospectus supplement states otherwise, each series of offered securities will be a new issue and will have no established trading market. We may elect to list any series of offered securities on an exchange. Any underwriters that we use in the sale of offered securities may make a market in such securities, but may discontinue such market making at any time without notice. Therefore, we cannot assure you that the securities will have a liquid trading market.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 may also engage in stabilizing transactions, syndicate covering transactions and penalty bids in accordance with Rule 104 under the Securities Exchange Act of 1934, as amended.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 </w:t>
      </w:r>
    </w:p>
    <w:p>
      <w:pPr>
        <w:pStyle w:val="TextBody"/>
        <w:bidi w:val="0"/>
        <w:spacing w:before="240" w:after="0"/>
        <w:jc w:val="left"/>
        <w:rPr>
          <w:rFonts w:ascii="Times New Roman" w:hAnsi="Times New Roman"/>
          <w:sz w:val="20"/>
        </w:rPr>
      </w:pPr>
      <w:r>
        <w:rPr>
          <w:rFonts w:ascii="Times New Roman" w:hAnsi="Times New Roman"/>
          <w:sz w:val="20"/>
        </w:rPr>
        <w:t xml:space="preserve">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 </w:t>
      </w:r>
    </w:p>
    <w:p>
      <w:pPr>
        <w:pStyle w:val="TextBody"/>
        <w:bidi w:val="0"/>
        <w:spacing w:before="360" w:after="0"/>
        <w:jc w:val="left"/>
        <w:rPr>
          <w:rFonts w:ascii="Times New Roman" w:hAnsi="Times New Roman"/>
          <w:i/>
          <w:sz w:val="20"/>
        </w:rPr>
      </w:pPr>
      <w:r>
        <w:rPr>
          <w:rFonts w:ascii="Times New Roman" w:hAnsi="Times New Roman"/>
          <w:i/>
          <w:sz w:val="20"/>
        </w:rPr>
        <w:t xml:space="preserve">Derivative transactions and hedging </w:t>
      </w:r>
    </w:p>
    <w:p>
      <w:pPr>
        <w:pStyle w:val="TextBody"/>
        <w:bidi w:val="0"/>
        <w:spacing w:before="120" w:after="0"/>
        <w:jc w:val="left"/>
        <w:rPr>
          <w:rFonts w:ascii="Times New Roman" w:hAnsi="Times New Roman"/>
          <w:sz w:val="20"/>
        </w:rPr>
      </w:pPr>
      <w:r>
        <w:rPr>
          <w:rFonts w:ascii="Times New Roman" w:hAnsi="Times New Roman"/>
          <w:sz w:val="20"/>
        </w:rPr>
        <w:t xml:space="preserve">We, the underwriters or other agents may engage in derivative transactions involving the securities. These derivatives may consist of short sale transactions and other hedging activities. The underwriters or agents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may enter into security lending or repurchase agreements with the underwriters or agents. The underwriters or agents may effect the derivative transactions through sales of the securities to the public, including short sales, or by lending the securities in order to facilitate short sale transactions by others. The underwriters or agents may also use the securities purchased or borrowed from us or others (or, in the case of derivatives, securities received from us in settlement of those derivatives) to directly or indirectly settle sales of the securities or close out any related open borrowings of the securities. </w:t>
      </w:r>
    </w:p>
    <w:p>
      <w:pPr>
        <w:pStyle w:val="TextBody"/>
        <w:bidi w:val="0"/>
        <w:spacing w:before="360" w:after="0"/>
        <w:jc w:val="left"/>
        <w:rPr>
          <w:rFonts w:ascii="Times New Roman" w:hAnsi="Times New Roman"/>
          <w:i/>
          <w:sz w:val="20"/>
        </w:rPr>
      </w:pPr>
      <w:r>
        <w:rPr>
          <w:rFonts w:ascii="Times New Roman" w:hAnsi="Times New Roman"/>
          <w:i/>
          <w:sz w:val="20"/>
        </w:rPr>
        <w:t xml:space="preserve">Electronic auctions </w:t>
      </w:r>
    </w:p>
    <w:p>
      <w:pPr>
        <w:pStyle w:val="TextBody"/>
        <w:bidi w:val="0"/>
        <w:spacing w:before="120" w:after="0"/>
        <w:jc w:val="left"/>
        <w:rPr>
          <w:rFonts w:ascii="Times New Roman" w:hAnsi="Times New Roman"/>
          <w:sz w:val="20"/>
        </w:rPr>
      </w:pPr>
      <w:r>
        <w:rPr>
          <w:rFonts w:ascii="Times New Roman" w:hAnsi="Times New Roman"/>
          <w:sz w:val="20"/>
        </w:rPr>
        <w:t xml:space="preserve">We may also make sales through the Internet or through other electronic means. Since we may from time to time elect to offer securities directly to the public, with or without the involvement of agents, underwriters or dealers, utilizing the Internet or other forms of electronic bidding or ordering systems for the pricing and allocation of such securities, you should pay particular attention to the description of that system we will provide in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Such electronic system may allow bidders to directly participate, through electronic access to an auction site, by submitting conditional offers to buy that are subject to acceptance by us, and which may directly affect the price or other terms and conditions at which such securities are sold. These bidding or ordering systems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present to each bidder, on a so-called real-time basis, relevant information to assist in making a bid, such as the clearing spread at which the offering would be sold, based on the bids submitted, and whether a bidders individual bids would be accepted, prorated or rejected. </w:t>
      </w:r>
    </w:p>
    <w:p>
      <w:pPr>
        <w:pStyle w:val="TextBody"/>
        <w:bidi w:val="0"/>
        <w:spacing w:before="240" w:after="0"/>
        <w:jc w:val="left"/>
        <w:rPr>
          <w:rFonts w:ascii="Times New Roman" w:hAnsi="Times New Roman"/>
          <w:sz w:val="20"/>
        </w:rPr>
      </w:pPr>
      <w:r>
        <w:rPr>
          <w:rFonts w:ascii="Times New Roman" w:hAnsi="Times New Roman"/>
          <w:sz w:val="20"/>
        </w:rPr>
        <w:t xml:space="preserve">Upon completion of such an electronic auction process, securities will be allocated based on prices bid, terms of bid or other factors. The final offering price at which securities would be sold and the allocation of securities among bidders would be based in whole or in part on the results of the Internet or other electronic bidding process or auction. </w:t>
      </w:r>
    </w:p>
    <w:p>
      <w:pPr>
        <w:pStyle w:val="TextBody"/>
        <w:bidi w:val="0"/>
        <w:spacing w:before="360" w:after="0"/>
        <w:jc w:val="left"/>
        <w:rPr>
          <w:rFonts w:ascii="Times New Roman" w:hAnsi="Times New Roman"/>
          <w:i/>
          <w:sz w:val="20"/>
        </w:rPr>
      </w:pPr>
      <w:r>
        <w:rPr>
          <w:rFonts w:ascii="Times New Roman" w:hAnsi="Times New Roman"/>
          <w:i/>
          <w:sz w:val="20"/>
        </w:rPr>
        <w:t xml:space="preserve">General information </w:t>
      </w:r>
    </w:p>
    <w:p>
      <w:pPr>
        <w:pStyle w:val="TextBody"/>
        <w:bidi w:val="0"/>
        <w:spacing w:before="120" w:after="0"/>
        <w:jc w:val="left"/>
        <w:rPr>
          <w:rFonts w:ascii="Times New Roman" w:hAnsi="Times New Roman"/>
          <w:sz w:val="20"/>
        </w:rPr>
      </w:pPr>
      <w:r>
        <w:rPr>
          <w:rFonts w:ascii="Times New Roman" w:hAnsi="Times New Roman"/>
          <w:sz w:val="20"/>
        </w:rPr>
        <w:t xml:space="preserve">Agents, underwriters, and dealers may be entitled, under agreements entered into with us, to indemnification by us against certain liabilities, including liabilities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7" w:name="tx538323_12"/>
      <w:bookmarkEnd w:id="27"/>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securities offered by this prospectus will be passed upon by Gunderson Dettmer Stough Villeneuve Franklin &amp; Hachigian, LLP, San Diego, California. Certain partners and certain investment partnerships comprised of partners of Gunderson Dettmer Stough Villeneuve Franklin &amp; Hachigian, LLP own an interest representing less than one percent of the shares of our common stock. Additional legal matters may be passed upon for us or any underwriters, dealers or agents, by counsel that we will name in the applicable prospectus supplement. </w:t>
      </w:r>
    </w:p>
    <w:p>
      <w:pPr>
        <w:pStyle w:val="TextBody"/>
        <w:bidi w:val="0"/>
        <w:spacing w:before="480" w:after="0"/>
        <w:jc w:val="center"/>
        <w:rPr>
          <w:rFonts w:ascii="Times New Roman" w:hAnsi="Times New Roman"/>
          <w:b/>
          <w:sz w:val="20"/>
        </w:rPr>
      </w:pPr>
      <w:bookmarkStart w:id="28" w:name="tx538323_13"/>
      <w:bookmarkEnd w:id="28"/>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Ernst &amp; Young LLP, independent registered public accounting firm, has audited our financial statements included in our Annual Report on Form 10-K for the year ended December 31, 2020,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 </w:t>
      </w:r>
    </w:p>
    <w:p>
      <w:pPr>
        <w:pStyle w:val="TextBody"/>
        <w:bidi w:val="0"/>
        <w:spacing w:before="480" w:after="0"/>
        <w:jc w:val="center"/>
        <w:rPr>
          <w:rFonts w:ascii="Times New Roman" w:hAnsi="Times New Roman"/>
          <w:b/>
          <w:sz w:val="20"/>
        </w:rPr>
      </w:pPr>
      <w:bookmarkStart w:id="29" w:name="tx538323_14"/>
      <w:bookmarkEnd w:id="29"/>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other reports, proxy statements and other information with the SEC. Our SEC filings are available to the public over the Internet at the SECs website at http://www.sec.gov.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through the Internet. These filings will be available as soon as reasonably practicable after we electronically file such material with, or furnish it to, the SEC. </w:t>
      </w:r>
    </w:p>
    <w:p>
      <w:pPr>
        <w:pStyle w:val="TextBody"/>
        <w:bidi w:val="0"/>
        <w:spacing w:before="240" w:after="0"/>
        <w:jc w:val="left"/>
        <w:rPr>
          <w:rFonts w:ascii="Times New Roman" w:hAnsi="Times New Roman"/>
          <w:sz w:val="20"/>
        </w:rPr>
      </w:pPr>
      <w:r>
        <w:rPr>
          <w:rFonts w:ascii="Times New Roman" w:hAnsi="Times New Roman"/>
          <w:sz w:val="20"/>
        </w:rPr>
        <w:t xml:space="preserve">We have filed with the SEC a registration statement under the Securities Act of 1933 relating to the offering of these securities. The registration statement, including the attached exhibits, contains additional relevant information about us and the securities. This prospectus does not contain all of the information set forth in the registration statement. The registration statement and the documents referred to below under Incorporation by Reference are also available on our website, www.tarsusrx.com. We have not incorporated by reference into this prospectus the information on our website, and you should not consider it to be a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0" w:name="tx538323_15"/>
      <w:bookmarkEnd w:id="30"/>
      <w:r>
        <w:rPr>
          <w:rFonts w:ascii="Times New Roman" w:hAnsi="Times New Roman"/>
          <w:b/>
          <w:sz w:val="20"/>
        </w:rPr>
        <w:t xml:space="preserve">INFORMATION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into this prospectus certain information we file with it, which means that we can disclose important information by referring you to those documents. The information incorporated by reference is considered to be a part of this prospectus, and information that we file later with the SEC will automatically update and supersede information contained in this prospectus and any accompanying prospectus supplement. We incorporate by reference the documents listed below that we have previously filed with the SEC (excluding any portions of any Form 8-K that are not deemed filed pursuant to the General Instructions of Form 8-K):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13">
              <w:r>
                <w:rPr>
                  <w:rStyle w:val="InternetLink"/>
                  <w:rFonts w:ascii="Times New Roman" w:hAnsi="Times New Roman"/>
                  <w:sz w:val="20"/>
                </w:rPr>
                <w:t>Form 10-K</w:t>
              </w:r>
            </w:hyperlink>
            <w:r>
              <w:rPr>
                <w:rFonts w:ascii="Times New Roman" w:hAnsi="Times New Roman"/>
                <w:sz w:val="20"/>
              </w:rPr>
              <w:t xml:space="preserve"> for the fiscal year ended December 31, 2020, filed with the SEC on March 31, 2021;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quarterly periods ended March 31, 2021 and June 30, 2021, filed with the SEC on </w:t>
            </w:r>
            <w:hyperlink r:id="rId14">
              <w:r>
                <w:rPr>
                  <w:rStyle w:val="InternetLink"/>
                  <w:rFonts w:ascii="Times New Roman" w:hAnsi="Times New Roman"/>
                  <w:sz w:val="20"/>
                </w:rPr>
                <w:t>May  11, 2021</w:t>
              </w:r>
            </w:hyperlink>
            <w:r>
              <w:rPr>
                <w:rFonts w:ascii="Times New Roman" w:hAnsi="Times New Roman"/>
                <w:sz w:val="20"/>
              </w:rPr>
              <w:t xml:space="preserve">, and </w:t>
            </w:r>
            <w:hyperlink r:id="rId15">
              <w:r>
                <w:rPr>
                  <w:rStyle w:val="InternetLink"/>
                  <w:rFonts w:ascii="Times New Roman" w:hAnsi="Times New Roman"/>
                  <w:sz w:val="20"/>
                </w:rPr>
                <w:t>August 5, 2021</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16">
              <w:r>
                <w:rPr>
                  <w:rStyle w:val="InternetLink"/>
                  <w:rFonts w:ascii="Times New Roman" w:hAnsi="Times New Roman"/>
                  <w:sz w:val="20"/>
                </w:rPr>
                <w:t>March 30, 2021</w:t>
              </w:r>
            </w:hyperlink>
            <w:r>
              <w:rPr>
                <w:rFonts w:ascii="Times New Roman" w:hAnsi="Times New Roman"/>
                <w:sz w:val="20"/>
              </w:rPr>
              <w:t xml:space="preserve">, </w:t>
            </w:r>
            <w:hyperlink r:id="rId17">
              <w:r>
                <w:rPr>
                  <w:rStyle w:val="InternetLink"/>
                  <w:rFonts w:ascii="Times New Roman" w:hAnsi="Times New Roman"/>
                  <w:sz w:val="20"/>
                </w:rPr>
                <w:t>June  21, 2021</w:t>
              </w:r>
            </w:hyperlink>
            <w:r>
              <w:rPr>
                <w:rFonts w:ascii="Times New Roman" w:hAnsi="Times New Roman"/>
                <w:sz w:val="20"/>
              </w:rPr>
              <w:t xml:space="preserve">, </w:t>
            </w:r>
            <w:hyperlink r:id="rId18">
              <w:r>
                <w:rPr>
                  <w:rStyle w:val="InternetLink"/>
                  <w:rFonts w:ascii="Times New Roman" w:hAnsi="Times New Roman"/>
                  <w:sz w:val="20"/>
                </w:rPr>
                <w:t>June  22, 2021</w:t>
              </w:r>
            </w:hyperlink>
            <w:r>
              <w:rPr>
                <w:rFonts w:ascii="Times New Roman" w:hAnsi="Times New Roman"/>
                <w:sz w:val="20"/>
              </w:rPr>
              <w:t xml:space="preserve">, and </w:t>
            </w:r>
            <w:hyperlink r:id="rId19">
              <w:r>
                <w:rPr>
                  <w:rStyle w:val="InternetLink"/>
                  <w:rFonts w:ascii="Times New Roman" w:hAnsi="Times New Roman"/>
                  <w:sz w:val="20"/>
                </w:rPr>
                <w:t>August 12, 2021</w:t>
              </w:r>
            </w:hyperlink>
            <w:r>
              <w:rPr>
                <w:rFonts w:ascii="Times New Roman" w:hAnsi="Times New Roman"/>
                <w:sz w:val="20"/>
              </w:rPr>
              <w:t xml:space="preserve"> (each to the extent filed and not furnished);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Form 10-K for the year ended December 31, 2020 from our </w:t>
            </w:r>
            <w:hyperlink r:id="rId20">
              <w:r>
                <w:rPr>
                  <w:rStyle w:val="InternetLink"/>
                  <w:rFonts w:ascii="Times New Roman" w:hAnsi="Times New Roman"/>
                  <w:sz w:val="20"/>
                </w:rPr>
                <w:t>definitive proxy</w:t>
              </w:r>
            </w:hyperlink>
            <w:r>
              <w:rPr>
                <w:rFonts w:ascii="Times New Roman" w:hAnsi="Times New Roman"/>
                <w:sz w:val="20"/>
              </w:rPr>
              <w:t xml:space="preserve"> statement relating to our 2021 annual meeting of stockholders, which was filed with the SEC on April 30, 2021;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21">
              <w:r>
                <w:rPr>
                  <w:rStyle w:val="InternetLink"/>
                  <w:rFonts w:ascii="Times New Roman" w:hAnsi="Times New Roman"/>
                  <w:sz w:val="20"/>
                </w:rPr>
                <w:t>Form 8-A</w:t>
              </w:r>
            </w:hyperlink>
            <w:r>
              <w:rPr>
                <w:rFonts w:ascii="Times New Roman" w:hAnsi="Times New Roman"/>
                <w:sz w:val="20"/>
              </w:rPr>
              <w:t xml:space="preserve"> as filed with the SEC on October 13, 2020 pursuant to Section 12(b) of the Exchange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also incorporate by reference into this prospectus additional documents that we may file with the SEC under Sections 13(a), 13(c), 14 or 15(d) of the Exchange Act prior to the completion or termination of the offering, including all such documents we may file with the SEC after the date of the initial registration statement and prior to the effectiveness of the registration statement, but excluding any information deemed furnished and not filed with the SEC.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may contain information that updates, modifies or is contrary to information in one or more of the documents incorporated by reference in this prospectus. You should rely only on the information incorporated by reference or provided in this prospectus. We have not authorized anyone else to provide you with different information. You should not assume that the information in this prospectus is accurate as of any date other than the date of this prospectus or the date of the documents incorporated by reference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to each person, including any beneficial owner, to whom this prospectus is delivered, upon written or oral request, at no cost to the requester, a copy of any and all of the information that is incorporated by reference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should direct any requests for documents to: </w:t>
      </w:r>
    </w:p>
    <w:p>
      <w:pPr>
        <w:pStyle w:val="TextBody"/>
        <w:bidi w:val="0"/>
        <w:spacing w:before="240" w:after="0"/>
        <w:jc w:val="center"/>
        <w:rPr>
          <w:rFonts w:ascii="Times New Roman" w:hAnsi="Times New Roman"/>
          <w:sz w:val="20"/>
        </w:rPr>
      </w:pPr>
      <w:r>
        <w:rPr>
          <w:rFonts w:ascii="Times New Roman" w:hAnsi="Times New Roman"/>
          <w:sz w:val="20"/>
        </w:rPr>
        <w:t xml:space="preserve">Tarsus Pharmaceuticals, Inc.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15440 Laguna Canyon Road, Suite 160 </w:t>
      </w:r>
    </w:p>
    <w:p>
      <w:pPr>
        <w:pStyle w:val="TextBody"/>
        <w:bidi w:val="0"/>
        <w:spacing w:before="0" w:after="0"/>
        <w:jc w:val="center"/>
        <w:rPr>
          <w:rFonts w:ascii="Times New Roman" w:hAnsi="Times New Roman"/>
          <w:sz w:val="20"/>
        </w:rPr>
      </w:pPr>
      <w:r>
        <w:rPr>
          <w:rFonts w:ascii="Times New Roman" w:hAnsi="Times New Roman"/>
          <w:sz w:val="20"/>
        </w:rPr>
        <w:t xml:space="preserve">Irvine, California 92618 </w:t>
      </w:r>
    </w:p>
    <w:p>
      <w:pPr>
        <w:pStyle w:val="TextBody"/>
        <w:bidi w:val="0"/>
        <w:spacing w:before="0" w:after="0"/>
        <w:jc w:val="center"/>
        <w:rPr>
          <w:rFonts w:ascii="Times New Roman" w:hAnsi="Times New Roman"/>
          <w:sz w:val="20"/>
        </w:rPr>
      </w:pPr>
      <w:r>
        <w:rPr>
          <w:rFonts w:ascii="Times New Roman" w:hAnsi="Times New Roman"/>
          <w:sz w:val="20"/>
        </w:rPr>
        <w:t xml:space="preserve">(949) 409-9820 </w:t>
      </w:r>
    </w:p>
    <w:p>
      <w:pPr>
        <w:pStyle w:val="TextBody"/>
        <w:bidi w:val="0"/>
        <w:spacing w:before="240" w:after="0"/>
        <w:jc w:val="left"/>
        <w:rPr>
          <w:rFonts w:ascii="Times New Roman" w:hAnsi="Times New Roman"/>
          <w:sz w:val="20"/>
        </w:rPr>
      </w:pPr>
      <w:r>
        <w:rPr>
          <w:rFonts w:ascii="Times New Roman" w:hAnsi="Times New Roman"/>
          <w:sz w:val="20"/>
        </w:rPr>
        <w:t xml:space="preserve">Our reports and documents incorporated by reference herein may also be found in the Investors &amp; News section of our website at www.tarsusrx.com. Our website and the information contained in it or connected to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shall not be in this prospectus through our website at www.tarsusrx.com. Except for the specific incorporated documents listed above, the information on, or that can be accessed through, our website shall not be deemed to be incorporated by reference in this prospectus or the registration statement of which it forms a part.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pBdr>
          <w:bottom w:val="single" w:sz="8"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480" w:after="0"/>
        <w:jc w:val="center"/>
        <w:rPr>
          <w:rFonts w:ascii="Times New Roman" w:hAnsi="Times New Roman"/>
          <w:b/>
          <w:sz w:val="32"/>
        </w:rPr>
      </w:pPr>
      <w:r>
        <w:rPr>
          <w:rFonts w:ascii="Times New Roman" w:hAnsi="Times New Roman"/>
          <w:b/>
          <w:sz w:val="32"/>
        </w:rPr>
        <w:t xml:space="preserve">5,714,285 Shares </w:t>
      </w:r>
    </w:p>
    <w:p>
      <w:pPr>
        <w:pStyle w:val="TextBody"/>
        <w:bidi w:val="0"/>
        <w:spacing w:before="0" w:after="0"/>
        <w:jc w:val="left"/>
        <w:rPr/>
      </w:pPr>
      <w:r>
        <w:rPr/>
        <w:t> </w:t>
      </w:r>
    </w:p>
    <w:p>
      <w:pPr>
        <w:pStyle w:val="TextBody"/>
        <w:bidi w:val="0"/>
        <w:spacing w:before="0" w:after="0"/>
        <w:jc w:val="center"/>
        <w:rPr/>
      </w:pPr>
      <w:r>
        <w:rPr/>
        <w:drawing>
          <wp:inline distT="0" distB="0" distL="0" distR="0">
            <wp:extent cx="226695" cy="15367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2"/>
                    <a:stretch>
                      <a:fillRect/>
                    </a:stretch>
                  </pic:blipFill>
                  <pic:spPr bwMode="auto">
                    <a:xfrm>
                      <a:off x="0" y="0"/>
                      <a:ext cx="226695" cy="153670"/>
                    </a:xfrm>
                    <a:prstGeom prst="rect">
                      <a:avLst/>
                    </a:prstGeom>
                  </pic:spPr>
                </pic:pic>
              </a:graphicData>
            </a:graphic>
          </wp:inline>
        </w:drawing>
      </w:r>
      <w:r>
        <w:rPr/>
        <w:t xml:space="preserve"> </w:t>
      </w:r>
    </w:p>
    <w:p>
      <w:pPr>
        <w:pStyle w:val="TextBody"/>
        <w:bidi w:val="0"/>
        <w:spacing w:before="60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PROSPECTUS SUPPLEMENT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7"/>
        <w:gridCol w:w="102"/>
        <w:gridCol w:w="3368"/>
        <w:gridCol w:w="101"/>
        <w:gridCol w:w="3267"/>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Goldman Sachs &amp; Co. LLC</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rPr>
            </w:pPr>
            <w:r>
              <w:rPr>
                <w:b/>
              </w:rPr>
              <w:t>BofA Securities</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right"/>
              <w:rPr>
                <w:b/>
              </w:rPr>
            </w:pPr>
            <w:r>
              <w:rPr>
                <w:b/>
              </w:rPr>
              <w:t>Guggenheim Securities</w:t>
            </w:r>
          </w:p>
        </w:tc>
      </w:tr>
    </w:tbl>
    <w:p>
      <w:pPr>
        <w:pStyle w:val="TextBody"/>
        <w:bidi w:val="0"/>
        <w:spacing w:before="240" w:after="0"/>
        <w:jc w:val="center"/>
        <w:rPr>
          <w:rFonts w:ascii="Times New Roman" w:hAnsi="Times New Roman"/>
          <w:b/>
          <w:sz w:val="24"/>
        </w:rPr>
      </w:pPr>
      <w:r>
        <w:rPr>
          <w:rFonts w:ascii="Times New Roman" w:hAnsi="Times New Roman"/>
          <w:b/>
          <w:sz w:val="24"/>
        </w:rPr>
        <w:t xml:space="preserve">Oppenheimer &amp; Co. </w:t>
      </w:r>
    </w:p>
    <w:p>
      <w:pPr>
        <w:pStyle w:val="TextBody"/>
        <w:bidi w:val="0"/>
        <w:spacing w:before="0" w:after="0"/>
        <w:jc w:val="left"/>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August 1, 2023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8" w:space="1" w:color="000000"/>
        </w:pBdr>
        <w:bidi w:val="0"/>
        <w:spacing w:lineRule="atLeast" w:line="142" w:before="0" w:after="4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819790/000181979023000007/tars-20221231.htm" TargetMode="External"/><Relationship Id="rId4" Type="http://schemas.openxmlformats.org/officeDocument/2006/relationships/hyperlink" Target="http://www.sec.gov/Archives/edgar/data/../../../ix?doc=/Archives/edgar/data/1819790/000181979023000030/tars-20230331.htm" TargetMode="External"/><Relationship Id="rId5" Type="http://schemas.openxmlformats.org/officeDocument/2006/relationships/hyperlink" Target="http://www.sec.gov/Archives/edgar/data/../../../ix?doc=/Archives/edgar/data/1819790/000119312523002528/d427625d8k.htm" TargetMode="External"/><Relationship Id="rId6" Type="http://schemas.openxmlformats.org/officeDocument/2006/relationships/hyperlink" Target="http://www.sec.gov/Archives/edgar/data/../../../ix?doc=/Archives/edgar/data/1819790/000119312523112926/d470193d8k.htm" TargetMode="External"/><Relationship Id="rId7" Type="http://schemas.openxmlformats.org/officeDocument/2006/relationships/hyperlink" Target="http://www.sec.gov/Archives/edgar/data/../../../ix?doc=/Archives/edgar/data/1819790/000181979023000064/tars-20230622.htm" TargetMode="External"/><Relationship Id="rId8" Type="http://schemas.openxmlformats.org/officeDocument/2006/relationships/hyperlink" Target="http://www.sec.gov/Archives/edgar/data/../../../ix?doc=/Archives/edgar/data/1819790/000119312523199180/d473618d8k.htm" TargetMode="External"/><Relationship Id="rId9" Type="http://schemas.openxmlformats.org/officeDocument/2006/relationships/hyperlink" Target="http://www.sec.gov/Archives/edgar/data/../../../ix?doc=/Archives/edgar/data/1819790/000181979023000007/tars-20221231.htm" TargetMode="External"/><Relationship Id="rId10" Type="http://schemas.openxmlformats.org/officeDocument/2006/relationships/hyperlink" Target="http://www.sec.gov/Archives/edgar/data/1819790/000181979023000014/tarsuspharmaceuticalsincpr.htm" TargetMode="External"/><Relationship Id="rId11" Type="http://schemas.openxmlformats.org/officeDocument/2006/relationships/hyperlink" Target="http://www.sec.gov/Archives/edgar/data/1819790/000181979022000010/tarsus-form10xkxex42descri.htm" TargetMode="External"/><Relationship Id="rId12" Type="http://schemas.openxmlformats.org/officeDocument/2006/relationships/image" Target="media/image1.jpeg"/><Relationship Id="rId13" Type="http://schemas.openxmlformats.org/officeDocument/2006/relationships/hyperlink" Target="http://www.sec.gov/Archives/edgar/data/../../../ix?doc=/Archives/edgar/data/1819790/000181979021000010/tars-20201231.htm" TargetMode="External"/><Relationship Id="rId14" Type="http://schemas.openxmlformats.org/officeDocument/2006/relationships/hyperlink" Target="http://www.sec.gov/Archives/edgar/data/../../../ix?doc=/Archives/edgar/data/1819790/000181979021000020/tars-20210331.htm" TargetMode="External"/><Relationship Id="rId15" Type="http://schemas.openxmlformats.org/officeDocument/2006/relationships/hyperlink" Target="http://www.sec.gov/Archives/edgar/data/../../../ix?doc=/Archives/edgar/data/1819790/000181979021000027/tars-20210630.htm" TargetMode="External"/><Relationship Id="rId16" Type="http://schemas.openxmlformats.org/officeDocument/2006/relationships/hyperlink" Target="http://www.sec.gov/Archives/edgar/data/1819790/000119312521098627/d165080d8k.htm" TargetMode="External"/><Relationship Id="rId17" Type="http://schemas.openxmlformats.org/officeDocument/2006/relationships/hyperlink" Target="http://www.sec.gov/Archives/edgar/data/../../../ix?doc=/Archives/edgar/data/1819790/000119312521194371/d194646d8k.htm" TargetMode="External"/><Relationship Id="rId18" Type="http://schemas.openxmlformats.org/officeDocument/2006/relationships/hyperlink" Target="http://www.sec.gov/Archives/edgar/data/../../../ix?doc=/Archives/edgar/data/1819790/000119312521196290/d155208d8k.htm" TargetMode="External"/><Relationship Id="rId19" Type="http://schemas.openxmlformats.org/officeDocument/2006/relationships/hyperlink" Target="http://www.sec.gov/Archives/edgar/data/../../../ix?doc=/Archives/edgar/data/1819790/000119312521244642/d166164d8k.htm" TargetMode="External"/><Relationship Id="rId20" Type="http://schemas.openxmlformats.org/officeDocument/2006/relationships/hyperlink" Target="http://www.sec.gov/Archives/edgar/data/1819790/000119312521144962/d150509ddef14a.htm" TargetMode="External"/><Relationship Id="rId21" Type="http://schemas.openxmlformats.org/officeDocument/2006/relationships/hyperlink" Target="http://www.sec.gov/Archives/edgar/data/1819790/000119312520267409/d68419d8a12b.htm" TargetMode="External"/><Relationship Id="rId22" Type="http://schemas.openxmlformats.org/officeDocument/2006/relationships/image" Target="media/image1.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84</Pages>
  <Words>33371</Words>
  <Characters>173923</Characters>
  <CharactersWithSpaces>207405</CharactersWithSpaces>
  <Paragraphs>2022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