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I</w:t>
      </w:r>
      <w:r>
        <w:rPr>
          <w:rFonts w:ascii="Arial" w:cs="Arial" w:eastAsia="Arial" w:hAnsi="Arial"/>
          <w:sz w:val="17"/>
          <w:szCs w:val="17"/>
          <w:b w:val="1"/>
          <w:bCs w:val="1"/>
          <w:color w:val="auto"/>
        </w:rPr>
        <w:t>NFORMATION</w:t>
      </w:r>
      <w:r>
        <w:rPr>
          <w:rFonts w:ascii="Arial" w:cs="Arial" w:eastAsia="Arial" w:hAnsi="Arial"/>
          <w:sz w:val="22"/>
          <w:szCs w:val="22"/>
          <w:b w:val="1"/>
          <w:bCs w:val="1"/>
          <w:color w:val="auto"/>
        </w:rPr>
        <w:t xml:space="preserve"> S</w:t>
      </w:r>
      <w:r>
        <w:rPr>
          <w:rFonts w:ascii="Arial" w:cs="Arial" w:eastAsia="Arial" w:hAnsi="Arial"/>
          <w:sz w:val="17"/>
          <w:szCs w:val="17"/>
          <w:b w:val="1"/>
          <w:bCs w:val="1"/>
          <w:color w:val="auto"/>
        </w:rPr>
        <w:t>TATEMENT</w:t>
      </w:r>
      <w:r>
        <w:rPr>
          <w:rFonts w:ascii="Arial" w:cs="Arial" w:eastAsia="Arial" w:hAnsi="Arial"/>
          <w:sz w:val="22"/>
          <w:szCs w:val="22"/>
          <w:b w:val="1"/>
          <w:bCs w:val="1"/>
          <w:color w:val="auto"/>
        </w:rPr>
        <w:t xml:space="preserve"> P</w:t>
      </w:r>
      <w:r>
        <w:rPr>
          <w:rFonts w:ascii="Arial" w:cs="Arial" w:eastAsia="Arial" w:hAnsi="Arial"/>
          <w:sz w:val="17"/>
          <w:szCs w:val="17"/>
          <w:b w:val="1"/>
          <w:bCs w:val="1"/>
          <w:color w:val="auto"/>
        </w:rPr>
        <w:t>URSUANT TO</w:t>
      </w:r>
      <w:r>
        <w:rPr>
          <w:rFonts w:ascii="Arial" w:cs="Arial" w:eastAsia="Arial" w:hAnsi="Arial"/>
          <w:sz w:val="22"/>
          <w:szCs w:val="22"/>
          <w:b w:val="1"/>
          <w:bCs w:val="1"/>
          <w:color w:val="auto"/>
        </w:rPr>
        <w:t xml:space="preserve"> R</w:t>
      </w:r>
      <w:r>
        <w:rPr>
          <w:rFonts w:ascii="Arial" w:cs="Arial" w:eastAsia="Arial" w:hAnsi="Arial"/>
          <w:sz w:val="17"/>
          <w:szCs w:val="17"/>
          <w:b w:val="1"/>
          <w:bCs w:val="1"/>
          <w:color w:val="auto"/>
        </w:rPr>
        <w:t>ULES</w:t>
      </w:r>
      <w:r>
        <w:rPr>
          <w:rFonts w:ascii="Arial" w:cs="Arial" w:eastAsia="Arial" w:hAnsi="Arial"/>
          <w:sz w:val="22"/>
          <w:szCs w:val="22"/>
          <w:b w:val="1"/>
          <w:bCs w:val="1"/>
          <w:color w:val="auto"/>
        </w:rPr>
        <w:t xml:space="preserve"> 13d-1 </w:t>
      </w:r>
      <w:r>
        <w:rPr>
          <w:rFonts w:ascii="Arial" w:cs="Arial" w:eastAsia="Arial" w:hAnsi="Arial"/>
          <w:sz w:val="17"/>
          <w:szCs w:val="17"/>
          <w:b w:val="1"/>
          <w:bCs w:val="1"/>
          <w:color w:val="auto"/>
        </w:rPr>
        <w:t>AND</w:t>
      </w:r>
      <w:r>
        <w:rPr>
          <w:rFonts w:ascii="Arial" w:cs="Arial" w:eastAsia="Arial" w:hAnsi="Arial"/>
          <w:sz w:val="22"/>
          <w:szCs w:val="22"/>
          <w:b w:val="1"/>
          <w:bCs w:val="1"/>
          <w:color w:val="auto"/>
        </w:rPr>
        <w:t xml:space="preserve"> 13d-2</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w:t>
      </w:r>
      <w:r>
        <w:rPr>
          <w:rFonts w:ascii="Arial" w:cs="Arial" w:eastAsia="Arial" w:hAnsi="Arial"/>
          <w:sz w:val="17"/>
          <w:szCs w:val="17"/>
          <w:b w:val="1"/>
          <w:bCs w:val="1"/>
          <w:color w:val="auto"/>
        </w:rPr>
        <w:t>NDER THE</w:t>
      </w:r>
      <w:r>
        <w:rPr>
          <w:rFonts w:ascii="Arial" w:cs="Arial" w:eastAsia="Arial" w:hAnsi="Arial"/>
          <w:sz w:val="22"/>
          <w:szCs w:val="22"/>
          <w:b w:val="1"/>
          <w:bCs w:val="1"/>
          <w:color w:val="auto"/>
        </w:rPr>
        <w:t xml:space="preserve"> S</w:t>
      </w:r>
      <w:r>
        <w:rPr>
          <w:rFonts w:ascii="Arial" w:cs="Arial" w:eastAsia="Arial" w:hAnsi="Arial"/>
          <w:sz w:val="17"/>
          <w:szCs w:val="17"/>
          <w:b w:val="1"/>
          <w:bCs w:val="1"/>
          <w:color w:val="auto"/>
        </w:rPr>
        <w:t>ECURITIES</w:t>
      </w:r>
      <w:r>
        <w:rPr>
          <w:rFonts w:ascii="Arial" w:cs="Arial" w:eastAsia="Arial" w:hAnsi="Arial"/>
          <w:sz w:val="22"/>
          <w:szCs w:val="22"/>
          <w:b w:val="1"/>
          <w:bCs w:val="1"/>
          <w:color w:val="auto"/>
        </w:rPr>
        <w:t xml:space="preserve"> E</w:t>
      </w:r>
      <w:r>
        <w:rPr>
          <w:rFonts w:ascii="Arial" w:cs="Arial" w:eastAsia="Arial" w:hAnsi="Arial"/>
          <w:sz w:val="17"/>
          <w:szCs w:val="17"/>
          <w:b w:val="1"/>
          <w:bCs w:val="1"/>
          <w:color w:val="auto"/>
        </w:rPr>
        <w:t>XCHANGE</w:t>
      </w:r>
      <w:r>
        <w:rPr>
          <w:rFonts w:ascii="Arial" w:cs="Arial" w:eastAsia="Arial" w:hAnsi="Arial"/>
          <w:sz w:val="22"/>
          <w:szCs w:val="22"/>
          <w:b w:val="1"/>
          <w:bCs w:val="1"/>
          <w:color w:val="auto"/>
        </w:rPr>
        <w:t xml:space="preserve"> A</w:t>
      </w:r>
      <w:r>
        <w:rPr>
          <w:rFonts w:ascii="Arial" w:cs="Arial" w:eastAsia="Arial" w:hAnsi="Arial"/>
          <w:sz w:val="17"/>
          <w:szCs w:val="17"/>
          <w:b w:val="1"/>
          <w:bCs w:val="1"/>
          <w:color w:val="auto"/>
        </w:rPr>
        <w:t>CT OF</w:t>
      </w:r>
      <w:r>
        <w:rPr>
          <w:rFonts w:ascii="Arial" w:cs="Arial" w:eastAsia="Arial" w:hAnsi="Arial"/>
          <w:sz w:val="22"/>
          <w:szCs w:val="22"/>
          <w:b w:val="1"/>
          <w:bCs w:val="1"/>
          <w:color w:val="auto"/>
        </w:rPr>
        <w:t xml:space="preserve">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Tarsus Pharmaceuticals,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par value of $0.0001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87650L103</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Arial" w:cs="Arial" w:eastAsia="Arial" w:hAnsi="Arial"/>
          <w:sz w:val="17"/>
          <w:szCs w:val="17"/>
          <w:color w:val="auto"/>
        </w:rPr>
        <w:t>The information required in the remainder of this cover page shall not be deemed to be “filed” for the purpose of Section 18 of the Securities</w:t>
      </w:r>
    </w:p>
    <w:p>
      <w:pPr>
        <w:spacing w:after="0" w:line="35" w:lineRule="exact"/>
        <w:rPr>
          <w:sz w:val="24"/>
          <w:szCs w:val="24"/>
          <w:color w:val="auto"/>
        </w:rPr>
      </w:pPr>
    </w:p>
    <w:p>
      <w:pPr>
        <w:ind w:right="440"/>
        <w:spacing w:after="0" w:line="260" w:lineRule="auto"/>
        <w:rPr>
          <w:sz w:val="20"/>
          <w:szCs w:val="20"/>
          <w:color w:val="auto"/>
        </w:rPr>
      </w:pPr>
      <w:r>
        <w:rPr>
          <w:rFonts w:ascii="Arial" w:cs="Arial" w:eastAsia="Arial" w:hAnsi="Arial"/>
          <w:sz w:val="18"/>
          <w:szCs w:val="18"/>
          <w:color w:val="auto"/>
        </w:rPr>
        <w:t xml:space="preserve">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195580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87650L103</w:t>
      </w:r>
    </w:p>
    <w:p>
      <w:pPr>
        <w:spacing w:after="0" w:line="152"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Michael Ackermann</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4"/>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560" w:type="dxa"/>
            <w:vAlign w:val="bottom"/>
            <w:gridSpan w:val="2"/>
          </w:tcPr>
          <w:p>
            <w:pPr>
              <w:jc w:val="right"/>
              <w:ind w:right="290"/>
              <w:spacing w:after="0" w:line="181" w:lineRule="exact"/>
              <w:rPr>
                <w:sz w:val="20"/>
                <w:szCs w:val="20"/>
                <w:color w:val="auto"/>
              </w:rPr>
            </w:pPr>
            <w:r>
              <w:rPr>
                <w:rFonts w:ascii="MS PGothic" w:cs="MS PGothic" w:eastAsia="MS PGothic" w:hAnsi="MS PGothic"/>
                <w:sz w:val="18"/>
                <w:szCs w:val="18"/>
                <w:color w:val="auto"/>
                <w:w w:val="88"/>
              </w:rPr>
              <w:t>☐</w:t>
            </w:r>
          </w:p>
        </w:tc>
        <w:tc>
          <w:tcPr>
            <w:tcW w:w="9560" w:type="dxa"/>
            <w:vAlign w:val="bottom"/>
            <w:tcBorders>
              <w:right w:val="single" w:sz="8" w:color="auto"/>
            </w:tcBorders>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5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95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1,467,020(1)</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2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95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340" w:type="dxa"/>
            <w:vAlign w:val="bottom"/>
            <w:tcBorders>
              <w:right w:val="single" w:sz="8" w:color="auto"/>
            </w:tcBorders>
          </w:tcPr>
          <w:p>
            <w:pPr>
              <w:spacing w:after="0"/>
              <w:rPr>
                <w:sz w:val="18"/>
                <w:szCs w:val="18"/>
                <w:color w:val="auto"/>
              </w:rPr>
            </w:pPr>
          </w:p>
        </w:tc>
        <w:tc>
          <w:tcPr>
            <w:tcW w:w="95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right w:val="single" w:sz="8" w:color="auto"/>
            </w:tcBorders>
          </w:tcPr>
          <w:p>
            <w:pPr>
              <w:spacing w:after="0"/>
              <w:rPr>
                <w:sz w:val="20"/>
                <w:szCs w:val="20"/>
                <w:color w:val="auto"/>
              </w:rPr>
            </w:pPr>
          </w:p>
        </w:tc>
        <w:tc>
          <w:tcPr>
            <w:tcW w:w="95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540" w:type="dxa"/>
            <w:vAlign w:val="bottom"/>
            <w:gridSpan w:val="2"/>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2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7.</w:t>
            </w:r>
          </w:p>
        </w:tc>
        <w:tc>
          <w:tcPr>
            <w:tcW w:w="956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340" w:type="dxa"/>
            <w:vAlign w:val="bottom"/>
            <w:tcBorders>
              <w:right w:val="single" w:sz="8" w:color="auto"/>
            </w:tcBorders>
          </w:tcPr>
          <w:p>
            <w:pPr>
              <w:spacing w:after="0"/>
              <w:rPr>
                <w:sz w:val="18"/>
                <w:szCs w:val="18"/>
                <w:color w:val="auto"/>
              </w:rPr>
            </w:pPr>
          </w:p>
        </w:tc>
        <w:tc>
          <w:tcPr>
            <w:tcW w:w="9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Borders>
              <w:left w:val="single" w:sz="8" w:color="auto"/>
            </w:tcBorders>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2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95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1,467,020(1)</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5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7"/>
              </w:rPr>
              <w:t>With:</w:t>
            </w:r>
          </w:p>
        </w:tc>
        <w:tc>
          <w:tcPr>
            <w:tcW w:w="220" w:type="dxa"/>
            <w:vAlign w:val="bottom"/>
            <w:tcBorders>
              <w:right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95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3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95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95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00" w:type="dxa"/>
            <w:vAlign w:val="bottom"/>
            <w:gridSpan w:val="3"/>
          </w:tcPr>
          <w:p>
            <w:pPr>
              <w:ind w:left="160"/>
              <w:spacing w:after="0"/>
              <w:rPr>
                <w:sz w:val="20"/>
                <w:szCs w:val="20"/>
                <w:color w:val="auto"/>
              </w:rPr>
            </w:pPr>
            <w:r>
              <w:rPr>
                <w:rFonts w:ascii="Arial" w:cs="Arial" w:eastAsia="Arial" w:hAnsi="Arial"/>
                <w:sz w:val="18"/>
                <w:szCs w:val="18"/>
                <w:color w:val="auto"/>
                <w:w w:val="96"/>
              </w:rPr>
              <w:t>Aggregate</w:t>
            </w:r>
          </w:p>
        </w:tc>
        <w:tc>
          <w:tcPr>
            <w:tcW w:w="9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1,467,020(1)</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7.07%(1)(2)</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120" w:hanging="424"/>
        <w:spacing w:after="0" w:line="258"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Consists of (i) 1,228,924 shares of Common Stock held directly by Micahel Ackermann, and (ii) 238,096 shares of Common Stock issuable upon exercise of options exercisable within 60 days of December 31, 2020 held directly by Dr. Ackermann.</w:t>
      </w:r>
    </w:p>
    <w:p>
      <w:pPr>
        <w:spacing w:after="0" w:line="1" w:lineRule="exact"/>
        <w:rPr>
          <w:rFonts w:ascii="Arial" w:cs="Arial" w:eastAsia="Arial" w:hAnsi="Arial"/>
          <w:sz w:val="18"/>
          <w:szCs w:val="18"/>
          <w:color w:val="auto"/>
        </w:rPr>
      </w:pPr>
    </w:p>
    <w:p>
      <w:pPr>
        <w:ind w:left="424" w:right="40" w:hanging="424"/>
        <w:spacing w:after="0" w:line="323" w:lineRule="auto"/>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20,499,801 shares of Common Stock outstanding as of December 31, 2020, as reported by the Issuer to Dr. Ackermann, plus the number of shares of Common Stock issuable upon exercise of options exercisable within 60 days of December 31, 2020 held directly by Dr. Ackermann.</w:t>
      </w:r>
    </w:p>
    <w:p>
      <w:pPr>
        <w:sectPr>
          <w:pgSz w:w="11900" w:h="16838" w:orient="portrait"/>
          <w:cols w:equalWidth="0" w:num="1">
            <w:col w:w="11024"/>
          </w:cols>
          <w:pgMar w:left="436" w:top="274" w:right="439" w:bottom="1440" w:gutter="0" w:footer="0" w:header="0"/>
        </w:sectPr>
      </w:pPr>
    </w:p>
    <w:bookmarkStart w:id="2" w:name="page3"/>
    <w:bookmarkEnd w:id="2"/>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1(a).</w:t>
      </w:r>
      <w:r>
        <w:rPr>
          <w:sz w:val="20"/>
          <w:szCs w:val="20"/>
          <w:color w:val="auto"/>
        </w:rPr>
        <w:tab/>
      </w:r>
      <w:r>
        <w:rPr>
          <w:rFonts w:ascii="Arial" w:cs="Arial" w:eastAsia="Arial" w:hAnsi="Arial"/>
          <w:sz w:val="16"/>
          <w:szCs w:val="16"/>
          <w:color w:val="auto"/>
        </w:rPr>
        <w:t>Name of Issuer: Tarsus Pharmaceuticals, Inc.</w:t>
      </w:r>
    </w:p>
    <w:p>
      <w:pPr>
        <w:spacing w:after="0" w:line="37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color w:val="auto"/>
        </w:rPr>
        <w:t>Address of Issuer’s Principal Executive Offices: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15440 Laguna Canyon Road, Suite 160</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Irvine, California 92618</w:t>
      </w:r>
    </w:p>
    <w:p>
      <w:pPr>
        <w:spacing w:after="0" w:line="35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color w:val="auto"/>
        </w:rPr>
        <w:t>Name of Person Filing:</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Michael Ackermann</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6"/>
          <w:szCs w:val="16"/>
          <w:color w:val="auto"/>
        </w:rPr>
        <w:t>Address of Principal Business Office or, if none, Residence: The address and principal business office of the Reporting Person is: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15440 Laguna Canyon Road, Suite 160</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Irvine, California 92618</w:t>
      </w:r>
    </w:p>
    <w:p>
      <w:pPr>
        <w:spacing w:after="0" w:line="35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color w:val="auto"/>
        </w:rPr>
        <w:t>Citizenship: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Michael Ackermann – United States</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color w:val="auto"/>
        </w:rPr>
        <w:t>Title of Class of Securities: Common Stock, $0.0001 per share.</w:t>
      </w:r>
    </w:p>
    <w:p>
      <w:pPr>
        <w:spacing w:after="0" w:line="37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6"/>
          <w:szCs w:val="16"/>
          <w:color w:val="auto"/>
        </w:rPr>
        <w:t>CUSIP Number: 87650L103</w:t>
      </w:r>
    </w:p>
    <w:p>
      <w:pPr>
        <w:spacing w:after="0" w:line="37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statement is not filed pursuant to §§240.13d-1(b) or 240.13d-2(b) or (c).</w:t>
      </w:r>
    </w:p>
    <w:p>
      <w:pPr>
        <w:sectPr>
          <w:pgSz w:w="11900" w:h="16838" w:orient="portrait"/>
          <w:cols w:equalWidth="0" w:num="1">
            <w:col w:w="10520"/>
          </w:cols>
          <w:pgMar w:left="440" w:top="270" w:right="939" w:bottom="1440" w:gutter="0" w:footer="0" w:header="0"/>
        </w:sectPr>
      </w:pPr>
    </w:p>
    <w:bookmarkStart w:id="3" w:name="page4"/>
    <w:bookmarkEnd w:id="3"/>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color w:val="auto"/>
        </w:rPr>
        <w:t>Ownership</w:t>
      </w:r>
    </w:p>
    <w:p>
      <w:pPr>
        <w:spacing w:after="0" w:line="131" w:lineRule="exact"/>
        <w:rPr>
          <w:sz w:val="20"/>
          <w:szCs w:val="20"/>
          <w:color w:val="auto"/>
        </w:rPr>
      </w:pPr>
    </w:p>
    <w:p>
      <w:pPr>
        <w:ind w:left="960" w:hanging="532"/>
        <w:spacing w:after="0"/>
        <w:tabs>
          <w:tab w:leader="none" w:pos="9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Amount beneficially owned:</w:t>
      </w:r>
    </w:p>
    <w:p>
      <w:pPr>
        <w:spacing w:after="0" w:line="12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See Row 9 of cover page for each Reporting Person.</w:t>
      </w:r>
    </w:p>
    <w:p>
      <w:pPr>
        <w:spacing w:after="0" w:line="126" w:lineRule="exact"/>
        <w:rPr>
          <w:rFonts w:ascii="Arial" w:cs="Arial" w:eastAsia="Arial" w:hAnsi="Arial"/>
          <w:sz w:val="18"/>
          <w:szCs w:val="18"/>
          <w:b w:val="1"/>
          <w:bCs w:val="1"/>
          <w:color w:val="auto"/>
        </w:rPr>
      </w:pPr>
    </w:p>
    <w:p>
      <w:pPr>
        <w:ind w:left="960" w:hanging="532"/>
        <w:spacing w:after="0"/>
        <w:tabs>
          <w:tab w:leader="none" w:pos="9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w:t>
      </w:r>
    </w:p>
    <w:p>
      <w:pPr>
        <w:spacing w:after="0" w:line="12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See Row 11 of cover page for each Reporting Person.</w:t>
      </w:r>
    </w:p>
    <w:p>
      <w:pPr>
        <w:spacing w:after="0" w:line="126" w:lineRule="exact"/>
        <w:rPr>
          <w:rFonts w:ascii="Arial" w:cs="Arial" w:eastAsia="Arial" w:hAnsi="Arial"/>
          <w:sz w:val="18"/>
          <w:szCs w:val="18"/>
          <w:b w:val="1"/>
          <w:bCs w:val="1"/>
          <w:color w:val="auto"/>
        </w:rPr>
      </w:pPr>
    </w:p>
    <w:p>
      <w:pPr>
        <w:ind w:left="980" w:right="5780" w:hanging="552"/>
        <w:spacing w:after="0" w:line="434" w:lineRule="auto"/>
        <w:tabs>
          <w:tab w:leader="none" w:pos="961"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Number of shares as to which the person has: </w:t>
      </w:r>
      <w:r>
        <w:rPr>
          <w:rFonts w:ascii="Arial" w:cs="Arial" w:eastAsia="Arial" w:hAnsi="Arial"/>
          <w:sz w:val="16"/>
          <w:szCs w:val="16"/>
          <w:color w:val="auto"/>
        </w:rPr>
        <w:t>See Row 9 of cover page for each Reporting Person.</w:t>
      </w:r>
    </w:p>
    <w:p>
      <w:pPr>
        <w:ind w:left="1420" w:hanging="439"/>
        <w:spacing w:after="0"/>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117"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See Row 5 of cover page for each Reporting Person.</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17"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See Row 6 of cover page for each Reporting Person.</w:t>
      </w:r>
    </w:p>
    <w:p>
      <w:pPr>
        <w:spacing w:after="0" w:line="130" w:lineRule="exact"/>
        <w:rPr>
          <w:rFonts w:ascii="Arial" w:cs="Arial" w:eastAsia="Arial" w:hAnsi="Arial"/>
          <w:sz w:val="18"/>
          <w:szCs w:val="18"/>
          <w:color w:val="auto"/>
        </w:rPr>
      </w:pPr>
    </w:p>
    <w:p>
      <w:pPr>
        <w:ind w:left="1420" w:right="5340" w:hanging="439"/>
        <w:spacing w:after="0" w:line="431" w:lineRule="auto"/>
        <w:tabs>
          <w:tab w:leader="none" w:pos="1405" w:val="left"/>
        </w:tabs>
        <w:numPr>
          <w:ilvl w:val="1"/>
          <w:numId w:val="4"/>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See Row 7 of cover page for each Reporting Person.</w:t>
      </w:r>
    </w:p>
    <w:p>
      <w:pPr>
        <w:ind w:left="1420" w:right="5240" w:hanging="439"/>
        <w:spacing w:after="0" w:line="483" w:lineRule="auto"/>
        <w:tabs>
          <w:tab w:leader="none" w:pos="1405" w:val="left"/>
        </w:tabs>
        <w:numPr>
          <w:ilvl w:val="1"/>
          <w:numId w:val="4"/>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See Row 8 of cover page for each Reporting Person.</w:t>
      </w:r>
    </w:p>
    <w:p>
      <w:pPr>
        <w:spacing w:after="0" w:line="16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121" w:lineRule="exact"/>
        <w:rPr>
          <w:sz w:val="20"/>
          <w:szCs w:val="20"/>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5 Percent on Behalf of Another Person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Notice of Dissolution of a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540"/>
          </w:cols>
          <w:pgMar w:left="440" w:top="270" w:right="919" w:bottom="1440" w:gutter="0" w:footer="0" w:header="0"/>
        </w:sectPr>
      </w:pPr>
    </w:p>
    <w:bookmarkStart w:id="4" w:name="page5"/>
    <w:bookmarkEnd w:id="4"/>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ACKERMANN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Michael Ackermann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 Michael Ackermann</w:t>
      </w:r>
    </w:p>
    <w:sectPr>
      <w:pgSz w:w="11900" w:h="16838" w:orient="portrait"/>
      <w:cols w:equalWidth="0" w:num="1">
        <w:col w:w="10460"/>
      </w:cols>
      <w:pgMar w:left="440" w:top="270"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2021-02-12T16:26:43Z</dcterms:created>
  <dcterms:modified xsi:type="dcterms:W3CDTF">2021-02-12T16:26:43Z</dcterms:modified>
</cp:coreProperties>
</file>