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w:t>
      </w:r>
      <w:r>
        <w:rPr>
          <w:rFonts w:ascii="Arial" w:cs="Arial" w:eastAsia="Arial" w:hAnsi="Arial"/>
          <w:sz w:val="17"/>
          <w:szCs w:val="17"/>
          <w:b w:val="1"/>
          <w:bCs w:val="1"/>
          <w:color w:val="auto"/>
        </w:rPr>
        <w:t>NDER THE</w:t>
      </w:r>
      <w:r>
        <w:rPr>
          <w:rFonts w:ascii="Arial" w:cs="Arial" w:eastAsia="Arial" w:hAnsi="Arial"/>
          <w:sz w:val="22"/>
          <w:szCs w:val="22"/>
          <w:b w:val="1"/>
          <w:bCs w:val="1"/>
          <w:color w:val="auto"/>
        </w:rPr>
        <w:t xml:space="preserve"> S</w:t>
      </w:r>
      <w:r>
        <w:rPr>
          <w:rFonts w:ascii="Arial" w:cs="Arial" w:eastAsia="Arial" w:hAnsi="Arial"/>
          <w:sz w:val="17"/>
          <w:szCs w:val="17"/>
          <w:b w:val="1"/>
          <w:bCs w:val="1"/>
          <w:color w:val="auto"/>
        </w:rPr>
        <w:t>ECURITIES</w:t>
      </w:r>
      <w:r>
        <w:rPr>
          <w:rFonts w:ascii="Arial" w:cs="Arial" w:eastAsia="Arial" w:hAnsi="Arial"/>
          <w:sz w:val="22"/>
          <w:szCs w:val="22"/>
          <w:b w:val="1"/>
          <w:bCs w:val="1"/>
          <w:color w:val="auto"/>
        </w:rPr>
        <w:t xml:space="preserve"> E</w:t>
      </w:r>
      <w:r>
        <w:rPr>
          <w:rFonts w:ascii="Arial" w:cs="Arial" w:eastAsia="Arial" w:hAnsi="Arial"/>
          <w:sz w:val="17"/>
          <w:szCs w:val="17"/>
          <w:b w:val="1"/>
          <w:bCs w:val="1"/>
          <w:color w:val="auto"/>
        </w:rPr>
        <w:t>XCHANGE</w:t>
      </w:r>
      <w:r>
        <w:rPr>
          <w:rFonts w:ascii="Arial" w:cs="Arial" w:eastAsia="Arial" w:hAnsi="Arial"/>
          <w:sz w:val="22"/>
          <w:szCs w:val="22"/>
          <w:b w:val="1"/>
          <w:bCs w:val="1"/>
          <w:color w:val="auto"/>
        </w:rPr>
        <w:t xml:space="preserve"> A</w:t>
      </w:r>
      <w:r>
        <w:rPr>
          <w:rFonts w:ascii="Arial" w:cs="Arial" w:eastAsia="Arial" w:hAnsi="Arial"/>
          <w:sz w:val="17"/>
          <w:szCs w:val="17"/>
          <w:b w:val="1"/>
          <w:bCs w:val="1"/>
          <w:color w:val="auto"/>
        </w:rPr>
        <w:t>CT OF</w:t>
      </w:r>
      <w:r>
        <w:rPr>
          <w:rFonts w:ascii="Arial" w:cs="Arial" w:eastAsia="Arial" w:hAnsi="Arial"/>
          <w:sz w:val="22"/>
          <w:szCs w:val="22"/>
          <w:b w:val="1"/>
          <w:bCs w:val="1"/>
          <w:color w:val="auto"/>
        </w:rPr>
        <w:t xml:space="preserve">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Tarsus Pharmaceuticals,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87650L 103</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Frazier Life Sciences IX,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6.9% (2)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PN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71" w:lineRule="auto"/>
        <w:tabs>
          <w:tab w:leader="none" w:pos="424"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60" w:hanging="424"/>
        <w:spacing w:after="0" w:line="260" w:lineRule="auto"/>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20,676,992 shares of Common Stock outstanding on November 4, 2021 as set forth in the Issuer’s Form 10-Q filed with the SEC on November 10, 2021.</w:t>
      </w:r>
    </w:p>
    <w:p>
      <w:pPr>
        <w:sectPr>
          <w:pgSz w:w="11900" w:h="16838" w:orient="portrait"/>
          <w:cols w:equalWidth="0" w:num="1">
            <w:col w:w="10904"/>
          </w:cols>
          <w:pgMar w:left="436" w:top="274" w:right="5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87650L 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FHMLS IX, L.P.</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6.9% (2)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5"/>
              </w:rPr>
              <w:t>PN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71" w:lineRule="auto"/>
        <w:tabs>
          <w:tab w:leader="none" w:pos="424"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6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20,676,992 shares of Common Stock outstanding on November 4, 2021 as set forth in the Issuer’s Form 10-Q filed with the SEC on November 10, 2021.</w:t>
      </w:r>
    </w:p>
    <w:p>
      <w:pPr>
        <w:sectPr>
          <w:pgSz w:w="11900" w:h="16838" w:orient="portrait"/>
          <w:cols w:equalWidth="0" w:num="1">
            <w:col w:w="10904"/>
          </w:cols>
          <w:pgMar w:left="436" w:top="274"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FHMLS IX, L.L.C.</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Delaware</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7"/>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6.9% (2)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5"/>
              </w:rPr>
              <w:t>OO</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71"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60" w:hanging="424"/>
        <w:spacing w:after="0" w:line="260" w:lineRule="auto"/>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20,676,992 shares of Common Stock outstanding on November 4, 2021 as set forth in the Issuer’s Form 10-Q filed with the SEC on November 10, 2021.</w:t>
      </w:r>
    </w:p>
    <w:p>
      <w:pPr>
        <w:sectPr>
          <w:pgSz w:w="11900" w:h="16838" w:orient="portrait"/>
          <w:cols w:equalWidth="0" w:num="1">
            <w:col w:w="10904"/>
          </w:cols>
          <w:pgMar w:left="436" w:top="274"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James Topper</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Citizen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6.9% (2)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71"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6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20,676,992 shares of Common Stock outstanding on November 4, 2021 as set forth in the Issuer’s Form 10-Q filed with the SEC on November 10, 2021.</w:t>
      </w:r>
    </w:p>
    <w:p>
      <w:pPr>
        <w:sectPr>
          <w:pgSz w:w="11900" w:h="16838" w:orient="portrait"/>
          <w:cols w:equalWidth="0" w:num="1">
            <w:col w:w="10904"/>
          </w:cols>
          <w:pgMar w:left="436" w:top="274"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87650L 103</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44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Patrick Heron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44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Citizen</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440" w:type="dxa"/>
            <w:vAlign w:val="bottom"/>
            <w:tcBorders>
              <w:right w:val="single" w:sz="8" w:color="auto"/>
            </w:tcBorders>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0 shares</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4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1,417,157 shares (1)</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6.9% (2)</w:t>
            </w: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44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right="140"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Consists of 1,417,157 shares of Common Stock held directly by Frazier Life Sciences IX, L.P. FHMLS IX, L.P. is the general partner of Frazier Life Sciences IX, L.P. and FHMLS IX, L.L.C. is the general partner of FHMLS IX, L.P. Patrick Heron and James Topper are the members of FHMLS IX, L.L.C. and therefore share voting and investment power over the shares held by Frazier Life Sciences IX, L.P.</w:t>
      </w:r>
    </w:p>
    <w:p>
      <w:pPr>
        <w:ind w:left="424" w:right="260" w:hanging="424"/>
        <w:spacing w:after="0" w:line="26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20,676,992 shares of Common Stock outstanding on November 4, 2021 as set forth in the Issuer’s Form 10-Q filed with the SEC on November 10, 2021.</w:t>
      </w:r>
    </w:p>
    <w:p>
      <w:pPr>
        <w:sectPr>
          <w:pgSz w:w="11900" w:h="16838" w:orient="portrait"/>
          <w:cols w:equalWidth="0" w:num="1">
            <w:col w:w="10904"/>
          </w:cols>
          <w:pgMar w:left="436" w:top="274" w:right="559" w:bottom="1440" w:gutter="0" w:footer="0" w:header="0"/>
        </w:sectPr>
      </w:pPr>
    </w:p>
    <w:bookmarkStart w:id="6" w:name="page7"/>
    <w:bookmarkEnd w:id="6"/>
    <w:p>
      <w:pPr>
        <w:spacing w:after="0"/>
        <w:tabs>
          <w:tab w:leader="none" w:pos="14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1(a).</w:t>
      </w:r>
      <w:r>
        <w:rPr>
          <w:sz w:val="20"/>
          <w:szCs w:val="20"/>
          <w:color w:val="auto"/>
        </w:rPr>
        <w:tab/>
      </w:r>
      <w:r>
        <w:rPr>
          <w:rFonts w:ascii="Arial" w:cs="Arial" w:eastAsia="Arial" w:hAnsi="Arial"/>
          <w:sz w:val="16"/>
          <w:szCs w:val="16"/>
          <w:color w:val="auto"/>
        </w:rPr>
        <w:t>Name of Issuer: Tarsus Pharmaceuticals, Inc.</w:t>
      </w:r>
    </w:p>
    <w:p>
      <w:pPr>
        <w:spacing w:after="0" w:line="11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color w:val="auto"/>
        </w:rPr>
        <w:t>Address of Issuer’s Principal Executive Offices: 15440 Laguna Canyon Road, Suite 160, Irvine, CA 92618</w:t>
      </w:r>
    </w:p>
    <w:p>
      <w:pPr>
        <w:spacing w:after="0" w:line="333"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color w:val="auto"/>
        </w:rPr>
        <w:t>Name of Person Filing:</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entities and persons filing this statement (collectively, the “Reporting Persons”) are:</w:t>
      </w:r>
    </w:p>
    <w:p>
      <w:pPr>
        <w:spacing w:after="0" w:line="1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Frazier Life Sciences IX, L.P. (“FLS IX”)</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FHMLS IX, L.P.</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FHMLS IX, L.L.C.</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James Topper (“Topper”)</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Patrick Heron (“Heron” and together with Topper, the “Members”)</w:t>
      </w:r>
    </w:p>
    <w:p>
      <w:pPr>
        <w:spacing w:after="0" w:line="328"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color w:val="auto"/>
        </w:rPr>
        <w:t>Address of Principal Business Office or, if none, Residence:</w:t>
      </w:r>
    </w:p>
    <w:p>
      <w:pPr>
        <w:spacing w:after="0" w:line="1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The address and principal business office of the Reporting Persons is:</w:t>
      </w:r>
    </w:p>
    <w:p>
      <w:pPr>
        <w:spacing w:after="0" w:line="13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c/o Frazier Healthcare Partners</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601 Union Street, Suite 3200</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Seattle, Washington 98101</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560" w:type="dxa"/>
            <w:vAlign w:val="bottom"/>
          </w:tcPr>
          <w:p>
            <w:pPr>
              <w:ind w:left="340"/>
              <w:spacing w:after="0"/>
              <w:rPr>
                <w:sz w:val="20"/>
                <w:szCs w:val="20"/>
                <w:color w:val="auto"/>
              </w:rPr>
            </w:pPr>
            <w:r>
              <w:rPr>
                <w:rFonts w:ascii="Arial" w:cs="Arial" w:eastAsia="Arial" w:hAnsi="Arial"/>
                <w:sz w:val="18"/>
                <w:szCs w:val="18"/>
                <w:color w:val="auto"/>
              </w:rPr>
              <w:t>Citizenship:</w:t>
            </w:r>
          </w:p>
        </w:tc>
        <w:tc>
          <w:tcPr>
            <w:tcW w:w="2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10"/>
        </w:trPr>
        <w:tc>
          <w:tcPr>
            <w:tcW w:w="1100" w:type="dxa"/>
            <w:vAlign w:val="bottom"/>
          </w:tcPr>
          <w:p>
            <w:pPr>
              <w:spacing w:after="0"/>
              <w:rPr>
                <w:sz w:val="24"/>
                <w:szCs w:val="24"/>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auto"/>
              </w:rPr>
              <w:t>Entities:</w:t>
            </w:r>
          </w:p>
        </w:tc>
        <w:tc>
          <w:tcPr>
            <w:tcW w:w="2700" w:type="dxa"/>
            <w:vAlign w:val="bottom"/>
          </w:tcPr>
          <w:p>
            <w:pPr>
              <w:ind w:left="360"/>
              <w:spacing w:after="0"/>
              <w:rPr>
                <w:sz w:val="20"/>
                <w:szCs w:val="20"/>
                <w:color w:val="auto"/>
              </w:rPr>
            </w:pPr>
            <w:r>
              <w:rPr>
                <w:rFonts w:ascii="Arial" w:cs="Arial" w:eastAsia="Arial" w:hAnsi="Arial"/>
                <w:sz w:val="18"/>
                <w:szCs w:val="18"/>
                <w:color w:val="auto"/>
              </w:rPr>
              <w:t>FLS IX</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240"/>
              <w:spacing w:after="0"/>
              <w:rPr>
                <w:sz w:val="20"/>
                <w:szCs w:val="20"/>
                <w:color w:val="auto"/>
              </w:rPr>
            </w:pPr>
            <w:r>
              <w:rPr>
                <w:rFonts w:ascii="Arial" w:cs="Arial" w:eastAsia="Arial" w:hAnsi="Arial"/>
                <w:sz w:val="18"/>
                <w:szCs w:val="18"/>
                <w:color w:val="auto"/>
              </w:rPr>
              <w:t>Delaware, U.S.A.</w:t>
            </w:r>
          </w:p>
        </w:tc>
      </w:tr>
      <w:tr>
        <w:trPr>
          <w:trHeight w:val="216"/>
        </w:trPr>
        <w:tc>
          <w:tcPr>
            <w:tcW w:w="1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700" w:type="dxa"/>
            <w:vAlign w:val="bottom"/>
          </w:tcPr>
          <w:p>
            <w:pPr>
              <w:ind w:left="400"/>
              <w:spacing w:after="0"/>
              <w:rPr>
                <w:sz w:val="20"/>
                <w:szCs w:val="20"/>
                <w:color w:val="auto"/>
              </w:rPr>
            </w:pPr>
            <w:r>
              <w:rPr>
                <w:rFonts w:ascii="Arial" w:cs="Arial" w:eastAsia="Arial" w:hAnsi="Arial"/>
                <w:sz w:val="18"/>
                <w:szCs w:val="18"/>
                <w:color w:val="auto"/>
              </w:rPr>
              <w:t>FHMLS IX, L.P.</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240"/>
              <w:spacing w:after="0"/>
              <w:rPr>
                <w:sz w:val="20"/>
                <w:szCs w:val="20"/>
                <w:color w:val="auto"/>
              </w:rPr>
            </w:pPr>
            <w:r>
              <w:rPr>
                <w:rFonts w:ascii="Arial" w:cs="Arial" w:eastAsia="Arial" w:hAnsi="Arial"/>
                <w:sz w:val="18"/>
                <w:szCs w:val="18"/>
                <w:color w:val="auto"/>
              </w:rPr>
              <w:t>Delaware, U.S.A.</w:t>
            </w:r>
          </w:p>
        </w:tc>
      </w:tr>
      <w:tr>
        <w:trPr>
          <w:trHeight w:val="230"/>
        </w:trPr>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00" w:type="dxa"/>
            <w:vAlign w:val="bottom"/>
          </w:tcPr>
          <w:p>
            <w:pPr>
              <w:ind w:left="400"/>
              <w:spacing w:after="0"/>
              <w:rPr>
                <w:sz w:val="20"/>
                <w:szCs w:val="20"/>
                <w:color w:val="auto"/>
              </w:rPr>
            </w:pPr>
            <w:r>
              <w:rPr>
                <w:rFonts w:ascii="Arial" w:cs="Arial" w:eastAsia="Arial" w:hAnsi="Arial"/>
                <w:sz w:val="18"/>
                <w:szCs w:val="18"/>
                <w:color w:val="auto"/>
              </w:rPr>
              <w:t>FHMLS IX, L.L.C</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240"/>
              <w:spacing w:after="0"/>
              <w:rPr>
                <w:sz w:val="20"/>
                <w:szCs w:val="20"/>
                <w:color w:val="auto"/>
              </w:rPr>
            </w:pPr>
            <w:r>
              <w:rPr>
                <w:rFonts w:ascii="Arial" w:cs="Arial" w:eastAsia="Arial" w:hAnsi="Arial"/>
                <w:sz w:val="18"/>
                <w:szCs w:val="18"/>
                <w:color w:val="auto"/>
              </w:rPr>
              <w:t>Delaware, U.S.A.</w:t>
            </w:r>
          </w:p>
        </w:tc>
      </w:tr>
      <w:tr>
        <w:trPr>
          <w:trHeight w:val="323"/>
        </w:trPr>
        <w:tc>
          <w:tcPr>
            <w:tcW w:w="1100" w:type="dxa"/>
            <w:vAlign w:val="bottom"/>
          </w:tcPr>
          <w:p>
            <w:pPr>
              <w:spacing w:after="0"/>
              <w:rPr>
                <w:sz w:val="24"/>
                <w:szCs w:val="24"/>
                <w:color w:val="auto"/>
              </w:rPr>
            </w:pPr>
          </w:p>
        </w:tc>
        <w:tc>
          <w:tcPr>
            <w:tcW w:w="1560" w:type="dxa"/>
            <w:vAlign w:val="bottom"/>
          </w:tcPr>
          <w:p>
            <w:pPr>
              <w:ind w:left="340"/>
              <w:spacing w:after="0"/>
              <w:rPr>
                <w:sz w:val="20"/>
                <w:szCs w:val="20"/>
                <w:color w:val="auto"/>
              </w:rPr>
            </w:pPr>
            <w:r>
              <w:rPr>
                <w:rFonts w:ascii="Arial" w:cs="Arial" w:eastAsia="Arial" w:hAnsi="Arial"/>
                <w:sz w:val="18"/>
                <w:szCs w:val="18"/>
                <w:color w:val="auto"/>
              </w:rPr>
              <w:t>Individuals:</w:t>
            </w:r>
          </w:p>
        </w:tc>
        <w:tc>
          <w:tcPr>
            <w:tcW w:w="2700" w:type="dxa"/>
            <w:vAlign w:val="bottom"/>
          </w:tcPr>
          <w:p>
            <w:pPr>
              <w:ind w:left="360"/>
              <w:spacing w:after="0"/>
              <w:rPr>
                <w:sz w:val="20"/>
                <w:szCs w:val="20"/>
                <w:color w:val="auto"/>
              </w:rPr>
            </w:pPr>
            <w:r>
              <w:rPr>
                <w:rFonts w:ascii="Arial" w:cs="Arial" w:eastAsia="Arial" w:hAnsi="Arial"/>
                <w:sz w:val="18"/>
                <w:szCs w:val="18"/>
                <w:color w:val="auto"/>
              </w:rPr>
              <w:t>Topper</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240"/>
              <w:spacing w:after="0"/>
              <w:rPr>
                <w:sz w:val="20"/>
                <w:szCs w:val="20"/>
                <w:color w:val="auto"/>
              </w:rPr>
            </w:pPr>
            <w:r>
              <w:rPr>
                <w:rFonts w:ascii="Arial" w:cs="Arial" w:eastAsia="Arial" w:hAnsi="Arial"/>
                <w:sz w:val="18"/>
                <w:szCs w:val="18"/>
                <w:color w:val="auto"/>
                <w:w w:val="89"/>
              </w:rPr>
              <w:t>United States Citizen</w:t>
            </w:r>
          </w:p>
        </w:tc>
      </w:tr>
      <w:tr>
        <w:trPr>
          <w:trHeight w:val="230"/>
        </w:trPr>
        <w:tc>
          <w:tcPr>
            <w:tcW w:w="1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700" w:type="dxa"/>
            <w:vAlign w:val="bottom"/>
          </w:tcPr>
          <w:p>
            <w:pPr>
              <w:ind w:left="400"/>
              <w:spacing w:after="0"/>
              <w:rPr>
                <w:sz w:val="20"/>
                <w:szCs w:val="20"/>
                <w:color w:val="auto"/>
              </w:rPr>
            </w:pPr>
            <w:r>
              <w:rPr>
                <w:rFonts w:ascii="Arial" w:cs="Arial" w:eastAsia="Arial" w:hAnsi="Arial"/>
                <w:sz w:val="18"/>
                <w:szCs w:val="18"/>
                <w:color w:val="auto"/>
              </w:rPr>
              <w:t>Heron</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760" w:type="dxa"/>
            <w:vAlign w:val="bottom"/>
          </w:tcPr>
          <w:p>
            <w:pPr>
              <w:ind w:left="240"/>
              <w:spacing w:after="0"/>
              <w:rPr>
                <w:sz w:val="20"/>
                <w:szCs w:val="20"/>
                <w:color w:val="auto"/>
              </w:rPr>
            </w:pPr>
            <w:r>
              <w:rPr>
                <w:rFonts w:ascii="Arial" w:cs="Arial" w:eastAsia="Arial" w:hAnsi="Arial"/>
                <w:sz w:val="18"/>
                <w:szCs w:val="18"/>
                <w:color w:val="auto"/>
                <w:w w:val="89"/>
              </w:rPr>
              <w:t>United States Citizen</w:t>
            </w:r>
          </w:p>
        </w:tc>
      </w:tr>
      <w:tr>
        <w:trPr>
          <w:trHeight w:val="55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Title of Class of Securities: Common Stock</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24"/>
        </w:trPr>
        <w:tc>
          <w:tcPr>
            <w:tcW w:w="110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CUSIP Number: 87650L 103</w:t>
            </w:r>
          </w:p>
        </w:tc>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30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88" w:lineRule="exact"/>
        <w:rPr>
          <w:sz w:val="20"/>
          <w:szCs w:val="20"/>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b w:val="1"/>
          <w:bCs w:val="1"/>
          <w:color w:val="auto"/>
        </w:rPr>
      </w:pPr>
    </w:p>
    <w:p>
      <w:pPr>
        <w:ind w:left="1800" w:hanging="697"/>
        <w:spacing w:after="0" w:line="239"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b w:val="1"/>
          <w:bCs w:val="1"/>
          <w:color w:val="auto"/>
        </w:rPr>
      </w:pPr>
    </w:p>
    <w:p>
      <w:pPr>
        <w:ind w:left="1440" w:hanging="337"/>
        <w:spacing w:after="0" w:line="207" w:lineRule="exact"/>
        <w:tabs>
          <w:tab w:leader="none" w:pos="1440" w:val="left"/>
        </w:tabs>
        <w:numPr>
          <w:ilvl w:val="0"/>
          <w:numId w:val="9"/>
        </w:numPr>
        <w:rPr>
          <w:rFonts w:ascii="Arial" w:cs="Arial" w:eastAsia="Arial" w:hAnsi="Arial"/>
          <w:sz w:val="18"/>
          <w:szCs w:val="18"/>
          <w:b w:val="1"/>
          <w:bCs w:val="1"/>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w:t>
      </w:r>
    </w:p>
    <w:p>
      <w:pPr>
        <w:spacing w:after="0" w:line="149"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If filing as a non-U.S. institution in accordance with §240.13d–1(b)(1)(ii)(J), please specify the type of institution: ____</w:t>
      </w:r>
    </w:p>
    <w:p>
      <w:pPr>
        <w:spacing w:after="0" w:line="32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ectPr>
          <w:pgSz w:w="11900" w:h="16838" w:orient="portrait"/>
          <w:cols w:equalWidth="0" w:num="1">
            <w:col w:w="11000"/>
          </w:cols>
          <w:pgMar w:left="440" w:top="270" w:right="459" w:bottom="1440" w:gutter="0" w:footer="0" w:header="0"/>
        </w:sectPr>
      </w:pPr>
    </w:p>
    <w:bookmarkStart w:id="7" w:name="page8"/>
    <w:bookmarkEnd w:id="7"/>
    <w:p>
      <w:pPr>
        <w:ind w:left="1440" w:hanging="32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Amount Beneficially Owned: See Row 9 of cover page for each Reporting Person.</w:t>
      </w:r>
    </w:p>
    <w:p>
      <w:pPr>
        <w:spacing w:after="0" w:line="117" w:lineRule="exact"/>
        <w:rPr>
          <w:rFonts w:ascii="Arial" w:cs="Arial" w:eastAsia="Arial" w:hAnsi="Arial"/>
          <w:sz w:val="18"/>
          <w:szCs w:val="18"/>
          <w:color w:val="auto"/>
        </w:rPr>
      </w:pPr>
    </w:p>
    <w:p>
      <w:pPr>
        <w:ind w:left="1440" w:hanging="32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See Row 11 of cover page for each Reporting Person</w:t>
      </w:r>
    </w:p>
    <w:p>
      <w:pPr>
        <w:spacing w:after="0" w:line="117" w:lineRule="exact"/>
        <w:rPr>
          <w:rFonts w:ascii="Arial" w:cs="Arial" w:eastAsia="Arial" w:hAnsi="Arial"/>
          <w:sz w:val="18"/>
          <w:szCs w:val="18"/>
          <w:color w:val="auto"/>
        </w:rPr>
      </w:pPr>
    </w:p>
    <w:p>
      <w:pPr>
        <w:ind w:left="1440" w:hanging="324"/>
        <w:spacing w:after="0"/>
        <w:tabs>
          <w:tab w:leader="none" w:pos="1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1800" w:hanging="360"/>
        <w:spacing w:after="0"/>
        <w:tabs>
          <w:tab w:leader="none" w:pos="1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Sole power to vote or to direct the vote: See Row 5 of cover page for each Reporting Person.</w:t>
      </w:r>
    </w:p>
    <w:p>
      <w:pPr>
        <w:spacing w:after="0" w:line="117" w:lineRule="exact"/>
        <w:rPr>
          <w:rFonts w:ascii="Arial" w:cs="Arial" w:eastAsia="Arial" w:hAnsi="Arial"/>
          <w:sz w:val="18"/>
          <w:szCs w:val="18"/>
          <w:b w:val="1"/>
          <w:bCs w:val="1"/>
          <w:color w:val="auto"/>
        </w:rPr>
      </w:pPr>
    </w:p>
    <w:p>
      <w:pPr>
        <w:ind w:left="1780" w:hanging="340"/>
        <w:spacing w:after="0"/>
        <w:tabs>
          <w:tab w:leader="none" w:pos="17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Shared power to vote or to direct the vote: See Row 6 of cover page for each Reporting Person.</w:t>
      </w:r>
    </w:p>
    <w:p>
      <w:pPr>
        <w:spacing w:after="0" w:line="117" w:lineRule="exact"/>
        <w:rPr>
          <w:rFonts w:ascii="Arial" w:cs="Arial" w:eastAsia="Arial" w:hAnsi="Arial"/>
          <w:sz w:val="18"/>
          <w:szCs w:val="18"/>
          <w:b w:val="1"/>
          <w:bCs w:val="1"/>
          <w:color w:val="auto"/>
        </w:rPr>
      </w:pPr>
    </w:p>
    <w:p>
      <w:pPr>
        <w:ind w:left="1780" w:hanging="340"/>
        <w:spacing w:after="0"/>
        <w:tabs>
          <w:tab w:leader="none" w:pos="178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Sole power to dispose or to direct the disposition of: See Row 7 of cover page for each Reporting Person.</w:t>
      </w:r>
    </w:p>
    <w:p>
      <w:pPr>
        <w:spacing w:after="0" w:line="117" w:lineRule="exact"/>
        <w:rPr>
          <w:rFonts w:ascii="Arial" w:cs="Arial" w:eastAsia="Arial" w:hAnsi="Arial"/>
          <w:sz w:val="18"/>
          <w:szCs w:val="18"/>
          <w:b w:val="1"/>
          <w:bCs w:val="1"/>
          <w:color w:val="auto"/>
        </w:rPr>
      </w:pPr>
    </w:p>
    <w:p>
      <w:pPr>
        <w:ind w:left="1800" w:hanging="360"/>
        <w:spacing w:after="0"/>
        <w:tabs>
          <w:tab w:leader="none" w:pos="1800"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Shared power to dispose or to direct the disposition of: See Row 8 of cover page for each Reporting Person.</w:t>
      </w:r>
    </w:p>
    <w:p>
      <w:pPr>
        <w:spacing w:after="0" w:line="32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right="5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8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440" w:right="120" w:hanging="1443"/>
        <w:spacing w:after="0" w:line="282" w:lineRule="auto"/>
        <w:tabs>
          <w:tab w:leader="none" w:pos="14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Each member of the group is identified on the signature page to this Schedule 13G amendment.</w:t>
      </w:r>
    </w:p>
    <w:p>
      <w:pPr>
        <w:spacing w:after="0" w:line="32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920"/>
          </w:cols>
          <w:pgMar w:left="440" w:top="382" w:right="53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3"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73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FRAZIER LIFE SCIENCES IX, L.P.</w:t>
            </w:r>
          </w:p>
        </w:tc>
      </w:tr>
      <w:tr>
        <w:trPr>
          <w:trHeight w:val="216"/>
        </w:trPr>
        <w:tc>
          <w:tcPr>
            <w:tcW w:w="3640" w:type="dxa"/>
            <w:vAlign w:val="bottom"/>
          </w:tcPr>
          <w:p>
            <w:pPr>
              <w:spacing w:after="0"/>
              <w:rPr>
                <w:sz w:val="18"/>
                <w:szCs w:val="18"/>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FHMLS IX, L.P., its general partner</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4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17"/>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73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FHMLS IX, L.P.</w:t>
            </w:r>
          </w:p>
        </w:tc>
      </w:tr>
      <w:tr>
        <w:trPr>
          <w:trHeight w:val="230"/>
        </w:trPr>
        <w:tc>
          <w:tcPr>
            <w:tcW w:w="364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FHMLS IX, L.L.C., its general partner</w:t>
            </w:r>
          </w:p>
        </w:tc>
      </w:tr>
      <w:tr>
        <w:trPr>
          <w:trHeight w:val="432"/>
        </w:trPr>
        <w:tc>
          <w:tcPr>
            <w:tcW w:w="364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7380" w:type="dxa"/>
            <w:vAlign w:val="bottom"/>
            <w:gridSpan w:val="2"/>
          </w:tcPr>
          <w:p>
            <w:pPr>
              <w:ind w:left="1980"/>
              <w:spacing w:after="0"/>
              <w:rPr>
                <w:sz w:val="20"/>
                <w:szCs w:val="20"/>
                <w:color w:val="auto"/>
              </w:rPr>
            </w:pPr>
            <w:r>
              <w:rPr>
                <w:rFonts w:ascii="Arial" w:cs="Arial" w:eastAsia="Arial" w:hAnsi="Arial"/>
                <w:sz w:val="18"/>
                <w:szCs w:val="18"/>
                <w:b w:val="1"/>
                <w:bCs w:val="1"/>
                <w:color w:val="auto"/>
              </w:rPr>
              <w:t>FHMLS IX, L.L.C.</w:t>
            </w:r>
          </w:p>
        </w:tc>
      </w:tr>
      <w:tr>
        <w:trPr>
          <w:trHeight w:val="432"/>
        </w:trPr>
        <w:tc>
          <w:tcPr>
            <w:tcW w:w="3640" w:type="dxa"/>
            <w:vAlign w:val="bottom"/>
          </w:tcPr>
          <w:p>
            <w:pPr>
              <w:spacing w:after="0"/>
              <w:rPr>
                <w:sz w:val="24"/>
                <w:szCs w:val="24"/>
                <w:color w:val="auto"/>
              </w:rPr>
            </w:pP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Chief Financial Officer</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James Topper</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Patrick Heron</w:t>
            </w:r>
          </w:p>
        </w:tc>
      </w:tr>
      <w:tr>
        <w:trPr>
          <w:trHeight w:val="431"/>
        </w:trPr>
        <w:tc>
          <w:tcPr>
            <w:tcW w:w="3640" w:type="dxa"/>
            <w:vAlign w:val="bottom"/>
          </w:tcPr>
          <w:p>
            <w:pPr>
              <w:spacing w:after="0"/>
              <w:rPr>
                <w:sz w:val="20"/>
                <w:szCs w:val="20"/>
                <w:color w:val="auto"/>
              </w:rPr>
            </w:pPr>
            <w:r>
              <w:rPr>
                <w:rFonts w:ascii="Arial" w:cs="Arial" w:eastAsia="Arial" w:hAnsi="Arial"/>
                <w:sz w:val="18"/>
                <w:szCs w:val="18"/>
                <w:color w:val="auto"/>
              </w:rPr>
              <w:t>Date: January 28, 2022</w:t>
            </w:r>
          </w:p>
        </w:tc>
        <w:tc>
          <w:tcPr>
            <w:tcW w:w="2520" w:type="dxa"/>
            <w:vAlign w:val="bottom"/>
          </w:tcPr>
          <w:p>
            <w:pPr>
              <w:ind w:left="198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R. Bailey</w:t>
            </w:r>
          </w:p>
        </w:tc>
      </w:tr>
      <w:tr>
        <w:trPr>
          <w:trHeight w:val="224"/>
        </w:trPr>
        <w:tc>
          <w:tcPr>
            <w:tcW w:w="36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Steve R. Bailey, as Attorney-in-Fact</w:t>
            </w:r>
          </w:p>
        </w:tc>
      </w:tr>
    </w:tbl>
    <w:p>
      <w:pPr>
        <w:spacing w:after="0" w:line="228" w:lineRule="exact"/>
        <w:rPr>
          <w:sz w:val="20"/>
          <w:szCs w:val="20"/>
          <w:color w:val="auto"/>
        </w:rPr>
      </w:pPr>
    </w:p>
    <w:p>
      <w:pPr>
        <w:ind w:left="424" w:right="280" w:hanging="424"/>
        <w:spacing w:after="0" w:line="277"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was executed by Steve R. Bailey on behalf of the individuals listed above pursuant to a Power of Attorney, a copy of which was filed with the SEC on July 31, 2017.</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2022-01-28T13:19:14Z</dcterms:created>
  <dcterms:modified xsi:type="dcterms:W3CDTF">2022-01-28T13:19:14Z</dcterms:modified>
</cp:coreProperties>
</file>