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May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TARSUS PHARMACEUTICALS,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81-4717861</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15440 Laguna Canyon Road, Suite 160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Irvine, CA 92618</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381"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(949) 409-9820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4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TARS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The Nasdaq Global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4"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 2022, Tarsus Pharmaceuticals, Inc., a Delaware corporation (the “Company”), entered into an Underwriting Agreement (the “Underwriting Agreement”) with BofA Securities, Inc. and Jefferies LLC, acting as representatives of the underwriters named in the Underwriting Agreement (the “Underwriters”), relating to the sale of 5,600,000 shares of the Company’s common stock, par value $0.0001 per share (the “Offering”). The price to the public in the Offering is $13.50 per share, and the Underwriters have agreed to purchase the shares from the Company pursuant to the Underwriting Agreement at a price of $12.69 per share. Under the terms of the Underwriting Agreement, the Company has granted the Underwriters an option, exercisable for 30 days, to purchase up to an additional 840,000 shares. The net proceeds to the Company from the Offering are expected to be approximately $70.6 million, after deducting underwriting discounts and commissions and estimated Offering expenses payable by the Company, assuming no exercise by the Underwriters of its option to purchase additional shares of common stock. The transactions contemplated by the Underwriting Agreement are expected to close on May 5, 2022, subject to the satisfaction of customary closing conditions.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Offering was made pursuant to the Company’s shelf registration statement on Form S-3, filed with the Securities and Exchange Commission (“SEC”) on November 1, 2021, which became effective on November 5, 2021 (File No. 333-260665) and the prospectus included therein (the “Registration Statement”), a preliminary prospectus supplement, dated May 2, 2022 filed with the SEC pursuant to Rule 424(b) under the Securities Act of 1933, as amended (the “Securities Act”), a free writing prospectus dated May 2, 2022 and filed with the SEC pursuant to Rule 433 under the Securities Act and a final prospectus supplement dated May 2, 2022 filed with the SEC pursuant to 424(b) under the Securities Act.</w:t>
      </w:r>
    </w:p>
    <w:p>
      <w:pPr>
        <w:spacing w:after="0" w:line="17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Underwriting Agreement contains customary representations, warranties and agreements by the Company, customary conditions to closing, indemnification obligations of the Company and the Underwriters, including for liabilities under the Securities Act, other obligations of the parties and termination provisions. A copy of the Underwriting Agreement is filed as Exhibit 1.1 to this Current Report and is incorporated herein by reference. The foregoing description of the terms of the Underwriting Agreement is qualified in its entirety by the Underwriting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Underwriting Agreement is attached hereto as an exhibit to provide interested persons with information regarding its terms, but is not intended to provide any other factual information about the Company. The representations, warranties and covenants contained in the Underwriting Agreement were made only for purposes of the Underwriting Agreement as of specific dates indicated therein, were solely for the benefit of the parties to the Underwriting Agreement, and may be subject to limitations agreed upon by the parties, including being qualified by confidential disclosures exchanged between the parties in connection with the execution of the Underwriting Agreement.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legal opinion, including the related consent, of Gunderson Dettmer Stough Villeneuve Franklin &amp; Hachigian, LLP relating to the legality of the issuance and sale of the shares of the Company’s common stock in the Offering is filed as Exhibit 5.1 to this Current Report.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Current Report contains forward-looking statements that involve risk and uncertainties, such as statements related to the anticipated closing of the Offering and the amount of net proceeds expected from the Offering. The risks and uncertainties involved include the Company’s ability to satisfy certain conditions to closing on a timely basis or at all, as well as other risks detailed from time to time in the Company’s SEC filings.</w:t>
      </w:r>
    </w:p>
    <w:p>
      <w:pPr>
        <w:sectPr>
          <w:pgSz w:w="11900" w:h="16838" w:orient="portrait"/>
          <w:cols w:equalWidth="0" w:num="1">
            <w:col w:w="11020"/>
          </w:cols>
          <w:pgMar w:left="440" w:top="297" w:right="43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 2022, the Company issued a press release to announce a proposed offering of $50 million shares of its common stock, par value $0.0001 per share, pursuant to the Registration Statement (the “Offering Press Release”). A copy of the Offering Press Release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On May 3, 2022, the Company also issued a press release to announce that it had priced an upsized $75.6 million Offering (the “Pricing Press Release”).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Pricing Press Release is attached hereto as Exhibit 99.2 and is incorporated herein by reference.</w:t>
      </w:r>
    </w:p>
    <w:p>
      <w:pPr>
        <w:spacing w:after="0" w:line="3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color w:val="auto"/>
              </w:rPr>
              <w:t>Exhibit</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500" w:type="dxa"/>
            <w:vAlign w:val="bottom"/>
          </w:tcPr>
          <w:p>
            <w:pPr>
              <w:jc w:val="right"/>
              <w:ind w:right="55"/>
              <w:spacing w:after="0"/>
              <w:rPr>
                <w:sz w:val="20"/>
                <w:szCs w:val="20"/>
                <w:color w:val="auto"/>
              </w:rPr>
            </w:pPr>
            <w:r>
              <w:rPr>
                <w:rFonts w:ascii="Arial" w:cs="Arial" w:eastAsia="Arial" w:hAnsi="Arial"/>
                <w:sz w:val="14"/>
                <w:szCs w:val="14"/>
                <w:color w:val="auto"/>
              </w:rPr>
              <w:t>No.</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720" w:type="dxa"/>
            <w:vAlign w:val="bottom"/>
            <w:gridSpan w:val="7"/>
          </w:tcPr>
          <w:p>
            <w:pPr>
              <w:ind w:left="2460"/>
              <w:spacing w:after="0"/>
              <w:rPr>
                <w:sz w:val="20"/>
                <w:szCs w:val="20"/>
                <w:color w:val="auto"/>
              </w:rPr>
            </w:pPr>
            <w:r>
              <w:rPr>
                <w:rFonts w:ascii="Arial" w:cs="Arial" w:eastAsia="Arial" w:hAnsi="Arial"/>
                <w:sz w:val="14"/>
                <w:szCs w:val="14"/>
                <w:color w:val="auto"/>
              </w:rPr>
              <w:t>Description</w:t>
            </w: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83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Underwriting Agreement, dated May 2, 2022, by and among the Company, BofA Securities, Inc. and Jefferies LLC.</w:t>
              </w:r>
            </w:hyperlink>
          </w:p>
        </w:tc>
        <w:tc>
          <w:tcPr>
            <w:tcW w:w="1540" w:type="dxa"/>
            <w:vAlign w:val="bottom"/>
            <w:gridSpan w:val="2"/>
          </w:tcPr>
          <w:p>
            <w:pPr>
              <w:spacing w:after="0"/>
              <w:rPr>
                <w:sz w:val="24"/>
                <w:szCs w:val="24"/>
                <w:color w:val="auto"/>
              </w:rPr>
            </w:pPr>
          </w:p>
        </w:tc>
      </w:tr>
      <w:tr>
        <w:trPr>
          <w:trHeight w:val="30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900" w:type="dxa"/>
            <w:vAlign w:val="bottom"/>
            <w:gridSpan w:val="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Opinion of Gunderson Dettmer Stough Villeneuve Franklin &amp; Hachigian, LLP.</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9900" w:type="dxa"/>
            <w:vAlign w:val="bottom"/>
            <w:gridSpan w:val="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Consent of Gunderson Dettmer Stough Villeneuve Franklin &amp; Hachigian, LLP (included in Exhibit 5.1).</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5340" w:type="dxa"/>
            <w:vAlign w:val="bottom"/>
            <w:gridSpan w:val="4"/>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9900" w:type="dxa"/>
            <w:vAlign w:val="bottom"/>
            <w:gridSpan w:val="9"/>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 xml:space="preserve">Press release issued by the Company dated May 2, 2022 titled “Tarsus Announces Proposed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50 Million Underwritten Public Offering of</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Shares of its Common Stock”.</w:t>
              </w:r>
            </w:hyperlink>
          </w:p>
        </w:tc>
        <w:tc>
          <w:tcPr>
            <w:tcW w:w="770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99.2</w:t>
            </w:r>
          </w:p>
        </w:tc>
        <w:tc>
          <w:tcPr>
            <w:tcW w:w="540" w:type="dxa"/>
            <w:vAlign w:val="bottom"/>
          </w:tcPr>
          <w:p>
            <w:pPr>
              <w:spacing w:after="0"/>
              <w:rPr>
                <w:sz w:val="24"/>
                <w:szCs w:val="24"/>
                <w:color w:val="auto"/>
              </w:rPr>
            </w:pPr>
          </w:p>
        </w:tc>
        <w:tc>
          <w:tcPr>
            <w:tcW w:w="99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 xml:space="preserve">Press release issued by the Company dated May 3, 2022 titled “Tarsus Announces Pricing of Upsized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75.6 Million Offering of Common</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Stock”.</w:t>
              </w:r>
            </w:hyperlink>
          </w:p>
        </w:tc>
        <w:tc>
          <w:tcPr>
            <w:tcW w:w="9360" w:type="dxa"/>
            <w:vAlign w:val="bottom"/>
            <w:gridSpan w:val="8"/>
          </w:tcPr>
          <w:p>
            <w:pPr>
              <w:spacing w:after="0"/>
              <w:rPr>
                <w:sz w:val="17"/>
                <w:szCs w:val="17"/>
                <w:color w:val="auto"/>
              </w:rPr>
            </w:pPr>
          </w:p>
        </w:tc>
      </w:tr>
      <w:tr>
        <w:trPr>
          <w:trHeight w:val="345"/>
        </w:trPr>
        <w:tc>
          <w:tcPr>
            <w:tcW w:w="500" w:type="dxa"/>
            <w:vAlign w:val="bottom"/>
          </w:tcPr>
          <w:p>
            <w:pPr>
              <w:jc w:val="right"/>
              <w:ind w:right="155"/>
              <w:spacing w:after="0"/>
              <w:rPr>
                <w:sz w:val="20"/>
                <w:szCs w:val="20"/>
                <w:color w:val="auto"/>
              </w:rPr>
            </w:pPr>
            <w:r>
              <w:rPr>
                <w:rFonts w:ascii="Arial" w:cs="Arial" w:eastAsia="Arial" w:hAnsi="Arial"/>
                <w:sz w:val="18"/>
                <w:szCs w:val="18"/>
                <w:color w:val="auto"/>
                <w:w w:val="79"/>
              </w:rPr>
              <w:t>104</w:t>
            </w:r>
          </w:p>
        </w:tc>
        <w:tc>
          <w:tcPr>
            <w:tcW w:w="5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XBRL document).</w:t>
            </w:r>
          </w:p>
        </w:tc>
      </w:tr>
    </w:tbl>
    <w:p>
      <w:pPr>
        <w:sectPr>
          <w:pgSz w:w="11900" w:h="16838" w:orient="portrait"/>
          <w:cols w:equalWidth="0" w:num="1">
            <w:col w:w="11020"/>
          </w:cols>
          <w:pgMar w:left="440" w:top="297"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3, 2022</w:t>
      </w:r>
      <w:r>
        <w:rPr>
          <w:sz w:val="20"/>
          <w:szCs w:val="20"/>
          <w:color w:val="auto"/>
        </w:rPr>
        <w:tab/>
      </w:r>
      <w:r>
        <w:rPr>
          <w:rFonts w:ascii="Arial" w:cs="Arial" w:eastAsia="Arial" w:hAnsi="Arial"/>
          <w:sz w:val="15"/>
          <w:szCs w:val="15"/>
          <w:color w:val="auto"/>
        </w:rPr>
        <w:t>Tarsus Pharmaceuticals,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Leo M. Greenstein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020"/>
          </w:cols>
          <w:pgMar w:left="440" w:top="30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TARSUS PHARMACEUTICALS,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5,600,000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2, 2022</w:t>
      </w:r>
    </w:p>
    <w:p>
      <w:pPr>
        <w:sectPr>
          <w:pgSz w:w="11900" w:h="16838" w:orient="portrait"/>
          <w:cols w:equalWidth="0" w:num="1">
            <w:col w:w="11020"/>
          </w:cols>
          <w:pgMar w:left="440" w:top="121"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TARSUS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5,600,000 Shares of Common Stock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ectPr>
          <w:pgSz w:w="11900" w:h="16838" w:orient="portrait"/>
          <w:cols w:equalWidth="0" w:num="1">
            <w:col w:w="11020"/>
          </w:cols>
          <w:pgMar w:left="440" w:top="274"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pacing w:after="0" w:line="200" w:lineRule="exact"/>
        <w:rPr>
          <w:sz w:val="20"/>
          <w:szCs w:val="20"/>
          <w:color w:val="auto"/>
        </w:rPr>
      </w:pPr>
    </w:p>
    <w:p>
      <w:pPr>
        <w:sectPr>
          <w:pgSz w:w="11900" w:h="16838" w:orient="portrait"/>
          <w:cols w:equalWidth="0" w:num="2">
            <w:col w:w="220" w:space="400"/>
            <w:col w:w="10400"/>
          </w:cols>
          <w:pgMar w:left="440" w:top="274" w:right="439" w:bottom="1440" w:gutter="0" w:footer="0" w:header="0"/>
          <w:type w:val="continuous"/>
        </w:sectPr>
      </w:pPr>
    </w:p>
    <w:p>
      <w:pPr>
        <w:spacing w:after="0" w:line="3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New York, New York 10022</w:t>
      </w:r>
    </w:p>
    <w:p>
      <w:pPr>
        <w:sectPr>
          <w:pgSz w:w="11900" w:h="16838" w:orient="portrait"/>
          <w:cols w:equalWidth="0" w:num="1">
            <w:col w:w="11020"/>
          </w:cols>
          <w:pgMar w:left="440" w:top="274" w:right="4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jc w:val="both"/>
        <w:ind w:firstLine="440"/>
        <w:spacing w:after="0" w:line="271" w:lineRule="auto"/>
        <w:rPr>
          <w:sz w:val="20"/>
          <w:szCs w:val="20"/>
          <w:color w:val="auto"/>
        </w:rPr>
      </w:pPr>
      <w:r>
        <w:rPr>
          <w:rFonts w:ascii="Arial" w:cs="Arial" w:eastAsia="Arial" w:hAnsi="Arial"/>
          <w:sz w:val="17"/>
          <w:szCs w:val="17"/>
          <w:color w:val="auto"/>
        </w:rPr>
        <w:t>Tarsus Pharmaceuticals,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confirms its agreement with BofA Securities, Inc. (“</w:t>
      </w:r>
      <w:r>
        <w:rPr>
          <w:rFonts w:ascii="Arial" w:cs="Arial" w:eastAsia="Arial" w:hAnsi="Arial"/>
          <w:sz w:val="17"/>
          <w:szCs w:val="17"/>
          <w:b w:val="1"/>
          <w:bCs w:val="1"/>
          <w:color w:val="auto"/>
        </w:rPr>
        <w:t>BofA</w:t>
      </w:r>
      <w:r>
        <w:rPr>
          <w:rFonts w:ascii="Arial" w:cs="Arial" w:eastAsia="Arial" w:hAnsi="Arial"/>
          <w:sz w:val="17"/>
          <w:szCs w:val="17"/>
          <w:color w:val="auto"/>
        </w:rPr>
        <w:t>”), Jefferies LLC (“</w:t>
      </w:r>
      <w:r>
        <w:rPr>
          <w:rFonts w:ascii="Arial" w:cs="Arial" w:eastAsia="Arial" w:hAnsi="Arial"/>
          <w:sz w:val="17"/>
          <w:szCs w:val="17"/>
          <w:b w:val="1"/>
          <w:bCs w:val="1"/>
          <w:color w:val="auto"/>
        </w:rPr>
        <w:t>Jefferies</w:t>
      </w:r>
      <w:r>
        <w:rPr>
          <w:rFonts w:ascii="Arial" w:cs="Arial" w:eastAsia="Arial" w:hAnsi="Arial"/>
          <w:sz w:val="17"/>
          <w:szCs w:val="17"/>
          <w:color w:val="auto"/>
        </w:rPr>
        <w:t>”) and each of the other underwriters named in Schedule A hereto (collectively, the “</w:t>
      </w:r>
      <w:r>
        <w:rPr>
          <w:rFonts w:ascii="Arial" w:cs="Arial" w:eastAsia="Arial" w:hAnsi="Arial"/>
          <w:sz w:val="17"/>
          <w:szCs w:val="17"/>
          <w:b w:val="1"/>
          <w:bCs w:val="1"/>
          <w:color w:val="auto"/>
        </w:rPr>
        <w:t>Underwriters</w:t>
      </w:r>
      <w:r>
        <w:rPr>
          <w:rFonts w:ascii="Arial" w:cs="Arial" w:eastAsia="Arial" w:hAnsi="Arial"/>
          <w:sz w:val="17"/>
          <w:szCs w:val="17"/>
          <w:color w:val="auto"/>
        </w:rPr>
        <w:t>,” which term shall also include any underwriter substituted as hereinafter provided in Section 10 hereof), for whom BofA and Jefferies are acting as representatives (in such capacity, the “</w:t>
      </w:r>
      <w:r>
        <w:rPr>
          <w:rFonts w:ascii="Arial" w:cs="Arial" w:eastAsia="Arial" w:hAnsi="Arial"/>
          <w:sz w:val="17"/>
          <w:szCs w:val="17"/>
          <w:b w:val="1"/>
          <w:bCs w:val="1"/>
          <w:color w:val="auto"/>
        </w:rPr>
        <w:t>Representatives</w:t>
      </w:r>
      <w:r>
        <w:rPr>
          <w:rFonts w:ascii="Arial" w:cs="Arial" w:eastAsia="Arial" w:hAnsi="Arial"/>
          <w:sz w:val="17"/>
          <w:szCs w:val="17"/>
          <w:color w:val="auto"/>
        </w:rPr>
        <w:t>”), with respect to (i) the sale by the Company and the purchase by the Underwriters, acting severally and not jointly, of the respective numbers of shares of common stock, par value $0.0001 per share, of the Company (“</w:t>
      </w:r>
      <w:r>
        <w:rPr>
          <w:rFonts w:ascii="Arial" w:cs="Arial" w:eastAsia="Arial" w:hAnsi="Arial"/>
          <w:sz w:val="17"/>
          <w:szCs w:val="17"/>
          <w:b w:val="1"/>
          <w:bCs w:val="1"/>
          <w:color w:val="auto"/>
        </w:rPr>
        <w:t>Common Stock</w:t>
      </w:r>
      <w:r>
        <w:rPr>
          <w:rFonts w:ascii="Arial" w:cs="Arial" w:eastAsia="Arial" w:hAnsi="Arial"/>
          <w:sz w:val="17"/>
          <w:szCs w:val="17"/>
          <w:color w:val="auto"/>
        </w:rPr>
        <w:t>”) set forth in Schedule A hereto and (ii) the grant by the Company to the Underwriters, acting severally and not jointly, of the option described in Section 2(b) hereof to purchase all or any part of 840,000 additional shares of Common Stock. The aforesaid 5,600,000 shares of Common Stock (the “</w:t>
      </w:r>
      <w:r>
        <w:rPr>
          <w:rFonts w:ascii="Arial" w:cs="Arial" w:eastAsia="Arial" w:hAnsi="Arial"/>
          <w:sz w:val="17"/>
          <w:szCs w:val="17"/>
          <w:b w:val="1"/>
          <w:bCs w:val="1"/>
          <w:color w:val="auto"/>
        </w:rPr>
        <w:t>Initial Securities</w:t>
      </w:r>
      <w:r>
        <w:rPr>
          <w:rFonts w:ascii="Arial" w:cs="Arial" w:eastAsia="Arial" w:hAnsi="Arial"/>
          <w:sz w:val="17"/>
          <w:szCs w:val="17"/>
          <w:color w:val="auto"/>
        </w:rPr>
        <w:t>”) to be purchased by the Underwriters and all or any part of the 840,000 shares of Common Stock subject to the option described in Section 2(b) hereof (the “</w:t>
      </w:r>
      <w:r>
        <w:rPr>
          <w:rFonts w:ascii="Arial" w:cs="Arial" w:eastAsia="Arial" w:hAnsi="Arial"/>
          <w:sz w:val="17"/>
          <w:szCs w:val="17"/>
          <w:b w:val="1"/>
          <w:bCs w:val="1"/>
          <w:color w:val="auto"/>
        </w:rPr>
        <w:t>Option</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are herein called, collectively, the “</w:t>
      </w:r>
      <w:r>
        <w:rPr>
          <w:rFonts w:ascii="Arial" w:cs="Arial" w:eastAsia="Arial" w:hAnsi="Arial"/>
          <w:sz w:val="17"/>
          <w:szCs w:val="17"/>
          <w:b w:val="1"/>
          <w:bCs w:val="1"/>
          <w:color w:val="auto"/>
        </w:rPr>
        <w:t>Securities</w:t>
      </w:r>
      <w:r>
        <w:rPr>
          <w:rFonts w:ascii="Arial" w:cs="Arial" w:eastAsia="Arial" w:hAnsi="Arial"/>
          <w:sz w:val="17"/>
          <w:szCs w:val="17"/>
          <w:color w:val="auto"/>
        </w:rPr>
        <w:t>.”</w:t>
      </w:r>
    </w:p>
    <w:p>
      <w:pPr>
        <w:spacing w:after="0" w:line="178"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Representatives deem advisable after this underwriting agreement (the “</w:t>
      </w:r>
      <w:r>
        <w:rPr>
          <w:rFonts w:ascii="Arial" w:cs="Arial" w:eastAsia="Arial" w:hAnsi="Arial"/>
          <w:sz w:val="18"/>
          <w:szCs w:val="18"/>
          <w:b w:val="1"/>
          <w:bCs w:val="1"/>
          <w:color w:val="auto"/>
        </w:rPr>
        <w:t>Agreement</w:t>
      </w:r>
      <w:r>
        <w:rPr>
          <w:rFonts w:ascii="Arial" w:cs="Arial" w:eastAsia="Arial" w:hAnsi="Arial"/>
          <w:sz w:val="18"/>
          <w:szCs w:val="18"/>
          <w:color w:val="auto"/>
        </w:rPr>
        <w:t>”) has been executed and delivered.</w:t>
      </w:r>
    </w:p>
    <w:p>
      <w:pPr>
        <w:spacing w:after="0" w:line="166" w:lineRule="exact"/>
        <w:rPr>
          <w:sz w:val="20"/>
          <w:szCs w:val="20"/>
          <w:color w:val="auto"/>
        </w:rPr>
      </w:pPr>
    </w:p>
    <w:p>
      <w:pPr>
        <w:jc w:val="both"/>
        <w:ind w:firstLine="440"/>
        <w:spacing w:after="0" w:line="274" w:lineRule="auto"/>
        <w:rPr>
          <w:sz w:val="20"/>
          <w:szCs w:val="20"/>
          <w:color w:val="auto"/>
        </w:rPr>
      </w:pPr>
      <w:r>
        <w:rPr>
          <w:rFonts w:ascii="Arial" w:cs="Arial" w:eastAsia="Arial" w:hAnsi="Arial"/>
          <w:sz w:val="17"/>
          <w:szCs w:val="17"/>
          <w:color w:val="auto"/>
        </w:rPr>
        <w:t>The Company has prepared and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shelf registration statement on Form S-3 (File No. 333-260665), covering the public offering and sale of certain securities, including the Securities, under the Securities Act of 1933, as amended (the “</w:t>
      </w:r>
      <w:r>
        <w:rPr>
          <w:rFonts w:ascii="Arial" w:cs="Arial" w:eastAsia="Arial" w:hAnsi="Arial"/>
          <w:sz w:val="17"/>
          <w:szCs w:val="17"/>
          <w:b w:val="1"/>
          <w:bCs w:val="1"/>
          <w:color w:val="auto"/>
        </w:rPr>
        <w:t>1933 Act</w:t>
      </w:r>
      <w:r>
        <w:rPr>
          <w:rFonts w:ascii="Arial" w:cs="Arial" w:eastAsia="Arial" w:hAnsi="Arial"/>
          <w:sz w:val="17"/>
          <w:szCs w:val="17"/>
          <w:color w:val="auto"/>
        </w:rPr>
        <w:t>”) and the rules and regulations promulgated thereunder (the “</w:t>
      </w:r>
      <w:r>
        <w:rPr>
          <w:rFonts w:ascii="Arial" w:cs="Arial" w:eastAsia="Arial" w:hAnsi="Arial"/>
          <w:sz w:val="17"/>
          <w:szCs w:val="17"/>
          <w:b w:val="1"/>
          <w:bCs w:val="1"/>
          <w:color w:val="auto"/>
        </w:rPr>
        <w:t>1933 Act Regulations</w:t>
      </w:r>
      <w:r>
        <w:rPr>
          <w:rFonts w:ascii="Arial" w:cs="Arial" w:eastAsia="Arial" w:hAnsi="Arial"/>
          <w:sz w:val="17"/>
          <w:szCs w:val="17"/>
          <w:color w:val="auto"/>
        </w:rPr>
        <w:t>”), which shelf registration statement has been declared effective by the Commission. Such registration statement, as of any time, means such registration statement as amended by any post-effective amendments thereto at such time, including the exhibits and any schedules thereto at such time, the documents incorporated or deemed to be incorporated by reference therein at such time pursuant to Item 12 of Form</w:t>
      </w:r>
    </w:p>
    <w:p>
      <w:pPr>
        <w:sectPr>
          <w:pgSz w:w="11900" w:h="16838" w:orient="portrait"/>
          <w:cols w:equalWidth="0" w:num="1">
            <w:col w:w="11020"/>
          </w:cols>
          <w:pgMar w:left="440" w:top="274" w:right="439" w:bottom="1440" w:gutter="0" w:footer="0" w:header="0"/>
          <w:type w:val="continuous"/>
        </w:sectPr>
      </w:pPr>
    </w:p>
    <w:bookmarkStart w:id="6" w:name="page7"/>
    <w:bookmarkEnd w:id="6"/>
    <w:p>
      <w:pPr>
        <w:jc w:val="both"/>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S-3 under the 1933 Act and the documents otherwise deemed to be a part thereof as of such time pursuant to Rule 430B under the 1933 Act Regulations (“</w:t>
      </w:r>
      <w:r>
        <w:rPr>
          <w:rFonts w:ascii="Arial" w:cs="Arial" w:eastAsia="Arial" w:hAnsi="Arial"/>
          <w:sz w:val="17"/>
          <w:szCs w:val="17"/>
          <w:b w:val="1"/>
          <w:bCs w:val="1"/>
          <w:color w:val="auto"/>
        </w:rPr>
        <w:t>Rule 430B</w:t>
      </w:r>
      <w:r>
        <w:rPr>
          <w:rFonts w:ascii="Arial" w:cs="Arial" w:eastAsia="Arial" w:hAnsi="Arial"/>
          <w:sz w:val="17"/>
          <w:szCs w:val="17"/>
          <w:color w:val="auto"/>
        </w:rPr>
        <w:t>”), and is referred to herein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provided, however, that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Rule 430B. Any registration statement filed pursuant to Rule 462(b) of the 1933 Act Regulations is herein called the “</w:t>
      </w:r>
      <w:r>
        <w:rPr>
          <w:rFonts w:ascii="Arial" w:cs="Arial" w:eastAsia="Arial" w:hAnsi="Arial"/>
          <w:sz w:val="17"/>
          <w:szCs w:val="17"/>
          <w:b w:val="1"/>
          <w:bCs w:val="1"/>
          <w:color w:val="auto"/>
        </w:rPr>
        <w:t>Rule 462(b)</w:t>
      </w:r>
      <w:r>
        <w:rPr>
          <w:rFonts w:ascii="Arial" w:cs="Arial" w:eastAsia="Arial" w:hAnsi="Arial"/>
          <w:sz w:val="17"/>
          <w:szCs w:val="17"/>
          <w:color w:val="auto"/>
        </w:rPr>
        <w:t xml:space="preserv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after such filing,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shall include the Rule 462(b) Registration Statement. Each</w:t>
      </w:r>
      <w:r>
        <w:rPr>
          <w:rFonts w:ascii="Arial" w:cs="Arial" w:eastAsia="Arial" w:hAnsi="Arial"/>
          <w:sz w:val="17"/>
          <w:szCs w:val="17"/>
          <w:b w:val="1"/>
          <w:bCs w:val="1"/>
          <w:color w:val="auto"/>
        </w:rPr>
        <w:t xml:space="preserve"> </w:t>
      </w:r>
      <w:r>
        <w:rPr>
          <w:rFonts w:ascii="Arial" w:cs="Arial" w:eastAsia="Arial" w:hAnsi="Arial"/>
          <w:sz w:val="17"/>
          <w:szCs w:val="17"/>
          <w:color w:val="auto"/>
        </w:rPr>
        <w:t>preliminary prospectus used in connection with the offering of the Securities, including the documents incorporated or deemed to be incorporated by reference therein pursuant to Item 12 of Form S-3 under the 1933 Act, are collectively referred to herein as a “</w:t>
      </w:r>
      <w:r>
        <w:rPr>
          <w:rFonts w:ascii="Arial" w:cs="Arial" w:eastAsia="Arial" w:hAnsi="Arial"/>
          <w:sz w:val="17"/>
          <w:szCs w:val="17"/>
          <w:b w:val="1"/>
          <w:bCs w:val="1"/>
          <w:color w:val="auto"/>
        </w:rPr>
        <w:t>preliminary prospectus</w:t>
      </w:r>
      <w:r>
        <w:rPr>
          <w:rFonts w:ascii="Arial" w:cs="Arial" w:eastAsia="Arial" w:hAnsi="Arial"/>
          <w:sz w:val="17"/>
          <w:szCs w:val="17"/>
          <w:color w:val="auto"/>
        </w:rPr>
        <w:t>.” Promptly after execution and delivery of this Agreement, the Company will prepare and file a final prospectus relating to the Securities in accordance with the provisions of Rule 424(b) under the 1933 Act Regulations (“</w:t>
      </w:r>
      <w:r>
        <w:rPr>
          <w:rFonts w:ascii="Arial" w:cs="Arial" w:eastAsia="Arial" w:hAnsi="Arial"/>
          <w:sz w:val="17"/>
          <w:szCs w:val="17"/>
          <w:b w:val="1"/>
          <w:bCs w:val="1"/>
          <w:color w:val="auto"/>
        </w:rPr>
        <w:t>Rule 424(b)</w:t>
      </w:r>
      <w:r>
        <w:rPr>
          <w:rFonts w:ascii="Arial" w:cs="Arial" w:eastAsia="Arial" w:hAnsi="Arial"/>
          <w:sz w:val="17"/>
          <w:szCs w:val="17"/>
          <w:color w:val="auto"/>
        </w:rPr>
        <w:t>”).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w:t>
      </w:r>
      <w:r>
        <w:rPr>
          <w:rFonts w:ascii="Arial" w:cs="Arial" w:eastAsia="Arial" w:hAnsi="Arial"/>
          <w:sz w:val="17"/>
          <w:szCs w:val="17"/>
          <w:b w:val="1"/>
          <w:bCs w:val="1"/>
          <w:color w:val="auto"/>
        </w:rPr>
        <w:t>Prospectus</w:t>
      </w:r>
      <w:r>
        <w:rPr>
          <w:rFonts w:ascii="Arial" w:cs="Arial" w:eastAsia="Arial" w:hAnsi="Arial"/>
          <w:sz w:val="17"/>
          <w:szCs w:val="17"/>
          <w:color w:val="auto"/>
        </w:rPr>
        <w:t>.”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w:t>
      </w:r>
      <w:r>
        <w:rPr>
          <w:rFonts w:ascii="Arial" w:cs="Arial" w:eastAsia="Arial" w:hAnsi="Arial"/>
          <w:sz w:val="17"/>
          <w:szCs w:val="17"/>
          <w:b w:val="1"/>
          <w:bCs w:val="1"/>
          <w:color w:val="auto"/>
        </w:rPr>
        <w:t>EDGAR</w:t>
      </w:r>
      <w:r>
        <w:rPr>
          <w:rFonts w:ascii="Arial" w:cs="Arial" w:eastAsia="Arial" w:hAnsi="Arial"/>
          <w:sz w:val="17"/>
          <w:szCs w:val="17"/>
          <w:color w:val="auto"/>
        </w:rPr>
        <w: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w:t>
      </w:r>
    </w:p>
    <w:p>
      <w:pPr>
        <w:spacing w:after="0" w:line="113" w:lineRule="exact"/>
        <w:rPr>
          <w:sz w:val="20"/>
          <w:szCs w:val="20"/>
          <w:color w:val="auto"/>
        </w:rPr>
      </w:pPr>
    </w:p>
    <w:p>
      <w:pPr>
        <w:jc w:val="both"/>
        <w:ind w:left="440" w:right="2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6:20 P.M., New York City time, on May 2, 2022 or such other time as agreed by the Company and the Representatives.</w:t>
      </w:r>
    </w:p>
    <w:p>
      <w:pPr>
        <w:spacing w:after="0" w:line="54" w:lineRule="exact"/>
        <w:rPr>
          <w:sz w:val="20"/>
          <w:szCs w:val="20"/>
          <w:color w:val="auto"/>
        </w:rPr>
      </w:pPr>
    </w:p>
    <w:p>
      <w:pPr>
        <w:jc w:val="both"/>
        <w:ind w:left="440" w:right="20" w:firstLine="42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Disclosure Package</w:t>
      </w:r>
      <w:r>
        <w:rPr>
          <w:rFonts w:ascii="Arial" w:cs="Arial" w:eastAsia="Arial" w:hAnsi="Arial"/>
          <w:sz w:val="18"/>
          <w:szCs w:val="18"/>
          <w:color w:val="auto"/>
        </w:rPr>
        <w:t>”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Schedule B-1 hereto, all considered together.</w:t>
      </w:r>
    </w:p>
    <w:p>
      <w:pPr>
        <w:spacing w:after="0" w:line="68" w:lineRule="exact"/>
        <w:rPr>
          <w:sz w:val="20"/>
          <w:szCs w:val="20"/>
          <w:color w:val="auto"/>
        </w:rPr>
      </w:pPr>
    </w:p>
    <w:p>
      <w:pPr>
        <w:jc w:val="both"/>
        <w:ind w:left="440" w:firstLine="42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means any “issuer free writing prospectus,” as defined in Rule 433 of the 1933 Act Regulations (“</w:t>
      </w:r>
      <w:r>
        <w:rPr>
          <w:rFonts w:ascii="Arial" w:cs="Arial" w:eastAsia="Arial" w:hAnsi="Arial"/>
          <w:sz w:val="18"/>
          <w:szCs w:val="18"/>
          <w:b w:val="1"/>
          <w:bCs w:val="1"/>
          <w:color w:val="auto"/>
        </w:rPr>
        <w:t>Rule</w:t>
      </w:r>
      <w:r>
        <w:rPr>
          <w:rFonts w:ascii="Arial" w:cs="Arial" w:eastAsia="Arial" w:hAnsi="Arial"/>
          <w:sz w:val="18"/>
          <w:szCs w:val="18"/>
          <w:color w:val="auto"/>
        </w:rPr>
        <w:t xml:space="preserve"> </w:t>
      </w:r>
      <w:r>
        <w:rPr>
          <w:rFonts w:ascii="Arial" w:cs="Arial" w:eastAsia="Arial" w:hAnsi="Arial"/>
          <w:sz w:val="18"/>
          <w:szCs w:val="18"/>
          <w:b w:val="1"/>
          <w:bCs w:val="1"/>
          <w:color w:val="auto"/>
        </w:rPr>
        <w:t>433</w:t>
      </w:r>
      <w:r>
        <w:rPr>
          <w:rFonts w:ascii="Arial" w:cs="Arial" w:eastAsia="Arial" w:hAnsi="Arial"/>
          <w:sz w:val="18"/>
          <w:szCs w:val="18"/>
          <w:color w:val="auto"/>
        </w:rPr>
        <w:t>”), including without limitation any “free writing prospectus” (as defined in Rule 405 of the 1933 Act Regulations (“</w:t>
      </w:r>
      <w:r>
        <w:rPr>
          <w:rFonts w:ascii="Arial" w:cs="Arial" w:eastAsia="Arial" w:hAnsi="Arial"/>
          <w:sz w:val="18"/>
          <w:szCs w:val="18"/>
          <w:b w:val="1"/>
          <w:bCs w:val="1"/>
          <w:color w:val="auto"/>
        </w:rPr>
        <w:t>Rule 405</w:t>
      </w:r>
      <w:r>
        <w:rPr>
          <w:rFonts w:ascii="Arial" w:cs="Arial" w:eastAsia="Arial" w:hAnsi="Arial"/>
          <w:sz w:val="18"/>
          <w:szCs w:val="18"/>
          <w:color w:val="auto"/>
        </w:rPr>
        <w:t>”))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81" w:lineRule="exact"/>
        <w:rPr>
          <w:sz w:val="20"/>
          <w:szCs w:val="20"/>
          <w:color w:val="auto"/>
        </w:rPr>
      </w:pPr>
    </w:p>
    <w:p>
      <w:pPr>
        <w:jc w:val="both"/>
        <w:ind w:left="440" w:right="2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General Use Free Writing Prospectus</w:t>
      </w:r>
      <w:r>
        <w:rPr>
          <w:rFonts w:ascii="Arial" w:cs="Arial" w:eastAsia="Arial" w:hAnsi="Arial"/>
          <w:sz w:val="18"/>
          <w:szCs w:val="18"/>
          <w:color w:val="auto"/>
        </w:rPr>
        <w:t>” means any Issuer Free Writing Prospectus that is intended for general distribution to prospective investors, as evidenced by its being specified in Schedule B-2 hereto.</w:t>
      </w:r>
    </w:p>
    <w:p>
      <w:pPr>
        <w:spacing w:after="0" w:line="54" w:lineRule="exact"/>
        <w:rPr>
          <w:sz w:val="20"/>
          <w:szCs w:val="20"/>
          <w:color w:val="auto"/>
        </w:rPr>
      </w:pPr>
    </w:p>
    <w:p>
      <w:pPr>
        <w:jc w:val="both"/>
        <w:ind w:left="44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Limited Use Free Writing Prospectus</w:t>
      </w:r>
      <w:r>
        <w:rPr>
          <w:rFonts w:ascii="Arial" w:cs="Arial" w:eastAsia="Arial" w:hAnsi="Arial"/>
          <w:sz w:val="18"/>
          <w:szCs w:val="18"/>
          <w:color w:val="auto"/>
        </w:rPr>
        <w:t>” means any Issuer Free Writing Prospectus that is not an Issuer General Use Free Writing Prospectus.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7" w:name="page8"/>
    <w:bookmarkEnd w:id="7"/>
    <w:p>
      <w:pPr>
        <w:ind w:left="440" w:firstLine="42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or Rule 163B under, the 1933 Act.</w:t>
      </w:r>
    </w:p>
    <w:p>
      <w:pPr>
        <w:spacing w:after="0" w:line="54" w:lineRule="exact"/>
        <w:rPr>
          <w:sz w:val="20"/>
          <w:szCs w:val="20"/>
          <w:color w:val="auto"/>
        </w:rPr>
      </w:pPr>
    </w:p>
    <w:p>
      <w:pPr>
        <w:ind w:left="44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1933 Act.</w:t>
      </w:r>
    </w:p>
    <w:p>
      <w:pPr>
        <w:spacing w:after="0" w:line="166" w:lineRule="exact"/>
        <w:rPr>
          <w:sz w:val="20"/>
          <w:szCs w:val="20"/>
          <w:color w:val="auto"/>
        </w:rPr>
      </w:pPr>
    </w:p>
    <w:p>
      <w:pPr>
        <w:jc w:val="both"/>
        <w:ind w:firstLine="440"/>
        <w:spacing w:after="0" w:line="290" w:lineRule="auto"/>
        <w:rPr>
          <w:sz w:val="20"/>
          <w:szCs w:val="20"/>
          <w:color w:val="auto"/>
        </w:rPr>
      </w:pPr>
      <w:r>
        <w:rPr>
          <w:rFonts w:ascii="Arial" w:cs="Arial" w:eastAsia="Arial" w:hAnsi="Arial"/>
          <w:sz w:val="16"/>
          <w:szCs w:val="16"/>
          <w:color w:val="auto"/>
        </w:rPr>
        <w:t>All references in this Agreement to financial statements and schedules and other information which is “contained,” “included” or “stated” (or other references of like import) in the Registration Statement, any preliminary prospectus or the Prospectus shall include all such financial statements and schedules and other information which is incorporated by reference in or otherwise deemed by 1933 Act Regulations to be a part of or included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include the filing of any document under the Securities Exchange Act of 1934 Act, as amended (the “</w:t>
      </w:r>
      <w:r>
        <w:rPr>
          <w:rFonts w:ascii="Arial" w:cs="Arial" w:eastAsia="Arial" w:hAnsi="Arial"/>
          <w:sz w:val="16"/>
          <w:szCs w:val="16"/>
          <w:b w:val="1"/>
          <w:bCs w:val="1"/>
          <w:color w:val="auto"/>
        </w:rPr>
        <w:t>1934 Act</w:t>
      </w:r>
      <w:r>
        <w:rPr>
          <w:rFonts w:ascii="Arial" w:cs="Arial" w:eastAsia="Arial" w:hAnsi="Arial"/>
          <w:sz w:val="16"/>
          <w:szCs w:val="16"/>
          <w:color w:val="auto"/>
        </w:rPr>
        <w:t>”), and the rules and regulations promulgated thereunder (the “</w:t>
      </w:r>
      <w:r>
        <w:rPr>
          <w:rFonts w:ascii="Arial" w:cs="Arial" w:eastAsia="Arial" w:hAnsi="Arial"/>
          <w:sz w:val="16"/>
          <w:szCs w:val="16"/>
          <w:b w:val="1"/>
          <w:bCs w:val="1"/>
          <w:color w:val="auto"/>
        </w:rPr>
        <w:t>1934 Regulations</w:t>
      </w:r>
      <w:r>
        <w:rPr>
          <w:rFonts w:ascii="Arial" w:cs="Arial" w:eastAsia="Arial" w:hAnsi="Arial"/>
          <w:sz w:val="16"/>
          <w:szCs w:val="16"/>
          <w:color w:val="auto"/>
        </w:rPr>
        <w:t>”), which is incorporated by reference in or otherwise deemed by 1933 Act Regulations to be a part of or included in the Registration Statement, such preliminary prospectus or the Prospectus, as the case may be, at or after the execution and delivery of this Agreement.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308" w:lineRule="auto"/>
        <w:tabs>
          <w:tab w:leader="none" w:pos="712"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 by the Company</w:t>
      </w:r>
      <w:r>
        <w:rPr>
          <w:rFonts w:ascii="Arial" w:cs="Arial" w:eastAsia="Arial" w:hAnsi="Arial"/>
          <w:sz w:val="17"/>
          <w:szCs w:val="17"/>
          <w:color w:val="auto"/>
        </w:rPr>
        <w:t>. The Company represents and warrants to each Underwriter as of the date hereof,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Time, the Closing Time (as defined below) and any Date of Delivery (as defined below), and agrees with each Underwriter, as follows:</w:t>
      </w:r>
    </w:p>
    <w:p>
      <w:pPr>
        <w:spacing w:after="0" w:line="38" w:lineRule="exact"/>
        <w:rPr>
          <w:rFonts w:ascii="Arial" w:cs="Arial" w:eastAsia="Arial" w:hAnsi="Arial"/>
          <w:sz w:val="17"/>
          <w:szCs w:val="17"/>
          <w:color w:val="auto"/>
        </w:rPr>
      </w:pPr>
    </w:p>
    <w:p>
      <w:pPr>
        <w:jc w:val="both"/>
        <w:ind w:left="440" w:right="20" w:firstLine="419"/>
        <w:spacing w:after="0" w:line="273" w:lineRule="auto"/>
        <w:tabs>
          <w:tab w:leader="none" w:pos="1091"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Registration Statement and Prospectuses</w:t>
      </w:r>
      <w:r>
        <w:rPr>
          <w:rFonts w:ascii="Arial" w:cs="Arial" w:eastAsia="Arial" w:hAnsi="Arial"/>
          <w:sz w:val="17"/>
          <w:szCs w:val="17"/>
          <w:color w:val="auto"/>
        </w:rPr>
        <w:t>. The Company meets the requirements for use of Form S-3 under the 1933 Act for primary offerings. Each of the Registration Statement and any post-effective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w:t>
      </w:r>
    </w:p>
    <w:p>
      <w:pPr>
        <w:spacing w:after="0" w:line="70" w:lineRule="exact"/>
        <w:rPr>
          <w:sz w:val="20"/>
          <w:szCs w:val="20"/>
          <w:color w:val="auto"/>
        </w:rPr>
      </w:pPr>
    </w:p>
    <w:p>
      <w:pPr>
        <w:jc w:val="both"/>
        <w:ind w:left="440" w:firstLine="423"/>
        <w:spacing w:after="0" w:line="271" w:lineRule="auto"/>
        <w:rPr>
          <w:sz w:val="20"/>
          <w:szCs w:val="20"/>
          <w:color w:val="auto"/>
        </w:rPr>
      </w:pPr>
      <w:r>
        <w:rPr>
          <w:rFonts w:ascii="Arial" w:cs="Arial" w:eastAsia="Arial" w:hAnsi="Arial"/>
          <w:sz w:val="17"/>
          <w:szCs w:val="17"/>
          <w:color w:val="auto"/>
        </w:rPr>
        <w:t>Each of the Registration Statement and any post-effective amendment thereto, at the time of its effectiveness and at each deemed effective date with respect to the Underwriters pursuant to Rule 430B(f)(2) under the 1933 Act Regulations, the Applicable Time, the Closing Time and any Date of Delivery complied and will comply in all material respects with the applicable requirements of the 1933 Act and the 1933 Act Regulations. Each preliminary prospectus, the Prospectus and any amendment or supplement thereto, at the time each was filed with the Commission, and, in each case, at the Applicable Time, the Closing Time and any Date of Delivery complied and will comply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70" w:lineRule="exact"/>
        <w:rPr>
          <w:sz w:val="20"/>
          <w:szCs w:val="20"/>
          <w:color w:val="auto"/>
        </w:rPr>
      </w:pPr>
    </w:p>
    <w:p>
      <w:pPr>
        <w:jc w:val="both"/>
        <w:ind w:left="440" w:firstLine="423"/>
        <w:spacing w:after="0" w:line="277" w:lineRule="auto"/>
        <w:rPr>
          <w:sz w:val="20"/>
          <w:szCs w:val="20"/>
          <w:color w:val="auto"/>
        </w:rPr>
      </w:pPr>
      <w:r>
        <w:rPr>
          <w:rFonts w:ascii="Arial" w:cs="Arial" w:eastAsia="Arial" w:hAnsi="Arial"/>
          <w:sz w:val="18"/>
          <w:szCs w:val="18"/>
          <w:color w:val="auto"/>
        </w:rPr>
        <w:t>The documents incorporated or deemed to be incorporated by reference in the Registration Statement, any preliminary prospectus and the Prospectus, when they became effective or at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8" w:name="page9"/>
    <w:bookmarkEnd w:id="8"/>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they were or hereafter are filed with the Commission, complied and will comply in all material respects with the requirements of the 1934 Act and the 1934 Act Regulations.</w:t>
      </w:r>
    </w:p>
    <w:p>
      <w:pPr>
        <w:spacing w:after="0" w:line="62" w:lineRule="exact"/>
        <w:rPr>
          <w:sz w:val="20"/>
          <w:szCs w:val="20"/>
          <w:color w:val="auto"/>
        </w:rPr>
      </w:pPr>
    </w:p>
    <w:p>
      <w:pPr>
        <w:jc w:val="both"/>
        <w:ind w:firstLine="419"/>
        <w:spacing w:after="0" w:line="286" w:lineRule="auto"/>
        <w:tabs>
          <w:tab w:leader="none" w:pos="701"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Accurate Disclosure</w:t>
      </w:r>
      <w:r>
        <w:rPr>
          <w:rFonts w:ascii="Arial" w:cs="Arial" w:eastAsia="Arial" w:hAnsi="Arial"/>
          <w:sz w:val="16"/>
          <w:szCs w:val="16"/>
          <w:color w:val="auto"/>
        </w:rPr>
        <w:t>. Neither the Registration Statement nor any amendment thereto, at its effective time, on the date hereof, at the Closing Time or at any Date of Delivery, contained, contains or will contain an untrue statement of a material fact or omitted, omits or will omit to state a material fact required to be stated therein or necessary to make the statements therein not misleading. At the Applicable Time, the Closing Time and any Date of Delivery, none of (A) the General Disclosure Package, (B) any individual Issuer Limited Use Free Writing Prospectus, when considered together with the General Disclosure Package and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59" w:lineRule="exact"/>
        <w:rPr>
          <w:sz w:val="20"/>
          <w:szCs w:val="20"/>
          <w:color w:val="auto"/>
        </w:rPr>
      </w:pPr>
    </w:p>
    <w:p>
      <w:pPr>
        <w:jc w:val="both"/>
        <w:ind w:right="20" w:firstLine="423"/>
        <w:spacing w:after="0" w:line="254" w:lineRule="auto"/>
        <w:rPr>
          <w:sz w:val="20"/>
          <w:szCs w:val="20"/>
          <w:color w:val="auto"/>
        </w:rPr>
      </w:pPr>
      <w:r>
        <w:rPr>
          <w:rFonts w:ascii="Arial" w:cs="Arial" w:eastAsia="Arial" w:hAnsi="Arial"/>
          <w:sz w:val="18"/>
          <w:szCs w:val="18"/>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information in the first paragraph under the heading “Underwriting– Commissions and Discounts,” the information in the second and third paragraphs under the heading “Underwriting–Price Stabilization, Short Positions” and the information under the heading “Underwriting–Electronic Distribution” in each case contained in the Prospectus (collectively, the “</w:t>
      </w:r>
      <w:r>
        <w:rPr>
          <w:rFonts w:ascii="Arial" w:cs="Arial" w:eastAsia="Arial" w:hAnsi="Arial"/>
          <w:sz w:val="18"/>
          <w:szCs w:val="18"/>
          <w:b w:val="1"/>
          <w:bCs w:val="1"/>
          <w:color w:val="auto"/>
        </w:rPr>
        <w:t>Underwriter Information</w:t>
      </w:r>
      <w:r>
        <w:rPr>
          <w:rFonts w:ascii="Arial" w:cs="Arial" w:eastAsia="Arial" w:hAnsi="Arial"/>
          <w:sz w:val="18"/>
          <w:szCs w:val="18"/>
          <w:color w:val="auto"/>
        </w:rPr>
        <w:t>”).</w:t>
      </w:r>
    </w:p>
    <w:p>
      <w:pPr>
        <w:spacing w:after="0" w:line="87" w:lineRule="exact"/>
        <w:rPr>
          <w:sz w:val="20"/>
          <w:szCs w:val="20"/>
          <w:color w:val="auto"/>
        </w:rPr>
      </w:pPr>
    </w:p>
    <w:p>
      <w:pPr>
        <w:jc w:val="both"/>
        <w:ind w:firstLine="419"/>
        <w:spacing w:after="0" w:line="301" w:lineRule="auto"/>
        <w:tabs>
          <w:tab w:leader="none" w:pos="751"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Issuer Free Writing Prospectuses</w:t>
      </w:r>
      <w:r>
        <w:rPr>
          <w:rFonts w:ascii="Arial" w:cs="Arial" w:eastAsia="Arial" w:hAnsi="Arial"/>
          <w:sz w:val="16"/>
          <w:szCs w:val="16"/>
          <w:color w:val="auto"/>
        </w:rPr>
        <w:t>.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The representations and warranties in this subsection shall not apply to statements in or omissions from any Issuer Free Writing Prospectus made in reliance upon and in conformity with the Underwriter Information.</w:t>
      </w:r>
    </w:p>
    <w:p>
      <w:pPr>
        <w:spacing w:after="0" w:line="49" w:lineRule="exact"/>
        <w:rPr>
          <w:rFonts w:ascii="Arial" w:cs="Arial" w:eastAsia="Arial" w:hAnsi="Arial"/>
          <w:sz w:val="16"/>
          <w:szCs w:val="16"/>
          <w:color w:val="auto"/>
        </w:rPr>
      </w:pPr>
    </w:p>
    <w:p>
      <w:pPr>
        <w:jc w:val="both"/>
        <w:ind w:firstLine="419"/>
        <w:spacing w:after="0" w:line="257" w:lineRule="auto"/>
        <w:tabs>
          <w:tab w:leader="none" w:pos="80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Testing-the-Waters Materials</w:t>
      </w:r>
      <w:r>
        <w:rPr>
          <w:rFonts w:ascii="Arial" w:cs="Arial" w:eastAsia="Arial" w:hAnsi="Arial"/>
          <w:sz w:val="18"/>
          <w:szCs w:val="18"/>
          <w:color w:val="auto"/>
        </w:rPr>
        <w:t>. The Company (A) has not engaged in any Testing-the-Waters Communication other than Testing-the-Waters Communications with the consent of the Representatives with entities that are qualified institutional buyers within the meaning of Rule 144A under the 1933 Act or institutions that are accredited investors within the meaning of Rule 501 under the 1933 Act or, in the case of Testing-the-Waters Communications made in reliance on Rule 163B, with entities that the Company reasonably believes are qualified institutional buyers or</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80" w:top="274" w:right="439" w:bottom="1440" w:gutter="0" w:footer="0" w:header="0"/>
        </w:sectPr>
      </w:pPr>
    </w:p>
    <w:bookmarkStart w:id="9" w:name="page10"/>
    <w:bookmarkEnd w:id="9"/>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institutions that are accredited investors within the meaning of Rule 163B under the 1933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Schedule B-3 hereto.</w:t>
      </w:r>
    </w:p>
    <w:p>
      <w:pPr>
        <w:spacing w:after="0" w:line="79" w:lineRule="exact"/>
        <w:rPr>
          <w:sz w:val="20"/>
          <w:szCs w:val="20"/>
          <w:color w:val="auto"/>
        </w:rPr>
      </w:pPr>
    </w:p>
    <w:p>
      <w:pPr>
        <w:jc w:val="both"/>
        <w:ind w:right="20" w:firstLine="419"/>
        <w:spacing w:after="0" w:line="301" w:lineRule="auto"/>
        <w:tabs>
          <w:tab w:leader="none" w:pos="678"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Company Not Ineligible Issuer</w:t>
      </w:r>
      <w:r>
        <w:rPr>
          <w:rFonts w:ascii="Arial" w:cs="Arial" w:eastAsia="Arial" w:hAnsi="Arial"/>
          <w:sz w:val="16"/>
          <w:szCs w:val="16"/>
          <w:color w:val="auto"/>
        </w:rPr>
        <w:t xml:space="preserve">. At the time of filing the Registration Statement and any post-effective amendment thereto, at the earliest time thereafter that the Company or another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49" w:lineRule="exact"/>
        <w:rPr>
          <w:rFonts w:ascii="Arial" w:cs="Arial" w:eastAsia="Arial" w:hAnsi="Arial"/>
          <w:sz w:val="16"/>
          <w:szCs w:val="16"/>
          <w:color w:val="auto"/>
        </w:rPr>
      </w:pPr>
    </w:p>
    <w:p>
      <w:pPr>
        <w:jc w:val="both"/>
        <w:ind w:firstLine="419"/>
        <w:spacing w:after="0" w:line="259" w:lineRule="auto"/>
        <w:tabs>
          <w:tab w:leader="none" w:pos="72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xml:space="preserve"> From the time of the initial filing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1933 Act (an “</w:t>
      </w:r>
      <w:r>
        <w:rPr>
          <w:rFonts w:ascii="Arial" w:cs="Arial" w:eastAsia="Arial" w:hAnsi="Arial"/>
          <w:sz w:val="18"/>
          <w:szCs w:val="18"/>
          <w:b w:val="1"/>
          <w:bCs w:val="1"/>
          <w:color w:val="auto"/>
        </w:rPr>
        <w:t>Emerging</w:t>
      </w:r>
      <w:r>
        <w:rPr>
          <w:rFonts w:ascii="Arial" w:cs="Arial" w:eastAsia="Arial" w:hAnsi="Arial"/>
          <w:sz w:val="18"/>
          <w:szCs w:val="18"/>
          <w:color w:val="auto"/>
        </w:rPr>
        <w:t xml:space="preserve"> </w:t>
      </w:r>
      <w:r>
        <w:rPr>
          <w:rFonts w:ascii="Arial" w:cs="Arial" w:eastAsia="Arial" w:hAnsi="Arial"/>
          <w:sz w:val="18"/>
          <w:szCs w:val="18"/>
          <w:b w:val="1"/>
          <w:bCs w:val="1"/>
          <w:color w:val="auto"/>
        </w:rPr>
        <w:t>Growth Company</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right="20" w:firstLine="419"/>
        <w:spacing w:after="0" w:line="311" w:lineRule="auto"/>
        <w:tabs>
          <w:tab w:leader="none" w:pos="791"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Independent Accountants</w:t>
      </w:r>
      <w:r>
        <w:rPr>
          <w:rFonts w:ascii="Arial" w:cs="Arial" w:eastAsia="Arial" w:hAnsi="Arial"/>
          <w:sz w:val="16"/>
          <w:szCs w:val="16"/>
          <w:color w:val="auto"/>
        </w:rPr>
        <w:t>. The accountants who certified the financial statements and supporting schedules, if any, included in the Registration Statement, the General Disclosure Package and the Prospectus are an independent registered public accounting firm as required by the 1933 Act, the 1933 Act Regulations, the 1934 Act, the 1934 Act Regulations and the Public Company Accounting Oversight Board.</w:t>
      </w:r>
    </w:p>
    <w:p>
      <w:pPr>
        <w:spacing w:after="0" w:line="40" w:lineRule="exact"/>
        <w:rPr>
          <w:rFonts w:ascii="Arial" w:cs="Arial" w:eastAsia="Arial" w:hAnsi="Arial"/>
          <w:sz w:val="16"/>
          <w:szCs w:val="16"/>
          <w:color w:val="auto"/>
        </w:rPr>
      </w:pPr>
    </w:p>
    <w:p>
      <w:pPr>
        <w:jc w:val="both"/>
        <w:ind w:firstLine="419"/>
        <w:spacing w:after="0" w:line="269" w:lineRule="auto"/>
        <w:tabs>
          <w:tab w:leader="none" w:pos="86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incorporated by reference in the Registration Statement, the General Disclosure Package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applied on a consistent basis throughout the periods involved. The supporting schedules, if any, present fairly, in all material respects, in accordance with GAAP the information required to be stated therein. Except as incorporated by reference therein, no historical or pro forma financial statements or supporting schedules are required to be incorporated by reference in the Registration Statement, the General Disclosure Package or the Prospectus under the 1933 Act or the 1933 Act Regulations, the 1934 Act or the 1934 Act Regulations. The interactive data in eXtensible Business Reporting Language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73" w:lineRule="exact"/>
        <w:rPr>
          <w:rFonts w:ascii="Arial" w:cs="Arial" w:eastAsia="Arial" w:hAnsi="Arial"/>
          <w:sz w:val="17"/>
          <w:szCs w:val="17"/>
          <w:color w:val="auto"/>
        </w:rPr>
      </w:pPr>
    </w:p>
    <w:p>
      <w:pPr>
        <w:jc w:val="both"/>
        <w:ind w:firstLine="419"/>
        <w:spacing w:after="0" w:line="275" w:lineRule="auto"/>
        <w:tabs>
          <w:tab w:leader="none" w:pos="72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 in Business</w:t>
      </w:r>
      <w:r>
        <w:rPr>
          <w:rFonts w:ascii="Arial" w:cs="Arial" w:eastAsia="Arial" w:hAnsi="Arial"/>
          <w:sz w:val="17"/>
          <w:szCs w:val="17"/>
          <w:color w:val="auto"/>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(B) there have been no transactions entered into by the Company or any of its subsidiaries, other than those in the ordinary course of</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80" w:top="274" w:right="439" w:bottom="1440" w:gutter="0" w:footer="0" w:header="0"/>
        </w:sectPr>
      </w:pPr>
    </w:p>
    <w:bookmarkStart w:id="10" w:name="page11"/>
    <w:bookmarkEnd w:id="10"/>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which are material with respect to the Company and its subsidiaries considered as one enterprise, and (C) there has been no dividend or distribution of any kind declared, paid or made by the Company on any class of its capital stock.</w:t>
      </w:r>
    </w:p>
    <w:p>
      <w:pPr>
        <w:spacing w:after="0" w:line="62" w:lineRule="exact"/>
        <w:rPr>
          <w:sz w:val="20"/>
          <w:szCs w:val="20"/>
          <w:color w:val="auto"/>
        </w:rPr>
      </w:pPr>
    </w:p>
    <w:p>
      <w:pPr>
        <w:jc w:val="both"/>
        <w:ind w:firstLine="419"/>
        <w:spacing w:after="0" w:line="293" w:lineRule="auto"/>
        <w:tabs>
          <w:tab w:leader="none" w:pos="67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Good Standing of the Company</w:t>
      </w:r>
      <w:r>
        <w:rPr>
          <w:rFonts w:ascii="Arial" w:cs="Arial" w:eastAsia="Arial" w:hAnsi="Arial"/>
          <w:sz w:val="16"/>
          <w:szCs w:val="16"/>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singly or in the aggregate, reasonably be expected to result in a Material Adverse Effect.</w:t>
      </w:r>
    </w:p>
    <w:p>
      <w:pPr>
        <w:spacing w:after="0" w:line="56" w:lineRule="exact"/>
        <w:rPr>
          <w:rFonts w:ascii="Arial" w:cs="Arial" w:eastAsia="Arial" w:hAnsi="Arial"/>
          <w:sz w:val="16"/>
          <w:szCs w:val="16"/>
          <w:color w:val="auto"/>
        </w:rPr>
      </w:pPr>
    </w:p>
    <w:p>
      <w:pPr>
        <w:ind w:left="720" w:hanging="301"/>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Good Standing of Subsidiaries</w:t>
      </w:r>
      <w:r>
        <w:rPr>
          <w:rFonts w:ascii="Arial" w:cs="Arial" w:eastAsia="Arial" w:hAnsi="Arial"/>
          <w:sz w:val="18"/>
          <w:szCs w:val="18"/>
          <w:color w:val="auto"/>
        </w:rPr>
        <w:t>. The Company has no subsidiaries.</w:t>
      </w:r>
    </w:p>
    <w:p>
      <w:pPr>
        <w:spacing w:after="0" w:line="117" w:lineRule="exact"/>
        <w:rPr>
          <w:rFonts w:ascii="Arial" w:cs="Arial" w:eastAsia="Arial" w:hAnsi="Arial"/>
          <w:sz w:val="18"/>
          <w:szCs w:val="18"/>
          <w:color w:val="auto"/>
        </w:rPr>
      </w:pPr>
    </w:p>
    <w:p>
      <w:pPr>
        <w:jc w:val="both"/>
        <w:ind w:right="20" w:firstLine="419"/>
        <w:spacing w:after="0" w:line="254" w:lineRule="auto"/>
        <w:tabs>
          <w:tab w:leader="none" w:pos="80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The authorized, issued and outstanding shares of capital stock of the Company are as set forth in the Registration Statement, the General Disclosure Package and the Prospectus in the column entitled “Actual” under the caption “Capitalization” (except for subsequent issuances, if any, pursuant to this Agreement, pursuant to reservations, agreements or employee benefit plans referred to in the Registration Statement, the General Disclosure Package and the Prospectus or pursuant to the exercise of convertible securities or options referred to in the Registration Statement, the General Disclosure Package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that have not been complied with or validly waived.</w:t>
      </w:r>
    </w:p>
    <w:p>
      <w:pPr>
        <w:spacing w:after="0" w:line="83" w:lineRule="exact"/>
        <w:rPr>
          <w:rFonts w:ascii="Arial" w:cs="Arial" w:eastAsia="Arial" w:hAnsi="Arial"/>
          <w:sz w:val="18"/>
          <w:szCs w:val="18"/>
          <w:color w:val="auto"/>
        </w:rPr>
      </w:pPr>
    </w:p>
    <w:p>
      <w:pPr>
        <w:ind w:left="820" w:hanging="40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jc w:val="both"/>
        <w:ind w:firstLine="419"/>
        <w:spacing w:after="0" w:line="272" w:lineRule="auto"/>
        <w:tabs>
          <w:tab w:leader="none" w:pos="83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Authorization and Description of Securities</w:t>
      </w:r>
      <w:r>
        <w:rPr>
          <w:rFonts w:ascii="Arial" w:cs="Arial" w:eastAsia="Arial" w:hAnsi="Arial"/>
          <w:sz w:val="17"/>
          <w:szCs w:val="17"/>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Common Stock conforms, in all material respects, to all statements relating thereto contained in the Registration Statement, the General Disclosure Package and the Prospectus and such description conforms, in all material respects, to the rights set forth in the instruments defining the same. No holder of Securities will be subject to personal liability solely by reason of being such a holder.</w:t>
      </w:r>
    </w:p>
    <w:p>
      <w:pPr>
        <w:spacing w:after="0" w:line="69" w:lineRule="exact"/>
        <w:rPr>
          <w:rFonts w:ascii="Arial" w:cs="Arial" w:eastAsia="Arial" w:hAnsi="Arial"/>
          <w:sz w:val="17"/>
          <w:szCs w:val="17"/>
          <w:color w:val="auto"/>
        </w:rPr>
      </w:pPr>
    </w:p>
    <w:p>
      <w:pPr>
        <w:jc w:val="both"/>
        <w:ind w:firstLine="419"/>
        <w:spacing w:after="0" w:line="263"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waived.</w:t>
      </w:r>
    </w:p>
    <w:p>
      <w:pPr>
        <w:spacing w:after="0" w:line="75" w:lineRule="exact"/>
        <w:rPr>
          <w:rFonts w:ascii="Arial" w:cs="Arial" w:eastAsia="Arial" w:hAnsi="Arial"/>
          <w:sz w:val="18"/>
          <w:szCs w:val="18"/>
          <w:color w:val="auto"/>
        </w:rPr>
      </w:pPr>
    </w:p>
    <w:p>
      <w:pPr>
        <w:jc w:val="both"/>
        <w:ind w:right="20" w:firstLine="419"/>
        <w:spacing w:after="0" w:line="263" w:lineRule="auto"/>
        <w:tabs>
          <w:tab w:leader="none" w:pos="84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Absence of Violations, Defaults and Conflicts</w:t>
      </w:r>
      <w:r>
        <w:rPr>
          <w:rFonts w:ascii="Arial" w:cs="Arial" w:eastAsia="Arial" w:hAnsi="Arial"/>
          <w:sz w:val="18"/>
          <w:szCs w:val="18"/>
          <w:color w:val="auto"/>
        </w:rPr>
        <w:t>. Neither the Company nor any of its subsidiaries is (A) in violation of its charter, by-laws or similar organizational document, (B) in default in the performance or observance of any obligation, agreement, covenant or condition contained in any contract, indenture, mortgage, deed of trust, loan or credit agreement, note, lease</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80" w:top="274" w:right="439" w:bottom="1440" w:gutter="0" w:footer="0" w:header="0"/>
        </w:sectPr>
      </w:pPr>
    </w:p>
    <w:bookmarkStart w:id="11" w:name="page12"/>
    <w:bookmarkEnd w:id="11"/>
    <w:p>
      <w:pPr>
        <w:jc w:val="both"/>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other agreement or instrument to which the Company or any of its subsidiaries is a party or by which it or any of them may be bound or to which any of the properties or assets of the Company or any subsidiary is subject (collectively, “</w:t>
      </w:r>
      <w:r>
        <w:rPr>
          <w:rFonts w:ascii="Arial" w:cs="Arial" w:eastAsia="Arial" w:hAnsi="Arial"/>
          <w:sz w:val="16"/>
          <w:szCs w:val="16"/>
          <w:b w:val="1"/>
          <w:bCs w:val="1"/>
          <w:color w:val="auto"/>
        </w:rPr>
        <w:t>Agreements and Instruments</w:t>
      </w:r>
      <w:r>
        <w:rPr>
          <w:rFonts w:ascii="Arial" w:cs="Arial" w:eastAsia="Arial" w:hAnsi="Arial"/>
          <w:sz w:val="16"/>
          <w:szCs w:val="16"/>
          <w:color w:val="auto"/>
        </w:rPr>
        <w:t>”), except for such defaults that would not, singly or in the aggregate, reasonably be expected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Arial" w:cs="Arial" w:eastAsia="Arial" w:hAnsi="Arial"/>
          <w:sz w:val="16"/>
          <w:szCs w:val="16"/>
          <w:b w:val="1"/>
          <w:bCs w:val="1"/>
          <w:color w:val="auto"/>
        </w:rPr>
        <w:t>Governmental Entity</w:t>
      </w:r>
      <w:r>
        <w:rPr>
          <w:rFonts w:ascii="Arial" w:cs="Arial" w:eastAsia="Arial" w:hAnsi="Arial"/>
          <w:sz w:val="16"/>
          <w:szCs w:val="16"/>
          <w:color w:val="auto"/>
        </w:rPr>
        <w:t>”), except for such violations that would not, singly or in the aggregate, reasonably be expected to result in a Material Adverse Effect. The execution, delivery and performance of this Agreement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singly or in the aggregate, reasonably be expected to result in a Material Adverse Effect), nor will such action result in any violation of (x) the provisions of the charter, by-laws or similar organizational document of the Company or any of its subsidiaries or (y) any law, statute, rule, regulation, judgment, order, writ or decree of any Governmental Entity, except, in the case of clause (y), for such violations as would not, singly or in the aggregate, reasonably be expected to have a Material Adverse Effect. As used herein, a “</w:t>
      </w:r>
      <w:r>
        <w:rPr>
          <w:rFonts w:ascii="Arial" w:cs="Arial" w:eastAsia="Arial" w:hAnsi="Arial"/>
          <w:sz w:val="16"/>
          <w:szCs w:val="16"/>
          <w:b w:val="1"/>
          <w:bCs w:val="1"/>
          <w:color w:val="auto"/>
        </w:rPr>
        <w:t>Repayment Event</w:t>
      </w:r>
      <w:r>
        <w:rPr>
          <w:rFonts w:ascii="Arial" w:cs="Arial" w:eastAsia="Arial" w:hAnsi="Arial"/>
          <w:sz w:val="16"/>
          <w:szCs w:val="16"/>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61" w:lineRule="exact"/>
        <w:rPr>
          <w:sz w:val="20"/>
          <w:szCs w:val="20"/>
          <w:color w:val="auto"/>
        </w:rPr>
      </w:pPr>
    </w:p>
    <w:p>
      <w:pPr>
        <w:jc w:val="both"/>
        <w:ind w:firstLine="419"/>
        <w:spacing w:after="0" w:line="259" w:lineRule="auto"/>
        <w:tabs>
          <w:tab w:leader="none" w:pos="86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customers or contractors, which, in either case, singly or in the aggregate, would reasonably be expected to result in a Material Adverse Effect.</w:t>
      </w:r>
    </w:p>
    <w:p>
      <w:pPr>
        <w:spacing w:after="0" w:line="78" w:lineRule="exact"/>
        <w:rPr>
          <w:rFonts w:ascii="Arial" w:cs="Arial" w:eastAsia="Arial" w:hAnsi="Arial"/>
          <w:sz w:val="18"/>
          <w:szCs w:val="18"/>
          <w:color w:val="auto"/>
        </w:rPr>
      </w:pPr>
    </w:p>
    <w:p>
      <w:pPr>
        <w:jc w:val="both"/>
        <w:ind w:firstLine="419"/>
        <w:spacing w:after="0" w:line="269" w:lineRule="auto"/>
        <w:tabs>
          <w:tab w:leader="none" w:pos="918"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Absence of Proceedings</w:t>
      </w:r>
      <w:r>
        <w:rPr>
          <w:rFonts w:ascii="Arial" w:cs="Arial" w:eastAsia="Arial" w:hAnsi="Arial"/>
          <w:sz w:val="17"/>
          <w:szCs w:val="17"/>
          <w:color w:val="auto"/>
        </w:rPr>
        <w:t>. Except as disclosed in the Registration Statement, the General Disclosure Package and the Prospectus, there is no action, suit, proceeding, inquiry or investigation before or brought by any Governmental Entity (including, without limitation, the U.S.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 and the European Medicines Agency (the “</w:t>
      </w:r>
      <w:r>
        <w:rPr>
          <w:rFonts w:ascii="Arial" w:cs="Arial" w:eastAsia="Arial" w:hAnsi="Arial"/>
          <w:sz w:val="17"/>
          <w:szCs w:val="17"/>
          <w:b w:val="1"/>
          <w:bCs w:val="1"/>
          <w:color w:val="auto"/>
        </w:rPr>
        <w:t>EMA</w:t>
      </w:r>
      <w:r>
        <w:rPr>
          <w:rFonts w:ascii="Arial" w:cs="Arial" w:eastAsia="Arial" w:hAnsi="Arial"/>
          <w:sz w:val="17"/>
          <w:szCs w:val="17"/>
          <w:color w:val="auto"/>
        </w:rPr>
        <w:t>”)) now pending or, to the knowledge of the Company, threatened, against or affecting the Company or any of its subsidiaries, which, singly or in the aggregate, would reasonably be expected to result in a Material Adverse Effect, or which would reasonably be expected to materially and adversely affect their respective properties or assets or the consummation of the transactions contemplated in this Agreement or the performance by the Company of its obligations hereunder; and the aggregate of all pending legal or governmental actions, suits, inquiries, investigations or proceedings to which the Company or any such subsidiary is a party or of which any of their respective properties or assets is the subject which are not described in the Registration Statement, the General Disclosure Package and the Prospectus, including ordinary routine litigation incidental to the business, would not, singly or in the aggregate, reasonably be expected to result in a Material Adverse Effect.</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80" w:top="274" w:right="439" w:bottom="1440" w:gutter="0" w:footer="0" w:header="0"/>
        </w:sectPr>
      </w:pPr>
    </w:p>
    <w:bookmarkStart w:id="12" w:name="page13"/>
    <w:bookmarkEnd w:id="12"/>
    <w:p>
      <w:pPr>
        <w:jc w:val="both"/>
        <w:ind w:left="4" w:firstLine="419"/>
        <w:spacing w:after="0" w:line="263" w:lineRule="auto"/>
        <w:tabs>
          <w:tab w:leader="none" w:pos="848"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Accuracy of Exhibits</w:t>
      </w:r>
      <w:r>
        <w:rPr>
          <w:rFonts w:ascii="Arial" w:cs="Arial" w:eastAsia="Arial" w:hAnsi="Arial"/>
          <w:sz w:val="18"/>
          <w:szCs w:val="18"/>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75" w:lineRule="exact"/>
        <w:rPr>
          <w:rFonts w:ascii="Arial" w:cs="Arial" w:eastAsia="Arial" w:hAnsi="Arial"/>
          <w:sz w:val="18"/>
          <w:szCs w:val="18"/>
          <w:color w:val="auto"/>
        </w:rPr>
      </w:pPr>
    </w:p>
    <w:p>
      <w:pPr>
        <w:jc w:val="both"/>
        <w:ind w:left="4" w:right="20" w:firstLine="419"/>
        <w:spacing w:after="0" w:line="275" w:lineRule="auto"/>
        <w:tabs>
          <w:tab w:leader="none" w:pos="771"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Absence of Further Requirements</w:t>
      </w:r>
      <w:r>
        <w:rPr>
          <w:rFonts w:ascii="Arial" w:cs="Arial" w:eastAsia="Arial" w:hAnsi="Arial"/>
          <w:sz w:val="17"/>
          <w:szCs w:val="17"/>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rules of the Nasdaq Global Select Market, state securities laws or the rules of the Financial Industry Regulatory Authority, Inc. (“</w:t>
      </w:r>
      <w:r>
        <w:rPr>
          <w:rFonts w:ascii="Arial" w:cs="Arial" w:eastAsia="Arial" w:hAnsi="Arial"/>
          <w:sz w:val="17"/>
          <w:szCs w:val="17"/>
          <w:b w:val="1"/>
          <w:bCs w:val="1"/>
          <w:color w:val="auto"/>
        </w:rPr>
        <w:t>FINRA</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jc w:val="both"/>
        <w:ind w:left="4" w:firstLine="419"/>
        <w:spacing w:after="0" w:line="267" w:lineRule="auto"/>
        <w:tabs>
          <w:tab w:leader="none" w:pos="862"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The Company and its subsidiaries possess such permits, licenses, approvals, clearances, certificates, consents and other authorizations issued by the appropriate Governmental Entities necessary to conduct the business as described in the Registration Statement, the General Disclosure Package and the Prospectus (collectively, “</w:t>
      </w:r>
      <w:r>
        <w:rPr>
          <w:rFonts w:ascii="Arial" w:cs="Arial" w:eastAsia="Arial" w:hAnsi="Arial"/>
          <w:sz w:val="17"/>
          <w:szCs w:val="17"/>
          <w:b w:val="1"/>
          <w:bCs w:val="1"/>
          <w:color w:val="auto"/>
        </w:rPr>
        <w:t>Governmental Licenses</w:t>
      </w:r>
      <w:r>
        <w:rPr>
          <w:rFonts w:ascii="Arial" w:cs="Arial" w:eastAsia="Arial" w:hAnsi="Arial"/>
          <w:sz w:val="17"/>
          <w:szCs w:val="17"/>
          <w:color w:val="auto"/>
        </w:rPr>
        <w:t>”), except where the failure so to possess would not, singly or in the aggregate, reasonably be expected to result in a Material Adverse Effect. The Company and its subsidiaries are in compliance with the terms and conditions of all such Governmental Licenses, except where the failure so to comply would not, singly or in the aggregate, reasonably be expected to result in a Material Adverse Effect. All such Governmental Licenses are valid and in full force and effect, except where the invalidity of such Governmental Licenses or the failure of such Governmental Licenses to be in full force and effect would not, singly or in the aggregate, reasonably be expected to result in a Material Adverse Effect. Neither the Company nor any of its subsidiaries has received any notice of proceedings relating to the revocation or modification of any such Governmental Licenses which, singly or in the aggregate, if the subject of an unfavorable decision, ruling or finding, would reasonably be expected to result in a Material Adverse Effect. The Company and its subsidiaries (i) are, and at all times have been, in compliance with all statutes, rules and regulations applicable to the ownership, testing, development, manufacture, packaging, processing, use, distribution, storage, import, export or disposal of any product manufactured or distributed by them (“</w:t>
      </w:r>
      <w:r>
        <w:rPr>
          <w:rFonts w:ascii="Arial" w:cs="Arial" w:eastAsia="Arial" w:hAnsi="Arial"/>
          <w:sz w:val="17"/>
          <w:szCs w:val="17"/>
          <w:b w:val="1"/>
          <w:bCs w:val="1"/>
          <w:color w:val="auto"/>
        </w:rPr>
        <w:t>Applicable Laws</w:t>
      </w:r>
      <w:r>
        <w:rPr>
          <w:rFonts w:ascii="Arial" w:cs="Arial" w:eastAsia="Arial" w:hAnsi="Arial"/>
          <w:sz w:val="17"/>
          <w:szCs w:val="17"/>
          <w:color w:val="auto"/>
        </w:rPr>
        <w:t>”), except where such noncompliance would not, singly or in the aggregate, reasonably be expected to result in a Material Adverse Effect; and (ii) have not received any FDA Form 483, written notice of adverse finding, warning letter, untitled letter or other correspondence or written notice from any court or arbitrator or governmental or regulatory authority alleging or asserting noncompliance with (x) any Applicable Laws or (y) any Governmental Licenses required by any such Applicable Laws, except where being in contravention of any of the foregoing representations or warranties, singly or in the aggregate, would not reasonably be expected to result in a Material Adverse Effect.</w:t>
      </w:r>
    </w:p>
    <w:p>
      <w:pPr>
        <w:spacing w:after="0" w:line="81" w:lineRule="exact"/>
        <w:rPr>
          <w:rFonts w:ascii="Arial" w:cs="Arial" w:eastAsia="Arial" w:hAnsi="Arial"/>
          <w:sz w:val="17"/>
          <w:szCs w:val="17"/>
          <w:color w:val="auto"/>
        </w:rPr>
      </w:pPr>
    </w:p>
    <w:p>
      <w:pPr>
        <w:jc w:val="both"/>
        <w:ind w:left="4" w:right="20" w:firstLine="419"/>
        <w:spacing w:after="0" w:line="287" w:lineRule="auto"/>
        <w:tabs>
          <w:tab w:leader="none" w:pos="871"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w:t>
      </w:r>
    </w:p>
    <w:p>
      <w:pPr>
        <w:spacing w:after="0" w:line="2" w:lineRule="exact"/>
        <w:rPr>
          <w:rFonts w:ascii="Arial" w:cs="Arial" w:eastAsia="Arial" w:hAnsi="Arial"/>
          <w:sz w:val="16"/>
          <w:szCs w:val="16"/>
          <w:color w:val="auto"/>
        </w:rPr>
      </w:pPr>
    </w:p>
    <w:p>
      <w:pPr>
        <w:jc w:val="both"/>
        <w:ind w:left="4" w:right="20" w:hanging="4"/>
        <w:spacing w:after="0" w:line="273" w:lineRule="auto"/>
        <w:tabs>
          <w:tab w:leader="none" w:pos="293" w:val="left"/>
        </w:tabs>
        <w:numPr>
          <w:ilvl w:val="0"/>
          <w:numId w:val="9"/>
        </w:numPr>
        <w:rPr>
          <w:rFonts w:ascii="Arial" w:cs="Arial" w:eastAsia="Arial" w:hAnsi="Arial"/>
          <w:sz w:val="17"/>
          <w:szCs w:val="17"/>
          <w:color w:val="auto"/>
        </w:rPr>
      </w:pPr>
      <w:r>
        <w:rPr>
          <w:rFonts w:ascii="Arial" w:cs="Arial" w:eastAsia="Arial" w:hAnsi="Arial"/>
          <w:sz w:val="17"/>
          <w:szCs w:val="17"/>
          <w:color w:val="auto"/>
        </w:rPr>
        <w:t>do not, singly or in the aggregate, materially affect the value of such property and do not materially interfere with the use made and proposed to 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Registration Statement, the General Disclosure Package or the Prospectus, are in full force and</w:t>
      </w:r>
    </w:p>
    <w:p>
      <w:pPr>
        <w:spacing w:after="0" w:line="109"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876" w:top="274" w:right="439" w:bottom="1440" w:gutter="0" w:footer="0" w:header="0"/>
        </w:sectPr>
      </w:pPr>
    </w:p>
    <w:bookmarkStart w:id="13" w:name="page14"/>
    <w:bookmarkEnd w:id="13"/>
    <w:p>
      <w:pPr>
        <w:jc w:val="both"/>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41" w:lineRule="exact"/>
        <w:rPr>
          <w:sz w:val="20"/>
          <w:szCs w:val="20"/>
          <w:color w:val="auto"/>
        </w:rPr>
      </w:pPr>
    </w:p>
    <w:p>
      <w:pPr>
        <w:jc w:val="both"/>
        <w:ind w:firstLine="419"/>
        <w:spacing w:after="0" w:line="283" w:lineRule="auto"/>
        <w:tabs>
          <w:tab w:leader="none" w:pos="91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Possession of Intellectual Property</w:t>
      </w:r>
      <w:r>
        <w:rPr>
          <w:rFonts w:ascii="Arial" w:cs="Arial" w:eastAsia="Arial" w:hAnsi="Arial"/>
          <w:sz w:val="16"/>
          <w:szCs w:val="16"/>
          <w:color w:val="auto"/>
        </w:rPr>
        <w:t>. Except as would not reasonably be expected to have a Material Adverse Effect, the Company and its subsidiaries own or possess, have a valid license to, or can acquire on reasonable terms, all patents, patent applications, statutory invention rights, community designs, invention disclosures, rights in utility models and industrial designs, inventions, registered and unregistered copyrights (including copyrights in software), trademarks, service marks, business names, trade names, logos, slogans, trade dress, design rights, Internet domain names, social media accounts, any other designations of source or origin, intellectual property rights in technology, software, data and know how (including trade secrets and other unpatented and/or unpatentable proprietary or confidential information, systems or procedures), and any applications (including provisional applications), registrations, or renewals for any of the foregoing, together with the goodwill associated with any of the foregoing, rights to publicity and privacy and/or other intellectual property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to carry on the business now operated by them and as proposed to be operated as described in the Registration Statement, the General Disclosure Package and the Prospectus. Except as would not reasonably be expected to have a Material Adverse Effect, (i) neither the Company nor any of its subsidiaries has received any notice of nor has engaged in any infringement, misappropriation or other violation of or conflict regarding any Intellectual Property of any third party, (ii) there is no pending or threatened action, suit, proceeding or claim regarding the subject matter of the foregoing clause (i), and (iii) the Company and its subsidiaries are unaware of any facts or circumstances which would form a reasonable basis for any such claim. (a) Except as would not reasonably be expected to have a Material Adverse Effect, all Intellectual Property owned by or exclusively licensed to the Company or any of its subsidiaries (such Intellectual Property, the “</w:t>
      </w:r>
      <w:r>
        <w:rPr>
          <w:rFonts w:ascii="Arial" w:cs="Arial" w:eastAsia="Arial" w:hAnsi="Arial"/>
          <w:sz w:val="16"/>
          <w:szCs w:val="16"/>
          <w:b w:val="1"/>
          <w:bCs w:val="1"/>
          <w:color w:val="auto"/>
        </w:rPr>
        <w:t>Company Intellectual Property</w:t>
      </w:r>
      <w:r>
        <w:rPr>
          <w:rFonts w:ascii="Arial" w:cs="Arial" w:eastAsia="Arial" w:hAnsi="Arial"/>
          <w:sz w:val="16"/>
          <w:szCs w:val="16"/>
          <w:color w:val="auto"/>
        </w:rPr>
        <w:t>”) is subsisting, and to the Company’s knowledge, valid and enforceable, (b) there is no pending or threatened action, suit, proceeding or claim by any third party challenging the Company’s or any of its subsidiaries’ rights in, or the validity, ownership, registrability, enforceability or scope of, any such Company Intellectual Property (with the exception of ordinary course office actions in connection with applications for the registration or issuance of such Intellectual Property) and (c) the Company and its subsidiaries are unaware of any facts or circumstances which would form a reasonable basis for any such claim. No third party is infringing, misappropriating or otherwise violating any of the Company Intellectual Property and there is no pending or threatened action, suit, proceeding or claim by the Company or any of its subsidiaries against a third party regarding the foregoing. (1) The Company and its subsidiaries have complied in all material respects with the terms of each agreement pursuant to which Intellectual Property has been licensed to the Company or its subsidiaries, (2) neither the Company nor any of its subsidiaries has received any written notice alleging any such noncompliance and are unaware of any facts or circumstances which would form a reasonable basis for any such claim, and (3) all such agreements are in full force and effect. Except as would not reasonably be expected to have a Material Adverse Effect, no Intellectual Property has been obtained or is being used by the Company or its subsidiaries in violation of any material contractual obligations binding on the Company or such subsidiaries or in violation of any contractual rights of any person. All filing actions and registration, maintenance, annuity and renewal fees needed to be taken, met or paid in order to prosecute or maintain the Company Intellectual Property have been timely taken, met or paid, and there are no material defects with respect to any such filings, payments or actions. Each person who is or was an employee or contractor of the Company or any of its subsidiaries and who is, was or is expected to be involved in the creation or development of any Intellectual Property for</w:t>
      </w:r>
    </w:p>
    <w:p>
      <w:pPr>
        <w:spacing w:after="0" w:line="33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4" w:right="439" w:bottom="1440" w:gutter="0" w:footer="0" w:header="0"/>
        </w:sectPr>
      </w:pPr>
    </w:p>
    <w:bookmarkStart w:id="14" w:name="page15"/>
    <w:bookmarkEnd w:id="14"/>
    <w:p>
      <w:pPr>
        <w:jc w:val="both"/>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on behalf of the Company or such subsidiaries has executed a valid written agreement effectively assigning to the Company or any of its subsidiaries all of such person’s rights in and to such Intellectual Property and no employee of the Company or any of its subsidiaries is in or has ever been in violation of any term of any agreement with or covenant to a former employer where the basis of such violation relates to such employee’s employment with the Company or any of its subsidiaries or actions undertaken by the employee while employed with the Company or any of its subsidiaries. The Company and its subsidiaries have taken all reasonable steps necessary to maintain and protect the confidentiality of the material trade secrets and other material confidential Company Intellectual Property and non-exclusively-licensed Intellectual Property used in connection with the business of the Company and its subsidiaries and, to the Company’s knowledge, the confidentiality of such material trade secrets and material confidential Intellectual Property has not been compromised or disclosed to or accessed by any third party except pursuant to appropriate nondisclosure and confidentiality agreements. No university, military, educational institution, research center, Governmental Authority or other organization has funded, contributed to or sponsored research and development conducted in connection with the business of the Company or any of its subsidiaries that (i) has any claim of right to, ownership of or other lien on any Company Intellectual Property or (ii) would affect the proprietary nature of any Company Intellectual Property or restrict the ability of the Company or any of its subsidiaries to enforce, license or exclude others from using any Company Intellectual Property.</w:t>
      </w:r>
    </w:p>
    <w:p>
      <w:pPr>
        <w:spacing w:after="0" w:line="66" w:lineRule="exact"/>
        <w:rPr>
          <w:sz w:val="20"/>
          <w:szCs w:val="20"/>
          <w:color w:val="auto"/>
        </w:rPr>
      </w:pPr>
    </w:p>
    <w:p>
      <w:pPr>
        <w:ind w:left="904" w:hanging="481"/>
        <w:spacing w:after="0"/>
        <w:tabs>
          <w:tab w:leader="none" w:pos="904"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would not, singly or in the aggregate, reasonably be expected to result in a Material Adverse Effect,</w:t>
      </w:r>
    </w:p>
    <w:p>
      <w:pPr>
        <w:spacing w:after="0" w:line="46" w:lineRule="exact"/>
        <w:rPr>
          <w:rFonts w:ascii="Arial" w:cs="Arial" w:eastAsia="Arial" w:hAnsi="Arial"/>
          <w:sz w:val="16"/>
          <w:szCs w:val="16"/>
          <w:color w:val="auto"/>
        </w:rPr>
      </w:pPr>
    </w:p>
    <w:p>
      <w:pPr>
        <w:jc w:val="both"/>
        <w:ind w:left="4" w:hanging="4"/>
        <w:spacing w:after="0" w:line="284" w:lineRule="auto"/>
        <w:tabs>
          <w:tab w:leader="none" w:pos="311"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and safety (including occupational health and safety), sustainability, the environment (including, without limitation, ambient air, surface water, groundwater, land surface or subsurface strata), natural resources or wildlife, including, without limitation, laws and regulations relating to the release or threatened release of, or exposure to, chemicals, pollutants, contaminants, wastes, toxic substances, hazardous substances, radioactive substances, petroleum, petroleum products, asbestos-containing materials, polychlorinated biphenyls, per- and polyfluoroalkyl substances, greenhouse gases or mold (collectively, “</w:t>
      </w:r>
      <w:r>
        <w:rPr>
          <w:rFonts w:ascii="Arial" w:cs="Arial" w:eastAsia="Arial" w:hAnsi="Arial"/>
          <w:sz w:val="16"/>
          <w:szCs w:val="16"/>
          <w:b w:val="1"/>
          <w:bCs w:val="1"/>
          <w:color w:val="auto"/>
        </w:rPr>
        <w:t>Hazardous</w:t>
      </w:r>
      <w:r>
        <w:rPr>
          <w:rFonts w:ascii="Arial" w:cs="Arial" w:eastAsia="Arial" w:hAnsi="Arial"/>
          <w:sz w:val="16"/>
          <w:szCs w:val="16"/>
          <w:color w:val="auto"/>
        </w:rPr>
        <w:t xml:space="preserve"> </w:t>
      </w:r>
      <w:r>
        <w:rPr>
          <w:rFonts w:ascii="Arial" w:cs="Arial" w:eastAsia="Arial" w:hAnsi="Arial"/>
          <w:sz w:val="16"/>
          <w:szCs w:val="16"/>
          <w:b w:val="1"/>
          <w:bCs w:val="1"/>
          <w:color w:val="auto"/>
        </w:rPr>
        <w:t>Materials</w:t>
      </w:r>
      <w:r>
        <w:rPr>
          <w:rFonts w:ascii="Arial" w:cs="Arial" w:eastAsia="Arial" w:hAnsi="Arial"/>
          <w:sz w:val="16"/>
          <w:szCs w:val="16"/>
          <w:color w:val="auto"/>
        </w:rPr>
        <w:t>”) or to the manufacture, processing, distribution, use, treatment, storage, disposal, transport, discharge, emission or handling of</w:t>
      </w:r>
      <w:r>
        <w:rPr>
          <w:rFonts w:ascii="Arial" w:cs="Arial" w:eastAsia="Arial" w:hAnsi="Arial"/>
          <w:sz w:val="16"/>
          <w:szCs w:val="16"/>
          <w:b w:val="1"/>
          <w:bCs w:val="1"/>
          <w:color w:val="auto"/>
        </w:rPr>
        <w:t xml:space="preserve"> </w:t>
      </w:r>
      <w:r>
        <w:rPr>
          <w:rFonts w:ascii="Arial" w:cs="Arial" w:eastAsia="Arial" w:hAnsi="Arial"/>
          <w:sz w:val="16"/>
          <w:szCs w:val="16"/>
          <w:color w:val="auto"/>
        </w:rPr>
        <w:t>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(B) the Company and its subsidiaries have all permits, authorizations, registrations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investigations or proceedings relating to any Environmental Law or Hazardous Materials against the Company or any of its subsidiaries and (D) to the knowledge of the Company,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spacing w:after="0" w:line="67" w:lineRule="exact"/>
        <w:rPr>
          <w:rFonts w:ascii="Arial" w:cs="Arial" w:eastAsia="Arial" w:hAnsi="Arial"/>
          <w:sz w:val="16"/>
          <w:szCs w:val="16"/>
          <w:color w:val="auto"/>
        </w:rPr>
      </w:pPr>
    </w:p>
    <w:p>
      <w:pPr>
        <w:jc w:val="both"/>
        <w:ind w:left="4" w:firstLine="419"/>
        <w:spacing w:after="0" w:line="287" w:lineRule="auto"/>
        <w:tabs>
          <w:tab w:leader="none" w:pos="888"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Accounting Controls and Disclosure Controls</w:t>
      </w:r>
      <w:r>
        <w:rPr>
          <w:rFonts w:ascii="Arial" w:cs="Arial" w:eastAsia="Arial" w:hAnsi="Arial"/>
          <w:sz w:val="16"/>
          <w:szCs w:val="16"/>
          <w:color w:val="auto"/>
        </w:rPr>
        <w:t>. The Company and each of its subsidiaries maintain effective internal control over financial reporting (as defined under Rules 13-a15 and 15d-15 under the 1934 Act Regulations) and a system of internal accounting controls sufficient to provide reasonable assurances that (A) transactions are executed in accordance with management’s general or specific authorization;</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accountability</w:t>
      </w:r>
    </w:p>
    <w:p>
      <w:pPr>
        <w:spacing w:after="0" w:line="166"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4"/>
          </w:cols>
          <w:pgMar w:left="876" w:top="274" w:right="43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the General Disclosure Package and the Prospectus fairly presents the information called for in all material respects and is prepared in accordance with the Commission’s rules and guidelines applicable thereto. Except as disclosed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and adversely affected, or is reasonably likely to materially and adversely affect, the Company’s internal control over financial reporting. The Company maintains an effective system of disclosure controls and procedures (as defined in Rule 13a-15 and Rule 15d-15 under the 1934 Act Regulations)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66" w:lineRule="exact"/>
        <w:rPr>
          <w:sz w:val="20"/>
          <w:szCs w:val="20"/>
          <w:color w:val="auto"/>
        </w:rPr>
      </w:pPr>
    </w:p>
    <w:p>
      <w:pPr>
        <w:jc w:val="both"/>
        <w:ind w:right="20" w:firstLine="419"/>
        <w:spacing w:after="0" w:line="259" w:lineRule="auto"/>
        <w:tabs>
          <w:tab w:leader="none" w:pos="92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xml:space="preserve">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(the “</w:t>
      </w:r>
      <w:r>
        <w:rPr>
          <w:rFonts w:ascii="Arial" w:cs="Arial" w:eastAsia="Arial" w:hAnsi="Arial"/>
          <w:sz w:val="18"/>
          <w:szCs w:val="18"/>
          <w:b w:val="1"/>
          <w:bCs w:val="1"/>
          <w:color w:val="auto"/>
        </w:rPr>
        <w:t>Sarbanes-Oxley Act</w:t>
      </w:r>
      <w:r>
        <w:rPr>
          <w:rFonts w:ascii="Arial" w:cs="Arial" w:eastAsia="Arial" w:hAnsi="Arial"/>
          <w:sz w:val="18"/>
          <w:szCs w:val="18"/>
          <w:color w:val="auto"/>
        </w:rPr>
        <w:t>”), including Section 402 related to loans and Sections 302 and 906 related to certifications.</w:t>
      </w:r>
    </w:p>
    <w:p>
      <w:pPr>
        <w:spacing w:after="0" w:line="78" w:lineRule="exact"/>
        <w:rPr>
          <w:rFonts w:ascii="Arial" w:cs="Arial" w:eastAsia="Arial" w:hAnsi="Arial"/>
          <w:sz w:val="18"/>
          <w:szCs w:val="18"/>
          <w:color w:val="auto"/>
        </w:rPr>
      </w:pPr>
    </w:p>
    <w:p>
      <w:pPr>
        <w:jc w:val="both"/>
        <w:ind w:firstLine="419"/>
        <w:spacing w:after="0" w:line="268" w:lineRule="auto"/>
        <w:tabs>
          <w:tab w:leader="none" w:pos="984"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Payment of Taxes</w:t>
      </w:r>
      <w:r>
        <w:rPr>
          <w:rFonts w:ascii="Arial" w:cs="Arial" w:eastAsia="Arial" w:hAnsi="Arial"/>
          <w:sz w:val="17"/>
          <w:szCs w:val="17"/>
          <w:color w:val="auto"/>
        </w:rPr>
        <w:t>. All United States federal, state, local and non-U.S. income tax returns of the Company and its subsidiaries required by law to be filed have been filed as of the date hereof (after giving effect to any extensions provided by law that have been requested) and all taxes shown by such returns or otherwise assessed, which are due and payable, have been paid, except assessments against which appeals have been or will be promptly taken in good faith by the Company and as to which adequate reserves have been provided in accordance with GAAP by the Company except insofar as the failure to pay such taxes would not reasonably be expected, singly or in the aggregate, to result in a Material Adverse Effect. The United States federal, state, local and non-U.S. income tax returns of the Company and its subsidiaries through the fiscal year ended December 31, 2021 have been settled and no assessment in connection therewith has been made against the Company or its subsidiaries, as applicable. The Company and its subsidiaries have filed all other tax returns that are required to have been filed by them pursuant to applicable foreign, federal, state, local or other law except insofar as the failure to file such returns would not, singly or in the aggregate, result in a Material Adverse Effect, and has paid all taxes due pursuant to such returns or pursuant to any assessment received by the Company and its subsidiaries, except for such taxes, if any, as are being contested in good faith and as to which adequate reserves have been established by the Company and except insofar as the failure to pay such taxes would not, singly or in the aggregate, reasonably be expected to result in a Material Adverse Effect.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singly or in the aggregate, reasonably be expected to result in a Material Adverse Effect.</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16" w:name="page17"/>
    <w:bookmarkEnd w:id="16"/>
    <w:p>
      <w:pPr>
        <w:jc w:val="both"/>
        <w:ind w:firstLine="419"/>
        <w:spacing w:after="0" w:line="272" w:lineRule="auto"/>
        <w:tabs>
          <w:tab w:leader="none" w:pos="1007"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w:t>
      </w:r>
      <w:r>
        <w:rPr>
          <w:rFonts w:ascii="Arial" w:cs="Arial" w:eastAsia="Arial" w:hAnsi="Arial"/>
          <w:sz w:val="17"/>
          <w:szCs w:val="17"/>
          <w:color w:val="auto"/>
        </w:rPr>
        <w:t>. The Company and its subsidiaries carry or are entitled to the benefits of insurance, with financially sound and reputable insurers, in such amounts and covering such risks as is generally maintained by companies of established repute engaged in the same or similar business and at the same or similar stage of development,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singly or in the aggregate, result in a Material Adverse Effect. Neither the Company nor any of its subsidiaries has been denied any insurance coverage which it has sought or for which it has applied.</w:t>
      </w:r>
    </w:p>
    <w:p>
      <w:pPr>
        <w:spacing w:after="0" w:line="69" w:lineRule="exact"/>
        <w:rPr>
          <w:rFonts w:ascii="Arial" w:cs="Arial" w:eastAsia="Arial" w:hAnsi="Arial"/>
          <w:sz w:val="17"/>
          <w:szCs w:val="17"/>
          <w:color w:val="auto"/>
        </w:rPr>
      </w:pPr>
    </w:p>
    <w:p>
      <w:pPr>
        <w:jc w:val="both"/>
        <w:ind w:firstLine="419"/>
        <w:spacing w:after="0" w:line="311" w:lineRule="auto"/>
        <w:tabs>
          <w:tab w:leader="none" w:pos="907"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Investment Company Act</w:t>
      </w:r>
      <w:r>
        <w:rPr>
          <w:rFonts w:ascii="Arial" w:cs="Arial" w:eastAsia="Arial" w:hAnsi="Arial"/>
          <w:sz w:val="16"/>
          <w:szCs w:val="16"/>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w:t>
      </w:r>
      <w:r>
        <w:rPr>
          <w:rFonts w:ascii="Arial" w:cs="Arial" w:eastAsia="Arial" w:hAnsi="Arial"/>
          <w:sz w:val="16"/>
          <w:szCs w:val="16"/>
          <w:b w:val="1"/>
          <w:bCs w:val="1"/>
          <w:color w:val="auto"/>
        </w:rPr>
        <w:t>1940 Act</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jc w:val="both"/>
        <w:ind w:right="20" w:firstLine="419"/>
        <w:spacing w:after="0" w:line="259" w:lineRule="auto"/>
        <w:tabs>
          <w:tab w:leader="none" w:pos="85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to the knowledge of the Company, any affiliate of the Company has taken, nor will the Company or any affiliate take, directly or indirectly, any action which is designed, or would reasonably be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78" w:lineRule="exact"/>
        <w:rPr>
          <w:rFonts w:ascii="Arial" w:cs="Arial" w:eastAsia="Arial" w:hAnsi="Arial"/>
          <w:sz w:val="18"/>
          <w:szCs w:val="18"/>
          <w:color w:val="auto"/>
        </w:rPr>
      </w:pPr>
    </w:p>
    <w:p>
      <w:pPr>
        <w:jc w:val="both"/>
        <w:ind w:firstLine="419"/>
        <w:spacing w:after="0" w:line="253" w:lineRule="auto"/>
        <w:tabs>
          <w:tab w:leader="none" w:pos="92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None of the Company, any of its subsidiaries or, to the knowledge of the Company, any director or officer of the Company or its subsidiaries, as applicable,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8"/>
          <w:szCs w:val="18"/>
          <w:b w:val="1"/>
          <w:bCs w:val="1"/>
          <w:color w:val="auto"/>
        </w:rPr>
        <w:t>FCPA</w:t>
      </w:r>
      <w:r>
        <w:rPr>
          <w:rFonts w:ascii="Arial" w:cs="Arial" w:eastAsia="Arial" w:hAnsi="Arial"/>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86" w:lineRule="exact"/>
        <w:rPr>
          <w:rFonts w:ascii="Arial" w:cs="Arial" w:eastAsia="Arial" w:hAnsi="Arial"/>
          <w:sz w:val="18"/>
          <w:szCs w:val="18"/>
          <w:color w:val="auto"/>
        </w:rPr>
      </w:pPr>
    </w:p>
    <w:p>
      <w:pPr>
        <w:jc w:val="both"/>
        <w:ind w:firstLine="419"/>
        <w:spacing w:after="0" w:line="273" w:lineRule="auto"/>
        <w:tabs>
          <w:tab w:leader="none" w:pos="998"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Money Laundering Laws</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Governmental Entity involving the Company or any of its subsidiaries with respect to the Money Laundering Laws is pending or, to the best knowledge of the Company, threatened.</w:t>
      </w:r>
    </w:p>
    <w:p>
      <w:pPr>
        <w:spacing w:after="0" w:line="69" w:lineRule="exact"/>
        <w:rPr>
          <w:rFonts w:ascii="Arial" w:cs="Arial" w:eastAsia="Arial" w:hAnsi="Arial"/>
          <w:sz w:val="17"/>
          <w:szCs w:val="17"/>
          <w:color w:val="auto"/>
        </w:rPr>
      </w:pPr>
    </w:p>
    <w:p>
      <w:pPr>
        <w:ind w:right="20" w:firstLine="419"/>
        <w:spacing w:after="0" w:line="277" w:lineRule="auto"/>
        <w:tabs>
          <w:tab w:leader="none" w:pos="100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None of the Company, any of its subsidiaries, director or officer or, to the knowledge of the Company, any director or officer of the Company or its subsidiaries, as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80" w:top="274" w:right="439" w:bottom="1440" w:gutter="0" w:footer="0" w:header="0"/>
        </w:sectPr>
      </w:pPr>
    </w:p>
    <w:bookmarkStart w:id="17" w:name="page18"/>
    <w:bookmarkEnd w:id="17"/>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agent, employee, affiliate or representative of the Company or any of its subsidiaries is a Person currently the subject or target of any sanctions administered or enforced by the United States Government, including, without limitation, the U.S. Department of the Treasury’s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the United Nations Security Council, the European Union, Her Majesty’s Treasury,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57" w:lineRule="exact"/>
        <w:rPr>
          <w:sz w:val="20"/>
          <w:szCs w:val="20"/>
          <w:color w:val="auto"/>
        </w:rPr>
      </w:pPr>
    </w:p>
    <w:p>
      <w:pPr>
        <w:ind w:left="1000" w:hanging="581"/>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right="20" w:firstLine="419"/>
        <w:spacing w:after="0" w:line="286" w:lineRule="auto"/>
        <w:tabs>
          <w:tab w:leader="none" w:pos="961"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Lending Relationship</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57" w:lineRule="exact"/>
        <w:rPr>
          <w:rFonts w:ascii="Arial" w:cs="Arial" w:eastAsia="Arial" w:hAnsi="Arial"/>
          <w:sz w:val="17"/>
          <w:szCs w:val="17"/>
          <w:color w:val="auto"/>
        </w:rPr>
      </w:pPr>
    </w:p>
    <w:p>
      <w:pPr>
        <w:jc w:val="both"/>
        <w:ind w:firstLine="419"/>
        <w:spacing w:after="0" w:line="259" w:lineRule="auto"/>
        <w:tabs>
          <w:tab w:leader="none" w:pos="101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Any statistical and market-related data included in the Registration Statement, the General Disclosure Package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78" w:lineRule="exact"/>
        <w:rPr>
          <w:rFonts w:ascii="Arial" w:cs="Arial" w:eastAsia="Arial" w:hAnsi="Arial"/>
          <w:sz w:val="18"/>
          <w:szCs w:val="18"/>
          <w:color w:val="auto"/>
        </w:rPr>
      </w:pPr>
    </w:p>
    <w:p>
      <w:pPr>
        <w:jc w:val="both"/>
        <w:ind w:firstLine="419"/>
        <w:spacing w:after="0" w:line="267" w:lineRule="auto"/>
        <w:tabs>
          <w:tab w:leader="none" w:pos="1048"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Information Technology, Cybersecurity and Data Protection</w:t>
      </w:r>
      <w:r>
        <w:rPr>
          <w:rFonts w:ascii="Arial" w:cs="Arial" w:eastAsia="Arial" w:hAnsi="Arial"/>
          <w:sz w:val="17"/>
          <w:szCs w:val="17"/>
          <w:color w:val="auto"/>
        </w:rPr>
        <w:t>. (A) There has been no security breach or incident, unauthorized access or disclosure, or other compromise of or relating to the Company’s or its subsidiaries’ information technology and computer systems, networks, hardware, software, data and databases (including personally identifiable information or protected health information as required by any Healthcare Laws and the data and information of their respective patients, customers, employees, suppliers, vendors and any third party data maintained, processed or stored by the Company or its subsidiaries, and any such data processed or stored by third parties on behalf of the Company or its subsidiaries), equipment or technology (collectively, “</w:t>
      </w:r>
      <w:r>
        <w:rPr>
          <w:rFonts w:ascii="Arial" w:cs="Arial" w:eastAsia="Arial" w:hAnsi="Arial"/>
          <w:sz w:val="17"/>
          <w:szCs w:val="17"/>
          <w:b w:val="1"/>
          <w:bCs w:val="1"/>
          <w:color w:val="auto"/>
        </w:rPr>
        <w:t>IT Systems and Data</w:t>
      </w:r>
      <w:r>
        <w:rPr>
          <w:rFonts w:ascii="Arial" w:cs="Arial" w:eastAsia="Arial" w:hAnsi="Arial"/>
          <w:sz w:val="17"/>
          <w:szCs w:val="17"/>
          <w:color w:val="auto"/>
        </w:rPr>
        <w:t>”); (B) neither the Company nor its subsidiaries have been notified of, nor have any knowledge of any event or condition that would reasonably be expected to result in, any security breach or incident, unauthorized access or disclosure of or other compromise to their IT Systems and Data and, to the Company’s knowledge, no Person has claimed or threatened to claim compensation from the Company or any of its subsidiaries for breaches of IT Systems and Data; and (C) the Company and its subsidiaries have implemented appropriate controls, policies, procedures, and technological safeguards designed to maintain and protect the integrity, continuous operation, redundancy, disaster recovery and security of their IT Systems and Data reasonably consistent with industry standards and practices, or as required by applicable Data Protection Laws, Healthcare Laws and regulatory standards, except with respect to clauses (A) and (B), for any such security breach or incident, unauthorized access or disclosure or other compromise, as would not, singly or in the aggregate, reasonably be expected to have a Material Adverse Effect. The IT Systems and Data are adequate and operational for, in accordance with their documentation and functional specifications, the business of the Company and its subsidiaries as now operated and as currently proposed to be operated as described in the Registration Statement, the General Disclosure Package and the Prospectus. The Company and its subsidiaries are presently in</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880" w:top="274" w:right="439" w:bottom="1440" w:gutter="0" w:footer="0" w:header="0"/>
        </w:sectPr>
      </w:pPr>
    </w:p>
    <w:bookmarkStart w:id="18" w:name="page19"/>
    <w:bookmarkEnd w:id="18"/>
    <w:p>
      <w:pPr>
        <w:jc w:val="both"/>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including the collection, use, transfer, processing, disposal, disclosure, handling, storage and analysis of personally identifiable information, protected health information, consumer information and other confidential information of the Company, its subsidiaries and any third parties in their possession (“</w:t>
      </w:r>
      <w:r>
        <w:rPr>
          <w:rFonts w:ascii="Arial" w:cs="Arial" w:eastAsia="Arial" w:hAnsi="Arial"/>
          <w:sz w:val="16"/>
          <w:szCs w:val="16"/>
          <w:b w:val="1"/>
          <w:bCs w:val="1"/>
          <w:color w:val="auto"/>
        </w:rPr>
        <w:t>Sensitive Company Data</w:t>
      </w:r>
      <w:r>
        <w:rPr>
          <w:rFonts w:ascii="Arial" w:cs="Arial" w:eastAsia="Arial" w:hAnsi="Arial"/>
          <w:sz w:val="16"/>
          <w:szCs w:val="16"/>
          <w:color w:val="auto"/>
        </w:rPr>
        <w:t>”), and to the protection of such IT Systems and Data and Sensitive Company Data from unauthorized use, access, misappropriation or modification. The Company and its subsidiaries have not received any written notice, claim, complaint, demand or letter from any Person or Governmental Authority in respect of their businesses under applicable Data Protection Laws (as defined below) and regulations and industry standards regarding misuse, loss, unauthorized destruction or unauthorized disclosure of any Sensitive Company Data. To the Company’s knowledge, there has been no unauthorized or illegal use of or access to any Sensitive Company Data by any third party. The Company and its subsidiaries have not been required to notify any individual or data protection authority of any information security breach, compromise or incident involving Sensitive Company Data and, to the Company’s knowledge, are not the subject of any inquiry or investigation by any Governmental Authority or data protection authority regarding any of the foregoing.</w:t>
      </w:r>
    </w:p>
    <w:p>
      <w:pPr>
        <w:spacing w:after="0" w:line="56" w:lineRule="exact"/>
        <w:rPr>
          <w:sz w:val="20"/>
          <w:szCs w:val="20"/>
          <w:color w:val="auto"/>
        </w:rPr>
      </w:pPr>
    </w:p>
    <w:p>
      <w:pPr>
        <w:jc w:val="both"/>
        <w:ind w:left="4" w:firstLine="42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Protection Laws</w:t>
      </w:r>
      <w:r>
        <w:rPr>
          <w:rFonts w:ascii="Arial" w:cs="Arial" w:eastAsia="Arial" w:hAnsi="Arial"/>
          <w:sz w:val="18"/>
          <w:szCs w:val="18"/>
          <w:color w:val="auto"/>
        </w:rPr>
        <w:t>” means (a) all applicable laws related to data privacy, data protection or data security (including the Health Insurance Portability and Accountability Act of 1996, Regulation (EU) 2016/79 of the European Parliament and of the Council (General Data Protection Regulation) and any implementation acts related thereto and the California Consumer Privacy Act of 2018), and the requirements and guidance set forth in regulations, guidelines and agreements containing consent orders published by regulatory authorities such as the Federal Trade Commission, Federal Communications Commission, the FDA, the U.S. Department of Health and Human Services and applicable European Union data protection authorities, in each case of the foregoing, as amended, replaced or updated from time to time; (b) all privacy policies of the Company and its subsidiaries; and (c) all third party privacy policies that the Company or any of its subsidiaries has been or is contractually obligated to comply with.</w:t>
      </w:r>
    </w:p>
    <w:p>
      <w:pPr>
        <w:spacing w:after="0" w:line="88" w:lineRule="exact"/>
        <w:rPr>
          <w:sz w:val="20"/>
          <w:szCs w:val="20"/>
          <w:color w:val="auto"/>
        </w:rPr>
      </w:pPr>
    </w:p>
    <w:p>
      <w:pPr>
        <w:ind w:left="4" w:right="20" w:firstLine="419"/>
        <w:spacing w:after="0" w:line="277" w:lineRule="auto"/>
        <w:tabs>
          <w:tab w:leader="none" w:pos="1115"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No Rated Securities.</w:t>
      </w:r>
      <w:r>
        <w:rPr>
          <w:rFonts w:ascii="Arial" w:cs="Arial" w:eastAsia="Arial" w:hAnsi="Arial"/>
          <w:sz w:val="18"/>
          <w:szCs w:val="18"/>
          <w:color w:val="auto"/>
        </w:rPr>
        <w:t xml:space="preserve"> Neither the Company nor its subsidiaries have any debt securities or preferred stock that are rated by any “nationally recognized statistical rating organization” (as defined in Section 3(a)(62) of the 1934 Act).</w:t>
      </w:r>
    </w:p>
    <w:p>
      <w:pPr>
        <w:spacing w:after="0" w:line="62" w:lineRule="exact"/>
        <w:rPr>
          <w:rFonts w:ascii="Arial" w:cs="Arial" w:eastAsia="Arial" w:hAnsi="Arial"/>
          <w:sz w:val="18"/>
          <w:szCs w:val="18"/>
          <w:color w:val="auto"/>
        </w:rPr>
      </w:pPr>
    </w:p>
    <w:p>
      <w:pPr>
        <w:ind w:left="1004" w:hanging="581"/>
        <w:spacing w:after="0"/>
        <w:tabs>
          <w:tab w:leader="none" w:pos="1004"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ERISA Compliance</w:t>
      </w:r>
      <w:r>
        <w:rPr>
          <w:rFonts w:ascii="Arial" w:cs="Arial" w:eastAsia="Arial" w:hAnsi="Arial"/>
          <w:sz w:val="16"/>
          <w:szCs w:val="16"/>
          <w:color w:val="auto"/>
        </w:rPr>
        <w:t>. Except as would not, singly or in the aggregate, reasonably be expected to result in a Material Adverse Effect,</w:t>
      </w:r>
    </w:p>
    <w:p>
      <w:pPr>
        <w:spacing w:after="0" w:line="46" w:lineRule="exact"/>
        <w:rPr>
          <w:rFonts w:ascii="Arial" w:cs="Arial" w:eastAsia="Arial" w:hAnsi="Arial"/>
          <w:sz w:val="16"/>
          <w:szCs w:val="16"/>
          <w:color w:val="auto"/>
        </w:rPr>
      </w:pPr>
    </w:p>
    <w:p>
      <w:pPr>
        <w:jc w:val="both"/>
        <w:ind w:left="4" w:hanging="4"/>
        <w:spacing w:after="0" w:line="286" w:lineRule="auto"/>
        <w:tabs>
          <w:tab w:leader="none" w:pos="3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and its subsidiaries and any “Employee Benefit Plan” (as defined under the Employee Retirement Income Security Act of 1974, as amended, and the regulations and published interpretations promulgated thereunder (collectively, “</w:t>
      </w:r>
      <w:r>
        <w:rPr>
          <w:rFonts w:ascii="Arial" w:cs="Arial" w:eastAsia="Arial" w:hAnsi="Arial"/>
          <w:sz w:val="16"/>
          <w:szCs w:val="16"/>
          <w:b w:val="1"/>
          <w:bCs w:val="1"/>
          <w:color w:val="auto"/>
        </w:rPr>
        <w:t>ERISA</w:t>
      </w:r>
      <w:r>
        <w:rPr>
          <w:rFonts w:ascii="Arial" w:cs="Arial" w:eastAsia="Arial" w:hAnsi="Arial"/>
          <w:sz w:val="16"/>
          <w:szCs w:val="16"/>
          <w:color w:val="auto"/>
        </w:rPr>
        <w:t>”)) for which the Company, its subsidiaries or its or their “ERISA Affiliates” (as defined below) would have any liability (each, a “</w:t>
      </w:r>
      <w:r>
        <w:rPr>
          <w:rFonts w:ascii="Arial" w:cs="Arial" w:eastAsia="Arial" w:hAnsi="Arial"/>
          <w:sz w:val="16"/>
          <w:szCs w:val="16"/>
          <w:b w:val="1"/>
          <w:bCs w:val="1"/>
          <w:color w:val="auto"/>
        </w:rPr>
        <w:t>Plan</w:t>
      </w:r>
      <w:r>
        <w:rPr>
          <w:rFonts w:ascii="Arial" w:cs="Arial" w:eastAsia="Arial" w:hAnsi="Arial"/>
          <w:sz w:val="16"/>
          <w:szCs w:val="16"/>
          <w:color w:val="auto"/>
        </w:rPr>
        <w:t>”) are in compliance in all respects with ERISA and each Plan has been established and maintained in compliance with its terms and the requirements of any applicable statutes, orders, rules and regulations, including but not limited to, ERISA and the Internal Revenue Code of 1986, as amended, and the regulations and published interpretations thereunder (the “</w:t>
      </w:r>
      <w:r>
        <w:rPr>
          <w:rFonts w:ascii="Arial" w:cs="Arial" w:eastAsia="Arial" w:hAnsi="Arial"/>
          <w:sz w:val="16"/>
          <w:szCs w:val="16"/>
          <w:b w:val="1"/>
          <w:bCs w:val="1"/>
          <w:color w:val="auto"/>
        </w:rPr>
        <w:t>Code</w:t>
      </w:r>
      <w:r>
        <w:rPr>
          <w:rFonts w:ascii="Arial" w:cs="Arial" w:eastAsia="Arial" w:hAnsi="Arial"/>
          <w:sz w:val="16"/>
          <w:szCs w:val="16"/>
          <w:color w:val="auto"/>
        </w:rPr>
        <w:t>”), (B) no “reportable event” (as defined under ERISA) has occurred or is reasonably expected to occur with respect to any Plan, (C) no Plan, if such Plan were terminated, would have any “amount of unfunded benefit liabilities” (as defined under ERISA), as the fair market value of the assets under each Plan (excluding for these purposes accrued but unpaid contributions) exceeds the present value of all benefits accrued under such Plan (determined based on those assumptions used to fund such Plan), (D) neither the Company, its subsidiaries nor any of its or their ERISA Affiliates has incurred or reasonably expects to incur any obligation or liability</w:t>
      </w:r>
    </w:p>
    <w:p>
      <w:pPr>
        <w:spacing w:after="0" w:line="102"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4"/>
          </w:cols>
          <w:pgMar w:left="876" w:top="274" w:right="439" w:bottom="1440" w:gutter="0" w:footer="0" w:header="0"/>
        </w:sectPr>
      </w:pPr>
    </w:p>
    <w:bookmarkStart w:id="19" w:name="page20"/>
    <w:bookmarkEnd w:id="19"/>
    <w:p>
      <w:pPr>
        <w:jc w:val="both"/>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(i) Title IV of ERISA with respect to termination of, or withdrawal from, any Plan, (ii) Sections 412 and 430, 4971, 4975 or 4980B of the Code or (iii) Sections 302 and 303, 406, 4063 and 4064 of ERISA, (E) each Plan that is intended to be qualified under Section 401(a) of the Code is so qualified and nothing has occurred, whether by action or failure to act, which would cause the loss of such qualification, (F) there is no pending audit or investigation by the Internal Revenue Service, the U.S. Department of Labor, the Pension Benefit Guaranty Corporation or any other governmental or foreign regulatory entity or agency with respect to any Plan that would reasonably be expected to result in liability to the Company or any of its subsidiaries, and (G) neither the Company nor any of its subsidiaries have any “accumulated post-retirement benefit obligations” (within the meaning of Statement of Financial Accounting Standards 106). “</w:t>
      </w:r>
      <w:r>
        <w:rPr>
          <w:rFonts w:ascii="Arial" w:cs="Arial" w:eastAsia="Arial" w:hAnsi="Arial"/>
          <w:sz w:val="18"/>
          <w:szCs w:val="18"/>
          <w:b w:val="1"/>
          <w:bCs w:val="1"/>
          <w:color w:val="auto"/>
        </w:rPr>
        <w:t>ERISA Affiliate</w:t>
      </w:r>
      <w:r>
        <w:rPr>
          <w:rFonts w:ascii="Arial" w:cs="Arial" w:eastAsia="Arial" w:hAnsi="Arial"/>
          <w:sz w:val="18"/>
          <w:szCs w:val="18"/>
          <w:color w:val="auto"/>
        </w:rPr>
        <w:t>” means, with respect to the Company, any member of any group of organizations described in Sections 414(b), (c), (m) or (o) of the Code of which the Company or such subsidiary is a member.</w:t>
      </w:r>
    </w:p>
    <w:p>
      <w:pPr>
        <w:spacing w:after="0" w:line="88" w:lineRule="exact"/>
        <w:rPr>
          <w:sz w:val="20"/>
          <w:szCs w:val="20"/>
          <w:color w:val="auto"/>
        </w:rPr>
      </w:pPr>
    </w:p>
    <w:p>
      <w:pPr>
        <w:jc w:val="both"/>
        <w:ind w:firstLine="423"/>
        <w:spacing w:after="0" w:line="284" w:lineRule="auto"/>
        <w:rPr>
          <w:sz w:val="20"/>
          <w:szCs w:val="20"/>
          <w:color w:val="auto"/>
        </w:rPr>
      </w:pPr>
      <w:r>
        <w:rPr>
          <w:rFonts w:ascii="Arial" w:cs="Arial" w:eastAsia="Arial" w:hAnsi="Arial"/>
          <w:sz w:val="16"/>
          <w:szCs w:val="16"/>
          <w:color w:val="auto"/>
        </w:rPr>
        <w:t xml:space="preserve">(xl) </w:t>
      </w:r>
      <w:r>
        <w:rPr>
          <w:rFonts w:ascii="Arial" w:cs="Arial" w:eastAsia="Arial" w:hAnsi="Arial"/>
          <w:sz w:val="16"/>
          <w:szCs w:val="16"/>
          <w:u w:val="single" w:color="auto"/>
          <w:color w:val="auto"/>
        </w:rPr>
        <w:t>Regulatory Matters</w:t>
      </w:r>
      <w:r>
        <w:rPr>
          <w:rFonts w:ascii="Arial" w:cs="Arial" w:eastAsia="Arial" w:hAnsi="Arial"/>
          <w:sz w:val="16"/>
          <w:szCs w:val="16"/>
          <w:color w:val="auto"/>
        </w:rPr>
        <w:t>. (i) Except as disclosed in the Registration Statement, the General Disclosure Package and the Prospectus, neither the Company nor its subsidiaries has received any written notice of adverse finding, warning letter, untitled letter or other correspondence or notice from the FDA, the EMA or other relevant regulatory authorities, or any other court or arbitrator or federal, state, local or foreign governmental or regulatory authority, alleging or asserting material noncompliance with the Federal Food, Drug and Cosmetic Act (21 U.S.C. § 301 et seq.), as amended, and the regulations promulgated thereunder (the “</w:t>
      </w:r>
      <w:r>
        <w:rPr>
          <w:rFonts w:ascii="Arial" w:cs="Arial" w:eastAsia="Arial" w:hAnsi="Arial"/>
          <w:sz w:val="16"/>
          <w:szCs w:val="16"/>
          <w:b w:val="1"/>
          <w:bCs w:val="1"/>
          <w:color w:val="auto"/>
        </w:rPr>
        <w:t>FFDCA</w:t>
      </w:r>
      <w:r>
        <w:rPr>
          <w:rFonts w:ascii="Arial" w:cs="Arial" w:eastAsia="Arial" w:hAnsi="Arial"/>
          <w:sz w:val="16"/>
          <w:szCs w:val="16"/>
          <w:color w:val="auto"/>
        </w:rPr>
        <w:t>”), the Anti-Kickback Statute (42 U.S.C. Section 1320a-7b(b)), the Civil Monetary Penalties Law (42 U.S.C. § 1320a-7a), the Physician Payment Sunshine Act (42 U.S.C. § 1320a-7h), the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 Section 1320d et seq.), the exclusion laws (42 U.S.C. § 1320a-7), HIPAA, as amended by the Health Information Technology for Economic and Clinical Health Act (42 U.S.C. Section 17921 et seq.), Medicare (Title XVIII of the Social Security Act), Medicaid (Title XIX of the Social Security Act), and any and all other similar state, federal or foreign law or regulations promulgated pursuant to such laws, including all laws and regulations applicable to ownership, testing, development, manufacture, packaging, processing, use, distribution, storage, import, export or disposal of the Company’s product candidates, each as amended from time to time (collectively, “</w:t>
      </w:r>
      <w:r>
        <w:rPr>
          <w:rFonts w:ascii="Arial" w:cs="Arial" w:eastAsia="Arial" w:hAnsi="Arial"/>
          <w:sz w:val="16"/>
          <w:szCs w:val="16"/>
          <w:b w:val="1"/>
          <w:bCs w:val="1"/>
          <w:color w:val="auto"/>
        </w:rPr>
        <w:t>Health Care Laws</w:t>
      </w:r>
      <w:r>
        <w:rPr>
          <w:rFonts w:ascii="Arial" w:cs="Arial" w:eastAsia="Arial" w:hAnsi="Arial"/>
          <w:sz w:val="16"/>
          <w:szCs w:val="16"/>
          <w:color w:val="auto"/>
        </w:rPr>
        <w:t>”); (ii) the Company and its subsidiaries are and have been in compliance with applicable Health Care Laws, except where instances of non-compliance would not, singly or in the aggregate, reasonably be expected to result in a Material Adverse Effect; (iii) neither the Company nor its subsidiaries received written notice of any claim, action, suit, proceeding, hearing, enforcement, investigation, arbitration or other action from any U.S. or non-U.S. federal, national, state, local or other governmental or regulatory authority, governmental or regulatory agency or body, court, arbitrator or self-regulatory organization (each, a “</w:t>
      </w:r>
      <w:r>
        <w:rPr>
          <w:rFonts w:ascii="Arial" w:cs="Arial" w:eastAsia="Arial" w:hAnsi="Arial"/>
          <w:sz w:val="16"/>
          <w:szCs w:val="16"/>
          <w:b w:val="1"/>
          <w:bCs w:val="1"/>
          <w:color w:val="auto"/>
        </w:rPr>
        <w:t>Governmental Authority</w:t>
      </w:r>
      <w:r>
        <w:rPr>
          <w:rFonts w:ascii="Arial" w:cs="Arial" w:eastAsia="Arial" w:hAnsi="Arial"/>
          <w:sz w:val="16"/>
          <w:szCs w:val="16"/>
          <w:color w:val="auto"/>
        </w:rPr>
        <w:t>”) or third party alleging that any product operation or activity is in violation of any Health Care Laws and, to the Company’s knowledge, no such claim, action, suit, proceeding, hearing, enforcement, investigation, arbitration or other action is threatened; (iv) the Company and its subsidiaries have filed, obtained, maintained or submitted all reports, documents, forms, notices, applications, records, claims, submissions and supplements or amendments as required by applicable Health Care Laws, and all such reports, documents, forms, notices, applications, records, claims, submissions and supplements or amendments were complete, correct and not misleading on the date filed (or were corrected or supplemented by a subsequent submission); (v) neither the Company nor its subsidiaries or any of their respective directors, officers, employees or agents is or has been debarred, suspended or excluded, or has been convicted of any crime or engaged in any conduct that would result in a</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880" w:top="274" w:right="439" w:bottom="1440" w:gutter="0" w:footer="0" w:header="0"/>
        </w:sectPr>
      </w:pPr>
    </w:p>
    <w:bookmarkStart w:id="20" w:name="page21"/>
    <w:bookmarkEnd w:id="20"/>
    <w:p>
      <w:pPr>
        <w:jc w:val="both"/>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debarment, suspension or exclusion from any federal or state government health care program or, to the knowledge of the Company, is subject to a governmental inquiry, investigation, proceeding, or other similar action that would reasonably be expected to result in debarment, suspension, or exclusion; and (vi) the Company is not a party to and the Company does not have any ongoing reporting obligations pursuant to, any corporate integrity agreements, deferred prosecution agreements, monitoring agreements, consent decrees, settlement orders, plans of correction or similar agreements with or imposed by an Governmental Authority.</w:t>
      </w:r>
    </w:p>
    <w:p>
      <w:pPr>
        <w:spacing w:after="0" w:line="68" w:lineRule="exact"/>
        <w:rPr>
          <w:sz w:val="20"/>
          <w:szCs w:val="20"/>
          <w:color w:val="auto"/>
        </w:rPr>
      </w:pPr>
    </w:p>
    <w:p>
      <w:pPr>
        <w:jc w:val="both"/>
        <w:ind w:firstLine="423"/>
        <w:spacing w:after="0" w:line="284" w:lineRule="auto"/>
        <w:rPr>
          <w:sz w:val="20"/>
          <w:szCs w:val="20"/>
          <w:color w:val="auto"/>
        </w:rPr>
      </w:pPr>
      <w:r>
        <w:rPr>
          <w:rFonts w:ascii="Arial" w:cs="Arial" w:eastAsia="Arial" w:hAnsi="Arial"/>
          <w:sz w:val="16"/>
          <w:szCs w:val="16"/>
          <w:color w:val="auto"/>
        </w:rPr>
        <w:t xml:space="preserve">(xli) </w:t>
      </w:r>
      <w:r>
        <w:rPr>
          <w:rFonts w:ascii="Arial" w:cs="Arial" w:eastAsia="Arial" w:hAnsi="Arial"/>
          <w:sz w:val="16"/>
          <w:szCs w:val="16"/>
          <w:u w:val="single" w:color="auto"/>
          <w:color w:val="auto"/>
        </w:rPr>
        <w:t>Preclinical Studies and Clinical Trials</w:t>
      </w:r>
      <w:r>
        <w:rPr>
          <w:rFonts w:ascii="Arial" w:cs="Arial" w:eastAsia="Arial" w:hAnsi="Arial"/>
          <w:sz w:val="16"/>
          <w:szCs w:val="16"/>
          <w:color w:val="auto"/>
        </w:rPr>
        <w:t>. The preclinical studies and clinical trials conducted by, on behalf of or sponsored by the Company or its subsidiaries, or in which the Company or its subsidiaries has participated, that are described in, or the results of which are referred to in, the Registration Statement, the General Disclosure Package and the Prospectus, as applicable, were, and if still pending are, being conducted in accordance with the experimental protocols established for each study or trial, as well as any conditions of approval and policies imposed by any institutional review board, ethics review board or committee responsible for the oversight of such preclinical studies and clinical trials, and all applicable local, state and federal laws, rules and regulations of the FDA, the EMA and comparable drug regulatory agencies outside of the United States to which they are subject (such institutional review boards, ethics review boards, committees, the FDA, the EMA or any comparable regulatory agencies, collectively, the “</w:t>
      </w:r>
      <w:r>
        <w:rPr>
          <w:rFonts w:ascii="Arial" w:cs="Arial" w:eastAsia="Arial" w:hAnsi="Arial"/>
          <w:sz w:val="16"/>
          <w:szCs w:val="16"/>
          <w:b w:val="1"/>
          <w:bCs w:val="1"/>
          <w:color w:val="auto"/>
        </w:rPr>
        <w:t>Regulatory Authorities</w:t>
      </w:r>
      <w:r>
        <w:rPr>
          <w:rFonts w:ascii="Arial" w:cs="Arial" w:eastAsia="Arial" w:hAnsi="Arial"/>
          <w:sz w:val="16"/>
          <w:szCs w:val="16"/>
          <w:color w:val="auto"/>
        </w:rPr>
        <w:t>”) and all other applicable Health Care Laws, except as would not, singly or in the aggregate, reasonably be expected to have a Material Adverse Effect; the descriptions in the Registration Statement, the General Disclosure Package or the Prospectus of the results of such studies and trials are accurate and not misleading in all material respects with respect to the portions of such studies and trials being described and fairly present the data derived from such studies or trials in all material respects; the Company has no knowledge of any other preclinical studies or clinical trials not described in the Registration Statement, the General Disclosure Package and the Prospectus, the results of which would reasonably call into question in any material respect the results of the preclinical studies and clinical trials described in the Registration Statement, the General Disclosure Package and the Prospectus when viewed in the context in which such results are described and the current state of development; neither the Company nor its subsidiaries have received any written notice, correspondence or other communications from the Regulatory Authorities requiring or threatening (i) the termination or suspension or clinical hold of any preclinical studies or clinical trials that are described in, or the results of which are referred to in, the Registration Statement, the General Disclosure Package and the Prospectus, or (ii) the material modification of any preclinical studies or clinical trials that would cause them to materially differ from their descriptions in the Registration Statement, the General Disclosure Package and the Prospectus, other than ordinary course communications with respect to modifications in connection with the design and implementation of such preclinical studies or clinical trials, and, to the Company’s knowledge, there are no reasonable grounds for the same.</w:t>
      </w:r>
    </w:p>
    <w:p>
      <w:pPr>
        <w:spacing w:after="0" w:line="72" w:lineRule="exact"/>
        <w:rPr>
          <w:sz w:val="20"/>
          <w:szCs w:val="20"/>
          <w:color w:val="auto"/>
        </w:rPr>
      </w:pPr>
    </w:p>
    <w:p>
      <w:pPr>
        <w:jc w:val="both"/>
        <w:ind w:right="20" w:firstLine="423"/>
        <w:spacing w:after="0" w:line="271" w:lineRule="auto"/>
        <w:rPr>
          <w:sz w:val="20"/>
          <w:szCs w:val="20"/>
          <w:color w:val="auto"/>
        </w:rPr>
      </w:pPr>
      <w:r>
        <w:rPr>
          <w:rFonts w:ascii="Arial" w:cs="Arial" w:eastAsia="Arial" w:hAnsi="Arial"/>
          <w:sz w:val="17"/>
          <w:szCs w:val="17"/>
          <w:color w:val="auto"/>
        </w:rPr>
        <w:t xml:space="preserve">(xlii) </w:t>
      </w:r>
      <w:r>
        <w:rPr>
          <w:rFonts w:ascii="Arial" w:cs="Arial" w:eastAsia="Arial" w:hAnsi="Arial"/>
          <w:sz w:val="17"/>
          <w:szCs w:val="17"/>
          <w:u w:val="single" w:color="auto"/>
          <w:color w:val="auto"/>
        </w:rPr>
        <w:t>Health Care Products Manufacturing</w:t>
      </w:r>
      <w:r>
        <w:rPr>
          <w:rFonts w:ascii="Arial" w:cs="Arial" w:eastAsia="Arial" w:hAnsi="Arial"/>
          <w:sz w:val="17"/>
          <w:szCs w:val="17"/>
          <w:color w:val="auto"/>
        </w:rPr>
        <w:t>. The manufacture of the Company’s and its subsidiaries’ product candidates by or on behalf of the Company and its subsidiaries is being conducted in compliance in all material respects with all applicable Health Care Laws, including, without limitation, the FDA’s current good manufacturing practice regulations at 21 CFR Part 820, and, to the extent applicable, the respective counterparts thereof promulgated by governmental authorities in countries outside the United States. Neither the Company nor any of its subsidiaries has had any manufacturing site (whether Company-owned, subsidiary-owned or that of a third party manufacturer for the Company’s or its subsidiaries’ product candidates) subject to a Governmental Authority (including FDA or EMA) shutdown or import or export prohibition, nor received any FDA, EMA or other Governmental Authority “warning letters,” or “untitled letters” alleging or asserting material noncompliance with any applicable Health Care Laws, requests to make material</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80" w:top="274" w:right="439" w:bottom="1440" w:gutter="0" w:footer="0" w:header="0"/>
        </w:sectPr>
      </w:pPr>
    </w:p>
    <w:bookmarkStart w:id="21" w:name="page22"/>
    <w:bookmarkEnd w:id="21"/>
    <w:p>
      <w:pPr>
        <w:jc w:val="both"/>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to the Company’s or its subsidiaries’ product candidates, processes or operations, or similar correspondence or notice from the FDA, EMA or other Governmental Authority alleging or asserting material noncompliance with any applicable Health Care Laws, other than those that have been satisfactorily addressed and/or closed with the FDA, EMA or other Governmental Authority. To the knowledge of the Company, neither the FDA, EMA or any other Governmental Authority is considering such action.</w:t>
      </w:r>
    </w:p>
    <w:p>
      <w:pPr>
        <w:spacing w:after="0" w:line="79" w:lineRule="exact"/>
        <w:rPr>
          <w:sz w:val="20"/>
          <w:szCs w:val="20"/>
          <w:color w:val="auto"/>
        </w:rPr>
      </w:pPr>
    </w:p>
    <w:p>
      <w:pPr>
        <w:jc w:val="both"/>
        <w:ind w:left="440" w:right="20" w:firstLine="423"/>
        <w:spacing w:after="0" w:line="255" w:lineRule="auto"/>
        <w:rPr>
          <w:sz w:val="20"/>
          <w:szCs w:val="20"/>
          <w:color w:val="auto"/>
        </w:rPr>
      </w:pPr>
      <w:r>
        <w:rPr>
          <w:rFonts w:ascii="Arial" w:cs="Arial" w:eastAsia="Arial" w:hAnsi="Arial"/>
          <w:sz w:val="18"/>
          <w:szCs w:val="18"/>
          <w:color w:val="auto"/>
        </w:rPr>
        <w:t xml:space="preserve">(xliii) </w:t>
      </w:r>
      <w:r>
        <w:rPr>
          <w:rFonts w:ascii="Arial" w:cs="Arial" w:eastAsia="Arial" w:hAnsi="Arial"/>
          <w:sz w:val="18"/>
          <w:szCs w:val="18"/>
          <w:u w:val="single" w:color="auto"/>
          <w:color w:val="auto"/>
        </w:rPr>
        <w:t>No Safety Notices</w:t>
      </w:r>
      <w:r>
        <w:rPr>
          <w:rFonts w:ascii="Arial" w:cs="Arial" w:eastAsia="Arial" w:hAnsi="Arial"/>
          <w:sz w:val="18"/>
          <w:szCs w:val="18"/>
          <w:color w:val="auto"/>
        </w:rPr>
        <w:t>. (i) There have been no recalls, field notifications, field corrections, market withdrawals or replacements, warnings, “dear doctor” letters, investigator notices, safety alerts or other notice of action relating to an alleged lack of safety, efficacy, or regulatory compliance of the Company’s or its subsidiaries’ product candidates (“</w:t>
      </w:r>
      <w:r>
        <w:rPr>
          <w:rFonts w:ascii="Arial" w:cs="Arial" w:eastAsia="Arial" w:hAnsi="Arial"/>
          <w:sz w:val="18"/>
          <w:szCs w:val="18"/>
          <w:b w:val="1"/>
          <w:bCs w:val="1"/>
          <w:color w:val="auto"/>
        </w:rPr>
        <w:t>Safety Notices</w:t>
      </w:r>
      <w:r>
        <w:rPr>
          <w:rFonts w:ascii="Arial" w:cs="Arial" w:eastAsia="Arial" w:hAnsi="Arial"/>
          <w:sz w:val="18"/>
          <w:szCs w:val="18"/>
          <w:color w:val="auto"/>
        </w:rPr>
        <w:t>”) and (ii) there are no facts that would be reasonably likely to result in (x) a Safety Notice with respect to the Company’s or its subsidiaries’ product candidates, or (y) a material change in labeling of any of the Company’s or its subsidiaries’ product candidates or (z) a termination or suspension of marketing or testing of any of the Company’s or its subsidiaries’ product candidates.</w:t>
      </w:r>
    </w:p>
    <w:p>
      <w:pPr>
        <w:spacing w:after="0" w:line="192" w:lineRule="exact"/>
        <w:rPr>
          <w:sz w:val="20"/>
          <w:szCs w:val="20"/>
          <w:color w:val="auto"/>
        </w:rPr>
      </w:pPr>
    </w:p>
    <w:p>
      <w:pPr>
        <w:ind w:right="20" w:firstLine="436"/>
        <w:spacing w:after="0" w:line="342" w:lineRule="auto"/>
        <w:tabs>
          <w:tab w:leader="none" w:pos="709"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Officer’s Certificates</w:t>
      </w:r>
      <w:r>
        <w:rPr>
          <w:rFonts w:ascii="Arial" w:cs="Arial" w:eastAsia="Arial" w:hAnsi="Arial"/>
          <w:sz w:val="16"/>
          <w:szCs w:val="16"/>
          <w:color w:val="auto"/>
        </w:rPr>
        <w:t>. Any certificate signed by any officer of the Company or any of its subsidiaries delivered to the Representatives or to</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for the Underwriters shall be deemed a representation and warranty by the Company to each Underwriter as to the matters covered thereby.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to Underwriters; Closing</w:t>
      </w:r>
      <w:r>
        <w:rPr>
          <w:rFonts w:ascii="Arial" w:cs="Arial" w:eastAsia="Arial" w:hAnsi="Arial"/>
          <w:sz w:val="18"/>
          <w:szCs w:val="18"/>
          <w:color w:val="auto"/>
        </w:rPr>
        <w:t>.</w:t>
      </w:r>
    </w:p>
    <w:p>
      <w:pPr>
        <w:spacing w:after="0" w:line="225" w:lineRule="exact"/>
        <w:rPr>
          <w:sz w:val="20"/>
          <w:szCs w:val="20"/>
          <w:color w:val="auto"/>
        </w:rPr>
      </w:pPr>
    </w:p>
    <w:p>
      <w:pPr>
        <w:jc w:val="both"/>
        <w:ind w:firstLine="436"/>
        <w:spacing w:after="0" w:line="255"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Initial Securities</w:t>
      </w:r>
      <w:r>
        <w:rPr>
          <w:rFonts w:ascii="Arial" w:cs="Arial" w:eastAsia="Arial" w:hAnsi="Arial"/>
          <w:sz w:val="18"/>
          <w:szCs w:val="18"/>
          <w:color w:val="auto"/>
        </w:rPr>
        <w:t>. On the basis of the representations and warranties herein contained and subject to the terms and conditions herein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agrees to sell to each Underwriter, severally and not jointly, and each Underwriter, severally and not jointly, agrees to purchase from the Company, at the price per share set forth in Schedule A, that number of Initial Securities set forth in Schedule A opposite the name of such Underwriter, plus any additional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spacing w:after="0" w:line="192" w:lineRule="exact"/>
        <w:rPr>
          <w:rFonts w:ascii="Arial" w:cs="Arial" w:eastAsia="Arial" w:hAnsi="Arial"/>
          <w:sz w:val="18"/>
          <w:szCs w:val="18"/>
          <w:color w:val="auto"/>
        </w:rPr>
      </w:pPr>
    </w:p>
    <w:p>
      <w:pPr>
        <w:jc w:val="both"/>
        <w:ind w:firstLine="436"/>
        <w:spacing w:after="0" w:line="269" w:lineRule="auto"/>
        <w:tabs>
          <w:tab w:leader="none" w:pos="709"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Option Securities</w:t>
      </w:r>
      <w:r>
        <w:rPr>
          <w:rFonts w:ascii="Arial" w:cs="Arial" w:eastAsia="Arial" w:hAnsi="Arial"/>
          <w:sz w:val="17"/>
          <w:szCs w:val="17"/>
          <w:color w:val="auto"/>
        </w:rPr>
        <w:t>. In addition, on the basis of the representations and warranties herein contained and subject to the terms and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herein set forth, the Company hereby grants an option to the Underwriters, severally and not jointly, to purchase up to an additional 840,000 shares of Common Stock, at the price per share set forth in Schedule A, less an amount per share equal to any dividends or distributions declared by the Company and payable on the Initial Securities but not payable on the Option Securities to cover over-allotments. The option hereby granted may be exercised for 30 days after the date hereof and may be exercised in whole or in part at any time and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w:t>
      </w:r>
      <w:r>
        <w:rPr>
          <w:rFonts w:ascii="Arial" w:cs="Arial" w:eastAsia="Arial" w:hAnsi="Arial"/>
          <w:sz w:val="17"/>
          <w:szCs w:val="17"/>
          <w:b w:val="1"/>
          <w:bCs w:val="1"/>
          <w:color w:val="auto"/>
        </w:rPr>
        <w:t>Date of Delivery</w:t>
      </w:r>
      <w:r>
        <w:rPr>
          <w:rFonts w:ascii="Arial" w:cs="Arial" w:eastAsia="Arial" w:hAnsi="Arial"/>
          <w:sz w:val="17"/>
          <w:szCs w:val="17"/>
          <w:color w:val="auto"/>
        </w:rPr>
        <w:t>”) shall be determined by the Representatives, but shall not be later than seven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sole discretion shall make to eliminate any sales or purchases of fractional shares.</w:t>
      </w:r>
    </w:p>
    <w:p>
      <w:pPr>
        <w:spacing w:after="0" w:line="178" w:lineRule="exact"/>
        <w:rPr>
          <w:rFonts w:ascii="Arial" w:cs="Arial" w:eastAsia="Arial" w:hAnsi="Arial"/>
          <w:sz w:val="17"/>
          <w:szCs w:val="17"/>
          <w:color w:val="auto"/>
        </w:rPr>
      </w:pPr>
    </w:p>
    <w:p>
      <w:pPr>
        <w:ind w:right="20" w:firstLine="436"/>
        <w:spacing w:after="0" w:line="277"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Payment of the purchase price for, and delivery of certificates or security entitlements for, the Initial Securities shall be made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of Shearman &amp; Sterling LLP, 599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2" w:name="page23"/>
    <w:bookmarkEnd w:id="22"/>
    <w:p>
      <w:pPr>
        <w:jc w:val="both"/>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Lexington Avenue, New York, New York 10022, or at such other place as shall be agreed upon by the Representatives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the “</w:t>
      </w:r>
      <w:r>
        <w:rPr>
          <w:rFonts w:ascii="Arial" w:cs="Arial" w:eastAsia="Arial" w:hAnsi="Arial"/>
          <w:sz w:val="16"/>
          <w:szCs w:val="16"/>
          <w:b w:val="1"/>
          <w:bCs w:val="1"/>
          <w:color w:val="auto"/>
        </w:rPr>
        <w:t>Closing Time</w:t>
      </w:r>
      <w:r>
        <w:rPr>
          <w:rFonts w:ascii="Arial" w:cs="Arial" w:eastAsia="Arial" w:hAnsi="Arial"/>
          <w:sz w:val="16"/>
          <w:szCs w:val="16"/>
          <w:color w:val="auto"/>
        </w:rPr>
        <w:t>”).</w:t>
      </w:r>
    </w:p>
    <w:p>
      <w:pPr>
        <w:spacing w:after="0" w:line="157"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by the Representatives and the Company, on each Date of Delivery as specified in the notice from the Representatives to the Company.</w:t>
      </w:r>
    </w:p>
    <w:p>
      <w:pPr>
        <w:spacing w:after="0" w:line="149" w:lineRule="exact"/>
        <w:rPr>
          <w:sz w:val="20"/>
          <w:szCs w:val="20"/>
          <w:color w:val="auto"/>
        </w:rPr>
      </w:pPr>
    </w:p>
    <w:p>
      <w:pPr>
        <w:jc w:val="both"/>
        <w:ind w:firstLine="440"/>
        <w:spacing w:after="0" w:line="291" w:lineRule="auto"/>
        <w:rPr>
          <w:sz w:val="20"/>
          <w:szCs w:val="20"/>
          <w:color w:val="auto"/>
        </w:rPr>
      </w:pPr>
      <w:r>
        <w:rPr>
          <w:rFonts w:ascii="Arial" w:cs="Arial" w:eastAsia="Arial" w:hAnsi="Arial"/>
          <w:sz w:val="16"/>
          <w:szCs w:val="16"/>
          <w:color w:val="auto"/>
        </w:rPr>
        <w:t>Payment shall be made to the Company by wire transfer of immediately available funds to a bank account designated by the Company against delivery to the Representatives for the respective accounts of the Underwriters of certificates or security entitlements for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Each of the Representatives, individually and not as a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each Underwriter as follows:</w:t>
      </w:r>
    </w:p>
    <w:p>
      <w:pPr>
        <w:spacing w:after="0" w:line="225" w:lineRule="exact"/>
        <w:rPr>
          <w:sz w:val="20"/>
          <w:szCs w:val="20"/>
          <w:color w:val="auto"/>
        </w:rPr>
      </w:pPr>
    </w:p>
    <w:p>
      <w:pPr>
        <w:jc w:val="both"/>
        <w:ind w:firstLine="436"/>
        <w:spacing w:after="0" w:line="286" w:lineRule="auto"/>
        <w:tabs>
          <w:tab w:leader="none" w:pos="685"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 Section 3(b), will comply with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of Rule 430B, and will promptly notify the Representatives, and confirm the notice in writing (which may be by email),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as soon as practicable.</w:t>
      </w:r>
    </w:p>
    <w:p>
      <w:pPr>
        <w:spacing w:after="0" w:line="170" w:lineRule="exact"/>
        <w:rPr>
          <w:rFonts w:ascii="Arial" w:cs="Arial" w:eastAsia="Arial" w:hAnsi="Arial"/>
          <w:sz w:val="16"/>
          <w:szCs w:val="16"/>
          <w:color w:val="auto"/>
        </w:rPr>
      </w:pPr>
    </w:p>
    <w:p>
      <w:pPr>
        <w:jc w:val="both"/>
        <w:ind w:right="20" w:firstLine="436"/>
        <w:spacing w:after="0" w:line="263"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Continued Compliance with Securities Laws</w:t>
      </w:r>
      <w:r>
        <w:rPr>
          <w:rFonts w:ascii="Arial" w:cs="Arial" w:eastAsia="Arial" w:hAnsi="Arial"/>
          <w:sz w:val="18"/>
          <w:szCs w:val="18"/>
          <w:color w:val="auto"/>
        </w:rPr>
        <w:t>. The Company will comply with the 1933 Act, the 1933 Act Regulations, the 1934 Act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1934 Act Regulations so as to permit the completion of the distribution of the Securities as contemplated in this Agreement and in the Registration Statement,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3" w:name="page24"/>
    <w:bookmarkEnd w:id="23"/>
    <w:p>
      <w:pPr>
        <w:jc w:val="both"/>
        <w:ind w:left="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General Disclosure Package and the Prospectus. If at any time when a prospectus relating to the Securities is (or, but for the exception afforded by Rule 172 of the 1933 Act Regulations (“</w:t>
      </w:r>
      <w:r>
        <w:rPr>
          <w:rFonts w:ascii="Arial" w:cs="Arial" w:eastAsia="Arial" w:hAnsi="Arial"/>
          <w:sz w:val="16"/>
          <w:szCs w:val="16"/>
          <w:b w:val="1"/>
          <w:bCs w:val="1"/>
          <w:color w:val="auto"/>
        </w:rPr>
        <w:t>Rule 172</w:t>
      </w:r>
      <w:r>
        <w:rPr>
          <w:rFonts w:ascii="Arial" w:cs="Arial" w:eastAsia="Arial" w:hAnsi="Arial"/>
          <w:sz w:val="16"/>
          <w:szCs w:val="16"/>
          <w:color w:val="auto"/>
        </w:rPr>
        <w:t>”), would be) required by the 1933 Act to be delivered in connection with sales of the Securities, any event shall occur or condition shall exist as a result of which it is necessary, in the opinion of counsel for the Underwriters or for the Company, to</w:t>
      </w:r>
    </w:p>
    <w:p>
      <w:pPr>
        <w:spacing w:after="0" w:line="2" w:lineRule="exact"/>
        <w:rPr>
          <w:sz w:val="20"/>
          <w:szCs w:val="20"/>
          <w:color w:val="auto"/>
        </w:rPr>
      </w:pPr>
    </w:p>
    <w:p>
      <w:pPr>
        <w:jc w:val="both"/>
        <w:ind w:left="4" w:hanging="4"/>
        <w:spacing w:after="0" w:line="281" w:lineRule="auto"/>
        <w:tabs>
          <w:tab w:leader="none" w:pos="2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w:t>
      </w:r>
    </w:p>
    <w:p>
      <w:pPr>
        <w:spacing w:after="0" w:line="3" w:lineRule="exact"/>
        <w:rPr>
          <w:rFonts w:ascii="Arial" w:cs="Arial" w:eastAsia="Arial" w:hAnsi="Arial"/>
          <w:sz w:val="16"/>
          <w:szCs w:val="16"/>
          <w:color w:val="auto"/>
        </w:rPr>
      </w:pPr>
    </w:p>
    <w:p>
      <w:pPr>
        <w:jc w:val="both"/>
        <w:ind w:left="4"/>
        <w:spacing w:after="0" w:line="268" w:lineRule="auto"/>
        <w:rPr>
          <w:rFonts w:ascii="Arial" w:cs="Arial" w:eastAsia="Arial" w:hAnsi="Arial"/>
          <w:sz w:val="16"/>
          <w:szCs w:val="16"/>
          <w:color w:val="auto"/>
        </w:rPr>
      </w:pPr>
      <w:r>
        <w:rPr>
          <w:rFonts w:ascii="Arial" w:cs="Arial" w:eastAsia="Arial" w:hAnsi="Arial"/>
          <w:sz w:val="17"/>
          <w:szCs w:val="17"/>
          <w:color w:val="auto"/>
        </w:rPr>
        <w:t>(A)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object. The Company will furnish to the Underwriters such number of copies of such amendment or supplement as the Underwriters may reasonably request. The Company has given the Representatives notice of any filings made pursuant to the 1934 Act or 1934 Act Regulations within 24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w:t>
      </w:r>
    </w:p>
    <w:p>
      <w:pPr>
        <w:spacing w:after="0" w:line="178" w:lineRule="exact"/>
        <w:rPr>
          <w:rFonts w:ascii="Arial" w:cs="Arial" w:eastAsia="Arial" w:hAnsi="Arial"/>
          <w:sz w:val="16"/>
          <w:szCs w:val="16"/>
          <w:color w:val="auto"/>
        </w:rPr>
      </w:pPr>
    </w:p>
    <w:p>
      <w:pPr>
        <w:jc w:val="both"/>
        <w:ind w:left="4" w:right="20" w:firstLine="436"/>
        <w:spacing w:after="0" w:line="272" w:lineRule="auto"/>
        <w:tabs>
          <w:tab w:leader="none" w:pos="702"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Delivery of Registration Statements</w:t>
      </w:r>
      <w:r>
        <w:rPr>
          <w:rFonts w:ascii="Arial" w:cs="Arial" w:eastAsia="Arial" w:hAnsi="Arial"/>
          <w:sz w:val="17"/>
          <w:szCs w:val="17"/>
          <w:color w:val="auto"/>
        </w:rPr>
        <w:t>. The Company has furnished or will deliver to the Representatives and counsel for the Underwriters, if</w:t>
      </w:r>
      <w:r>
        <w:rPr>
          <w:rFonts w:ascii="Arial" w:cs="Arial" w:eastAsia="Arial" w:hAnsi="Arial"/>
          <w:sz w:val="17"/>
          <w:szCs w:val="17"/>
          <w:i w:val="1"/>
          <w:iCs w:val="1"/>
          <w:color w:val="auto"/>
        </w:rPr>
        <w:t xml:space="preserve"> </w:t>
      </w:r>
      <w:r>
        <w:rPr>
          <w:rFonts w:ascii="Arial" w:cs="Arial" w:eastAsia="Arial" w:hAnsi="Arial"/>
          <w:sz w:val="17"/>
          <w:szCs w:val="17"/>
          <w:color w:val="auto"/>
        </w:rPr>
        <w:t>requested, without charge, signed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Representatives, if requested,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77" w:lineRule="exact"/>
        <w:rPr>
          <w:rFonts w:ascii="Arial" w:cs="Arial" w:eastAsia="Arial" w:hAnsi="Arial"/>
          <w:sz w:val="17"/>
          <w:szCs w:val="17"/>
          <w:color w:val="auto"/>
        </w:rPr>
      </w:pPr>
    </w:p>
    <w:p>
      <w:pPr>
        <w:jc w:val="both"/>
        <w:ind w:left="4" w:firstLine="436"/>
        <w:spacing w:after="0" w:line="293" w:lineRule="auto"/>
        <w:tabs>
          <w:tab w:leader="none" w:pos="699"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Delivery of Prospectuses</w:t>
      </w:r>
      <w:r>
        <w:rPr>
          <w:rFonts w:ascii="Arial" w:cs="Arial" w:eastAsia="Arial" w:hAnsi="Arial"/>
          <w:sz w:val="16"/>
          <w:szCs w:val="16"/>
          <w:color w:val="auto"/>
        </w:rPr>
        <w:t>. The Company has delivered to each Underwriter, without charge, as many copies of each preliminary prospectus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64" w:lineRule="exact"/>
        <w:rPr>
          <w:rFonts w:ascii="Arial" w:cs="Arial" w:eastAsia="Arial" w:hAnsi="Arial"/>
          <w:sz w:val="16"/>
          <w:szCs w:val="16"/>
          <w:color w:val="auto"/>
        </w:rPr>
      </w:pPr>
    </w:p>
    <w:p>
      <w:pPr>
        <w:ind w:left="4" w:right="20" w:firstLine="436"/>
        <w:spacing w:after="0" w:line="277" w:lineRule="auto"/>
        <w:tabs>
          <w:tab w:leader="none" w:pos="689"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Blue Sky Qualifications</w:t>
      </w:r>
      <w:r>
        <w:rPr>
          <w:rFonts w:ascii="Arial" w:cs="Arial" w:eastAsia="Arial" w:hAnsi="Arial"/>
          <w:sz w:val="18"/>
          <w:szCs w:val="18"/>
          <w:color w:val="auto"/>
        </w:rPr>
        <w:t>. The Company will use its reasonable best efforts, in cooperation with the Underwriters, to qualify the Securities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and sale under the applicable securities laws of</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4" w:right="4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states and other jurisdictions (domestic or foreign)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7" w:lineRule="exact"/>
        <w:rPr>
          <w:sz w:val="20"/>
          <w:szCs w:val="20"/>
          <w:color w:val="auto"/>
        </w:rPr>
      </w:pPr>
    </w:p>
    <w:p>
      <w:pPr>
        <w:jc w:val="both"/>
        <w:ind w:right="20" w:firstLine="436"/>
        <w:spacing w:after="0" w:line="263" w:lineRule="auto"/>
        <w:tabs>
          <w:tab w:leader="none" w:pos="679"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Rule 158</w:t>
      </w:r>
      <w:r>
        <w:rPr>
          <w:rFonts w:ascii="Arial" w:cs="Arial" w:eastAsia="Arial" w:hAnsi="Arial"/>
          <w:sz w:val="18"/>
          <w:szCs w:val="18"/>
          <w:color w:val="auto"/>
        </w:rPr>
        <w:t>. The Company will timely file such reports pursuant to the 1934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the Underwriters the benefits contemplated by, the last paragraph of Section 11(a) of the 1933 Act.</w:t>
      </w:r>
    </w:p>
    <w:p>
      <w:pPr>
        <w:spacing w:after="0" w:line="183" w:lineRule="exact"/>
        <w:rPr>
          <w:rFonts w:ascii="Arial" w:cs="Arial" w:eastAsia="Arial" w:hAnsi="Arial"/>
          <w:sz w:val="18"/>
          <w:szCs w:val="18"/>
          <w:color w:val="auto"/>
        </w:rPr>
      </w:pPr>
    </w:p>
    <w:p>
      <w:pPr>
        <w:ind w:right="20" w:firstLine="436"/>
        <w:spacing w:after="0" w:line="277" w:lineRule="auto"/>
        <w:tabs>
          <w:tab w:leader="none" w:pos="722"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General Disclosure Package and the Prospectus under “Use of Proceeds.”</w:t>
      </w:r>
    </w:p>
    <w:p>
      <w:pPr>
        <w:spacing w:after="0" w:line="170" w:lineRule="exact"/>
        <w:rPr>
          <w:rFonts w:ascii="Arial" w:cs="Arial" w:eastAsia="Arial" w:hAnsi="Arial"/>
          <w:sz w:val="18"/>
          <w:szCs w:val="18"/>
          <w:color w:val="auto"/>
        </w:rPr>
      </w:pPr>
    </w:p>
    <w:p>
      <w:pPr>
        <w:ind w:right="20" w:firstLine="436"/>
        <w:spacing w:after="0" w:line="277"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 will use its reasonable best efforts to effect and maintain the listing of the Common Stock (including the Securities)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Nasdaq Global Select Market or Nasdaq Global Market.</w:t>
      </w:r>
    </w:p>
    <w:p>
      <w:pPr>
        <w:spacing w:after="0" w:line="170" w:lineRule="exact"/>
        <w:rPr>
          <w:rFonts w:ascii="Arial" w:cs="Arial" w:eastAsia="Arial" w:hAnsi="Arial"/>
          <w:sz w:val="18"/>
          <w:szCs w:val="18"/>
          <w:color w:val="auto"/>
        </w:rPr>
      </w:pPr>
    </w:p>
    <w:p>
      <w:pPr>
        <w:jc w:val="both"/>
        <w:ind w:right="20" w:firstLine="436"/>
        <w:spacing w:after="0" w:line="284"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Restriction on Sale of Securities</w:t>
      </w:r>
      <w:r>
        <w:rPr>
          <w:rFonts w:ascii="Arial" w:cs="Arial" w:eastAsia="Arial" w:hAnsi="Arial"/>
          <w:sz w:val="16"/>
          <w:szCs w:val="16"/>
          <w:color w:val="auto"/>
        </w:rPr>
        <w:t>. During a period of 90 days from the date of the Prospectus, the Company will not, without the prior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or (iii) publicly disclose the intention to do any of the foregoing described in clauses (i) and (ii). The foregoing sentence shall not apply to (A) the Securities to be sold hereunder, (B) any shares of Common Stock issued by the Company upon the exercise of an option or warrant or the conversion of a security, in each case, outstanding on the date hereof and referred to in the Registration Statement, the General Disclosure Package and the Prospectus, (C) the reacquisition or withholding of all or a portion of shares of Common Stock subject to a stock award to satisfy a tax withholding obligation of the Company in connection with the vesting or exercise of such stock award or to satisfy the purchase price or exercise price of such stock award, (D) the grant of compensatory equity-based awards, and/or the issuance of shares of Common Stock with respect thereto, made pursuant to compensatory equity-based plans referred to in the Registration Statement, the General Disclosure Package and the Prospectus, (E) any shares of Common Stock issued pursuant to any non-employee director compensation plan or program or dividend reinvestment plan referred to in the Registration Statement, the General Disclosure Package and the Prospectus, (F) the filing of a registration statement on Form S-8 or any successor form thereto with respect to the registration of securities to be offered under any employee benefit or equity incentive plans of the Company referred to in the Registration Statement, the General Disclosure Package and the Prospectus, (G) the issuance of shares of Common Stock, restricted stock awards or securities convertible into or exercisable or exchangeable for shares of Common Stock in connection with (i) the acquisition of the securities, business, property or other assets of another Person or pursuant to any employee benefit plan assumed in connection with any such acquisition, (ii) joint ventures, (iii) commercial relationships or (iv) other strategic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number of shares of Common Stock, restricted stock awards and shares of Common Stock issuable upon the conversion, exercise or exchange of securities (on an as converted or as exercised basis, as the case may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5" w:name="page26"/>
    <w:bookmarkEnd w:id="25"/>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issued pursuant to this clause (G) shall not exceed 5% of the total number of shares of Common Stock issued and outstanding immediately following the issuance and sale of the Securities at the Closing Time pursuant hereto or (H) shares of Common Stock sold pursuant to that certain Open Market Sale AgreementSM by and between the Registrant and Jefferies LLC (provided that no disclosure of such sales shall occur prior to the 91st day from the date of the Prospectus);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each recipient of shares of Common Stock, restricted stock awards or securities convertible into or exercisable or exchangeable for shares of Common Stock pursuant to this clause agrees to be bound by the terms of the lock-up or shall execute a lock-up agreement substantially in the form of Exhibit A hereto.</w:t>
      </w:r>
    </w:p>
    <w:p>
      <w:pPr>
        <w:spacing w:after="0" w:line="178" w:lineRule="exact"/>
        <w:rPr>
          <w:sz w:val="20"/>
          <w:szCs w:val="20"/>
          <w:color w:val="auto"/>
        </w:rPr>
      </w:pPr>
    </w:p>
    <w:p>
      <w:pPr>
        <w:ind w:left="660" w:hanging="22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right="20" w:firstLine="436"/>
        <w:spacing w:after="0" w:line="263"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(or, but for the exception afforded by</w:t>
      </w:r>
      <w:r>
        <w:rPr>
          <w:rFonts w:ascii="Arial" w:cs="Arial" w:eastAsia="Arial" w:hAnsi="Arial"/>
          <w:sz w:val="18"/>
          <w:szCs w:val="18"/>
          <w:i w:val="1"/>
          <w:iCs w:val="1"/>
          <w:color w:val="auto"/>
        </w:rPr>
        <w:t xml:space="preserve"> </w:t>
      </w:r>
      <w:r>
        <w:rPr>
          <w:rFonts w:ascii="Arial" w:cs="Arial" w:eastAsia="Arial" w:hAnsi="Arial"/>
          <w:sz w:val="18"/>
          <w:szCs w:val="18"/>
          <w:color w:val="auto"/>
        </w:rPr>
        <w:t>Rule 172, would be) required to be delivered under the 1933 Act, will file all documents required to be filed with the Commission pursuant to the 1934 Act within the time periods required by the 1934 Act and 1934 Act Regulations.</w:t>
      </w:r>
    </w:p>
    <w:p>
      <w:pPr>
        <w:spacing w:after="0" w:line="183" w:lineRule="exact"/>
        <w:rPr>
          <w:rFonts w:ascii="Arial" w:cs="Arial" w:eastAsia="Arial" w:hAnsi="Arial"/>
          <w:sz w:val="18"/>
          <w:szCs w:val="18"/>
          <w:color w:val="auto"/>
        </w:rPr>
      </w:pPr>
    </w:p>
    <w:p>
      <w:pPr>
        <w:jc w:val="both"/>
        <w:ind w:firstLine="436"/>
        <w:spacing w:after="0" w:line="286"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Prospectuses</w:t>
      </w:r>
      <w:r>
        <w:rPr>
          <w:rFonts w:ascii="Arial" w:cs="Arial" w:eastAsia="Arial" w:hAnsi="Arial"/>
          <w:sz w:val="16"/>
          <w:szCs w:val="16"/>
          <w:color w:val="auto"/>
        </w:rPr>
        <w:t>. The Company agrees that, unless it obtains the prior written consent of the Representatives, it will not make</w:t>
      </w:r>
      <w:r>
        <w:rPr>
          <w:rFonts w:ascii="Arial" w:cs="Arial" w:eastAsia="Arial" w:hAnsi="Arial"/>
          <w:sz w:val="16"/>
          <w:szCs w:val="16"/>
          <w:i w:val="1"/>
          <w:iCs w:val="1"/>
          <w:color w:val="auto"/>
        </w:rPr>
        <w:t xml:space="preserve"> </w:t>
      </w:r>
      <w:r>
        <w:rPr>
          <w:rFonts w:ascii="Arial" w:cs="Arial" w:eastAsia="Arial" w:hAnsi="Arial"/>
          <w:sz w:val="16"/>
          <w:szCs w:val="16"/>
          <w:color w:val="auto"/>
        </w:rPr>
        <w:t>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B-2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which has not been superseded or modified,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 provided, however, that the Company shall not be required to notify the Representatives of any statements or omissions in the Issuer Free Writing Prospectus prepared or authorized by the Company made in reliance upon and in conformity with the Underwriter Information .</w:t>
      </w:r>
    </w:p>
    <w:p>
      <w:pPr>
        <w:spacing w:after="0" w:line="167" w:lineRule="exact"/>
        <w:rPr>
          <w:rFonts w:ascii="Arial" w:cs="Arial" w:eastAsia="Arial" w:hAnsi="Arial"/>
          <w:sz w:val="16"/>
          <w:szCs w:val="16"/>
          <w:color w:val="auto"/>
        </w:rPr>
      </w:pPr>
    </w:p>
    <w:p>
      <w:pPr>
        <w:jc w:val="both"/>
        <w:ind w:right="20" w:firstLine="436"/>
        <w:spacing w:after="0" w:line="279" w:lineRule="auto"/>
        <w:tabs>
          <w:tab w:leader="none" w:pos="799"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Certification Regarding Beneficial Owners</w:t>
      </w:r>
      <w:r>
        <w:rPr>
          <w:rFonts w:ascii="Arial" w:cs="Arial" w:eastAsia="Arial" w:hAnsi="Arial"/>
          <w:sz w:val="17"/>
          <w:szCs w:val="17"/>
          <w:color w:val="auto"/>
        </w:rPr>
        <w:t>. The Company will deliver to the Representatives upon the reasonable request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on the date of execution of this Agreement, a properly completed and executed Certification Regarding Beneficial Owners of Legal Entity Customers, together with copies of identifying documentation, and the Company undertakes to provide such additional supporting documentation as the Representatives may reasonably request in connection with the verification of the foregoing certification.</w:t>
      </w:r>
    </w:p>
    <w:p>
      <w:pPr>
        <w:spacing w:after="0" w:line="171" w:lineRule="exact"/>
        <w:rPr>
          <w:rFonts w:ascii="Arial" w:cs="Arial" w:eastAsia="Arial" w:hAnsi="Arial"/>
          <w:sz w:val="17"/>
          <w:szCs w:val="17"/>
          <w:color w:val="auto"/>
        </w:rPr>
      </w:pPr>
    </w:p>
    <w:p>
      <w:pPr>
        <w:jc w:val="both"/>
        <w:ind w:firstLine="436"/>
        <w:spacing w:after="0" w:line="259" w:lineRule="auto"/>
        <w:tabs>
          <w:tab w:leader="none" w:pos="709"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Testing-the-Waters Materials</w:t>
      </w:r>
      <w:r>
        <w:rPr>
          <w:rFonts w:ascii="Arial" w:cs="Arial" w:eastAsia="Arial" w:hAnsi="Arial"/>
          <w:sz w:val="18"/>
          <w:szCs w:val="18"/>
          <w:color w:val="auto"/>
        </w:rPr>
        <w:t>. If at any time following the distribution of any Written Testing-the-Waters Communication there occurred or</w:t>
      </w:r>
      <w:r>
        <w:rPr>
          <w:rFonts w:ascii="Arial" w:cs="Arial" w:eastAsia="Arial" w:hAnsi="Arial"/>
          <w:sz w:val="18"/>
          <w:szCs w:val="18"/>
          <w:i w:val="1"/>
          <w:iCs w:val="1"/>
          <w:color w:val="auto"/>
        </w:rPr>
        <w:t xml:space="preserve"> </w:t>
      </w:r>
      <w:r>
        <w:rPr>
          <w:rFonts w:ascii="Arial" w:cs="Arial" w:eastAsia="Arial" w:hAnsi="Arial"/>
          <w:sz w:val="18"/>
          <w:szCs w:val="18"/>
          <w:color w:val="auto"/>
        </w:rPr>
        <w:t>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6" w:name="page27"/>
    <w:bookmarkEnd w:id="26"/>
    <w:p>
      <w:pPr>
        <w:jc w:val="both"/>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notify the Representatives and, if so determined by the Company and the Representatives in their reasonable judgment, will promptly amend or supplement, at its own expense, such Written Testing-the-Waters Communication to eliminate or correct such untrue statement or omission; provided, however, that this covenant shall not apply to any statements or omissions in a Written Testing-the-Waters Communication prepared or authorized by the Company made in reliance upon and in conformity with the Underwriter Information.</w:t>
      </w:r>
    </w:p>
    <w:p>
      <w:pPr>
        <w:spacing w:after="0" w:line="187" w:lineRule="exact"/>
        <w:rPr>
          <w:sz w:val="20"/>
          <w:szCs w:val="20"/>
          <w:color w:val="auto"/>
        </w:rPr>
      </w:pPr>
    </w:p>
    <w:p>
      <w:pPr>
        <w:jc w:val="both"/>
        <w:ind w:left="4" w:right="20" w:firstLine="436"/>
        <w:spacing w:after="0" w:line="263" w:lineRule="auto"/>
        <w:tabs>
          <w:tab w:leader="none" w:pos="699"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Emerging Growth Company Status</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(i) completion of the distribution of the Securities within the meaning of the 1933 Act and (ii) completion of the 90-day restricted period referred to in Section 3(i).</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sz w:val="20"/>
          <w:szCs w:val="20"/>
          <w:color w:val="auto"/>
        </w:rPr>
      </w:pPr>
    </w:p>
    <w:p>
      <w:pPr>
        <w:jc w:val="both"/>
        <w:ind w:left="4" w:firstLine="436"/>
        <w:spacing w:after="0" w:line="284" w:lineRule="auto"/>
        <w:tabs>
          <w:tab w:leader="none" w:pos="716"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its obligations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reasonable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subject to the limitation set forth in clause (viii) below, 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and 50% of the cost of aircraft and other transportation chartered in connection with the road show, if any (it being understood that the Underwriters will pay or cause to be paid the travel and lodging expenses of their representatives), (viii) the filing fees incident to, and the reasonable fees and disbursements of counsel to the Underwriters in connection with, the review by FINRA of the terms of the sale of the Securities; provided that the amount payable by the Company pursuant to this clause (viii) and clause (v) above shall not exceed $30,000 in the aggregate, (ix) the fees and expenses incurred in connection with the listing of the Securities on the Nasdaq Global Select Market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w:t>
      </w:r>
    </w:p>
    <w:p>
      <w:pPr>
        <w:spacing w:after="0" w:line="181" w:lineRule="exact"/>
        <w:rPr>
          <w:rFonts w:ascii="Arial" w:cs="Arial" w:eastAsia="Arial" w:hAnsi="Arial"/>
          <w:sz w:val="16"/>
          <w:szCs w:val="16"/>
          <w:color w:val="auto"/>
        </w:rPr>
      </w:pPr>
    </w:p>
    <w:p>
      <w:pPr>
        <w:ind w:left="704" w:hanging="264"/>
        <w:spacing w:after="0"/>
        <w:tabs>
          <w:tab w:leader="none" w:pos="704"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this Agreement is terminated by the Representatives in accordance with the provisions of Section 5, Section 9(a)</w:t>
      </w:r>
    </w:p>
    <w:p>
      <w:pPr>
        <w:spacing w:after="0" w:line="46" w:lineRule="exact"/>
        <w:rPr>
          <w:rFonts w:ascii="Arial" w:cs="Arial" w:eastAsia="Arial" w:hAnsi="Arial"/>
          <w:sz w:val="16"/>
          <w:szCs w:val="16"/>
          <w:color w:val="auto"/>
        </w:rPr>
      </w:pPr>
    </w:p>
    <w:p>
      <w:pPr>
        <w:ind w:left="4" w:hanging="4"/>
        <w:spacing w:after="0" w:line="260" w:lineRule="auto"/>
        <w:tabs>
          <w:tab w:leader="none" w:pos="2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 (iii) or Section 10 hereof, the Company shall reimburse the Underwriters for their reasonable and documented out-of-pocket expenses, including the reasonable and documented fees and disbursements of counsel for the Underwriters; provided that, if this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4"/>
          </w:cols>
          <w:pgMar w:left="436" w:top="274" w:right="4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is terminated by the Representatives pursuant to Section 10 hereof, the Company will have no obligation to reimburse any defaulting Underwriter.</w:t>
      </w:r>
    </w:p>
    <w:p>
      <w:pPr>
        <w:spacing w:after="0" w:line="170"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187" w:lineRule="exact"/>
        <w:rPr>
          <w:sz w:val="20"/>
          <w:szCs w:val="20"/>
          <w:color w:val="auto"/>
        </w:rPr>
      </w:pPr>
    </w:p>
    <w:p>
      <w:pPr>
        <w:jc w:val="both"/>
        <w:ind w:firstLine="436"/>
        <w:spacing w:after="0" w:line="275" w:lineRule="auto"/>
        <w:tabs>
          <w:tab w:leader="none" w:pos="685"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Effectiveness of Registration Statement</w:t>
      </w:r>
      <w:r>
        <w:rPr>
          <w:rFonts w:ascii="Arial" w:cs="Arial" w:eastAsia="Arial" w:hAnsi="Arial"/>
          <w:sz w:val="17"/>
          <w:szCs w:val="17"/>
          <w:color w:val="auto"/>
        </w:rPr>
        <w:t>. The Registration Statement, including any Rule 462(b) Registration Statement, has become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by the Commission; and the Company has complied with each request (if any) from the Commission for additional information.</w:t>
      </w:r>
    </w:p>
    <w:p>
      <w:pPr>
        <w:spacing w:after="0" w:line="176" w:lineRule="exact"/>
        <w:rPr>
          <w:rFonts w:ascii="Arial" w:cs="Arial" w:eastAsia="Arial" w:hAnsi="Arial"/>
          <w:sz w:val="17"/>
          <w:szCs w:val="17"/>
          <w:color w:val="auto"/>
        </w:rPr>
      </w:pPr>
    </w:p>
    <w:p>
      <w:pPr>
        <w:ind w:left="700" w:hanging="264"/>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Opinions of Counsel for Company</w:t>
      </w:r>
      <w:r>
        <w:rPr>
          <w:rFonts w:ascii="Arial" w:cs="Arial" w:eastAsia="Arial" w:hAnsi="Arial"/>
          <w:sz w:val="18"/>
          <w:szCs w:val="18"/>
          <w:color w:val="auto"/>
        </w:rPr>
        <w:t>. At the Closing Time, the Representatives shall have received:</w:t>
      </w:r>
    </w:p>
    <w:p>
      <w:pPr>
        <w:spacing w:after="0" w:line="117" w:lineRule="exact"/>
        <w:rPr>
          <w:rFonts w:ascii="Arial" w:cs="Arial" w:eastAsia="Arial" w:hAnsi="Arial"/>
          <w:sz w:val="18"/>
          <w:szCs w:val="18"/>
          <w:color w:val="auto"/>
        </w:rPr>
      </w:pPr>
    </w:p>
    <w:p>
      <w:pPr>
        <w:jc w:val="both"/>
        <w:ind w:left="440" w:firstLine="419"/>
        <w:spacing w:after="0" w:line="263" w:lineRule="auto"/>
        <w:tabs>
          <w:tab w:leader="none" w:pos="1083"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opinion and negative assurance letter, each dated the Closing Time, of Gunderson Dettmer Stough Villeneuve Franklin &amp; Hachigian, LLP, counsel for the Company, in form and substance reasonably satisfactory to counsel for the Underwriters, together with signed or reproduced copies of such letter for each of the other Underwriters;</w:t>
      </w:r>
    </w:p>
    <w:p>
      <w:pPr>
        <w:spacing w:after="0" w:line="75" w:lineRule="exact"/>
        <w:rPr>
          <w:rFonts w:ascii="Arial" w:cs="Arial" w:eastAsia="Arial" w:hAnsi="Arial"/>
          <w:sz w:val="18"/>
          <w:szCs w:val="18"/>
          <w:color w:val="auto"/>
        </w:rPr>
      </w:pPr>
    </w:p>
    <w:p>
      <w:pPr>
        <w:jc w:val="both"/>
        <w:ind w:left="440" w:right="20" w:firstLine="419"/>
        <w:spacing w:after="0" w:line="263" w:lineRule="auto"/>
        <w:tabs>
          <w:tab w:leader="none" w:pos="1137"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opinions, dated the Closing Time, of (i) Hogan Lovells US LLP and (ii) Hogan Lovells International LLP, each, regulatory counsel for the Company, in form and substance reasonably satisfactory to counsel for the Underwriters, together with signed or reproduced copies of such letters for each of the other Underwriters; and</w:t>
      </w:r>
    </w:p>
    <w:p>
      <w:pPr>
        <w:spacing w:after="0" w:line="75" w:lineRule="exact"/>
        <w:rPr>
          <w:rFonts w:ascii="Arial" w:cs="Arial" w:eastAsia="Arial" w:hAnsi="Arial"/>
          <w:sz w:val="18"/>
          <w:szCs w:val="18"/>
          <w:color w:val="auto"/>
        </w:rPr>
      </w:pPr>
    </w:p>
    <w:p>
      <w:pPr>
        <w:jc w:val="both"/>
        <w:ind w:left="440" w:right="20" w:firstLine="419"/>
        <w:spacing w:after="0" w:line="263" w:lineRule="auto"/>
        <w:tabs>
          <w:tab w:leader="none" w:pos="11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opinion, dated the Closing Time, of Knobbe Martens Olson &amp; Bear LLP, intellectual property counsel for the Company, in form and substance reasonably satisfactory to counsel for the Underwriters, together with signed or reproduced copies of such letter for each of the other Underwriters.</w:t>
      </w:r>
    </w:p>
    <w:p>
      <w:pPr>
        <w:spacing w:after="0" w:line="183" w:lineRule="exact"/>
        <w:rPr>
          <w:rFonts w:ascii="Arial" w:cs="Arial" w:eastAsia="Arial" w:hAnsi="Arial"/>
          <w:sz w:val="18"/>
          <w:szCs w:val="18"/>
          <w:color w:val="auto"/>
        </w:rPr>
      </w:pPr>
    </w:p>
    <w:p>
      <w:pPr>
        <w:jc w:val="both"/>
        <w:ind w:right="20" w:firstLine="436"/>
        <w:spacing w:after="0" w:line="263" w:lineRule="auto"/>
        <w:tabs>
          <w:tab w:leader="none" w:pos="68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Representatives shall have received the opinion and negative assurance letter,</w:t>
      </w:r>
      <w:r>
        <w:rPr>
          <w:rFonts w:ascii="Arial" w:cs="Arial" w:eastAsia="Arial" w:hAnsi="Arial"/>
          <w:sz w:val="18"/>
          <w:szCs w:val="18"/>
          <w:i w:val="1"/>
          <w:iCs w:val="1"/>
          <w:color w:val="auto"/>
        </w:rPr>
        <w:t xml:space="preserve"> </w:t>
      </w:r>
      <w:r>
        <w:rPr>
          <w:rFonts w:ascii="Arial" w:cs="Arial" w:eastAsia="Arial" w:hAnsi="Arial"/>
          <w:sz w:val="18"/>
          <w:szCs w:val="18"/>
          <w:color w:val="auto"/>
        </w:rPr>
        <w:t>dated the Closing Time, of Shearman &amp; Sterling LLP, counsel for the Underwriters, together with signed or reproduced copies of such letter for each of the other Underwriters, in form and substance reasonably satisfactory to the Underwriters.</w:t>
      </w:r>
    </w:p>
    <w:p>
      <w:pPr>
        <w:spacing w:after="0" w:line="183" w:lineRule="exact"/>
        <w:rPr>
          <w:rFonts w:ascii="Arial" w:cs="Arial" w:eastAsia="Arial" w:hAnsi="Arial"/>
          <w:sz w:val="18"/>
          <w:szCs w:val="18"/>
          <w:color w:val="auto"/>
        </w:rPr>
      </w:pPr>
    </w:p>
    <w:p>
      <w:pPr>
        <w:jc w:val="both"/>
        <w:ind w:right="20" w:firstLine="436"/>
        <w:spacing w:after="0" w:line="290" w:lineRule="auto"/>
        <w:tabs>
          <w:tab w:leader="none" w:pos="695"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At the Closing Time, there shall not have been, since the date hereof or since the respective dates as of which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Chief Executive Officer of the Company and of the chief financial or chief accounting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8" w:name="page29"/>
    <w:bookmarkEnd w:id="28"/>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Statement under the 1933 Act has been issued, no order preventing or suspending the use of any preliminary prospectus or the Prospectus has been issued and no proceedings for any of those purposes have been instituted or are pending or, to their knowledge, contemplated by the Commission.</w:t>
      </w:r>
    </w:p>
    <w:p>
      <w:pPr>
        <w:spacing w:after="0" w:line="184" w:lineRule="exact"/>
        <w:rPr>
          <w:sz w:val="20"/>
          <w:szCs w:val="20"/>
          <w:color w:val="auto"/>
        </w:rPr>
      </w:pPr>
    </w:p>
    <w:p>
      <w:pPr>
        <w:jc w:val="both"/>
        <w:ind w:right="20" w:firstLine="436"/>
        <w:spacing w:after="0" w:line="257" w:lineRule="auto"/>
        <w:tabs>
          <w:tab w:leader="none" w:pos="69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At the time of the execution of this Agreement, the Representatives shall have received from Ernst &amp; Young,</w:t>
      </w:r>
      <w:r>
        <w:rPr>
          <w:rFonts w:ascii="Arial" w:cs="Arial" w:eastAsia="Arial" w:hAnsi="Arial"/>
          <w:sz w:val="18"/>
          <w:szCs w:val="18"/>
          <w:i w:val="1"/>
          <w:iCs w:val="1"/>
          <w:color w:val="auto"/>
        </w:rPr>
        <w:t xml:space="preserve"> </w:t>
      </w:r>
      <w:r>
        <w:rPr>
          <w:rFonts w:ascii="Arial" w:cs="Arial" w:eastAsia="Arial" w:hAnsi="Arial"/>
          <w:sz w:val="18"/>
          <w:szCs w:val="18"/>
          <w:color w:val="auto"/>
        </w:rPr>
        <w:t>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87" w:lineRule="exact"/>
        <w:rPr>
          <w:rFonts w:ascii="Arial" w:cs="Arial" w:eastAsia="Arial" w:hAnsi="Arial"/>
          <w:sz w:val="18"/>
          <w:szCs w:val="18"/>
          <w:color w:val="auto"/>
        </w:rPr>
      </w:pPr>
    </w:p>
    <w:p>
      <w:pPr>
        <w:jc w:val="both"/>
        <w:ind w:right="20" w:firstLine="436"/>
        <w:spacing w:after="0" w:line="263" w:lineRule="auto"/>
        <w:tabs>
          <w:tab w:leader="none" w:pos="66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Representatives shall have received from Ernst &amp; Young, LLP a letter, dated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Time, to the effect that they reaffirm the statements made in the letter furnished pursuant to subsection (e) of this Section, except that the specified date referred to shall be a date not more than three business days prior to the Closing Time.</w:t>
      </w:r>
    </w:p>
    <w:p>
      <w:pPr>
        <w:spacing w:after="0" w:line="183" w:lineRule="exact"/>
        <w:rPr>
          <w:rFonts w:ascii="Arial" w:cs="Arial" w:eastAsia="Arial" w:hAnsi="Arial"/>
          <w:sz w:val="18"/>
          <w:szCs w:val="18"/>
          <w:color w:val="auto"/>
        </w:rPr>
      </w:pPr>
    </w:p>
    <w:p>
      <w:pPr>
        <w:ind w:right="20" w:firstLine="436"/>
        <w:spacing w:after="0" w:line="277"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 At the Closing Time, the Securities shall have been approved for listing on the Nasdaq Global Select Market, subject only</w:t>
      </w:r>
      <w:r>
        <w:rPr>
          <w:rFonts w:ascii="Arial" w:cs="Arial" w:eastAsia="Arial" w:hAnsi="Arial"/>
          <w:sz w:val="18"/>
          <w:szCs w:val="18"/>
          <w:i w:val="1"/>
          <w:iCs w:val="1"/>
          <w:color w:val="auto"/>
        </w:rPr>
        <w:t xml:space="preserve"> </w:t>
      </w:r>
      <w:r>
        <w:rPr>
          <w:rFonts w:ascii="Arial" w:cs="Arial" w:eastAsia="Arial" w:hAnsi="Arial"/>
          <w:sz w:val="18"/>
          <w:szCs w:val="18"/>
          <w:color w:val="auto"/>
        </w:rPr>
        <w:t>to official notice of issuance.</w:t>
      </w:r>
    </w:p>
    <w:p>
      <w:pPr>
        <w:spacing w:after="0" w:line="170" w:lineRule="exact"/>
        <w:rPr>
          <w:rFonts w:ascii="Arial" w:cs="Arial" w:eastAsia="Arial" w:hAnsi="Arial"/>
          <w:sz w:val="18"/>
          <w:szCs w:val="18"/>
          <w:color w:val="auto"/>
        </w:rPr>
      </w:pPr>
    </w:p>
    <w:p>
      <w:pPr>
        <w:ind w:firstLine="436"/>
        <w:spacing w:after="0" w:line="277" w:lineRule="auto"/>
        <w:tabs>
          <w:tab w:leader="none" w:pos="72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FINRA shall have confirmed that it has not raised any objection with respect to the fairness and reasonableness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 terms and arrangements relating to the offering of the Securities.</w:t>
      </w:r>
    </w:p>
    <w:p>
      <w:pPr>
        <w:spacing w:after="0" w:line="170" w:lineRule="exact"/>
        <w:rPr>
          <w:rFonts w:ascii="Arial" w:cs="Arial" w:eastAsia="Arial" w:hAnsi="Arial"/>
          <w:sz w:val="18"/>
          <w:szCs w:val="18"/>
          <w:color w:val="auto"/>
        </w:rPr>
      </w:pPr>
    </w:p>
    <w:p>
      <w:pPr>
        <w:ind w:right="20" w:firstLine="436"/>
        <w:spacing w:after="0" w:line="277" w:lineRule="auto"/>
        <w:tabs>
          <w:tab w:leader="none" w:pos="68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Representatives shall have received an agreement substantially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Exhibit A hereto signed by the persons listed on Schedule C hereto.</w:t>
      </w:r>
    </w:p>
    <w:p>
      <w:pPr>
        <w:spacing w:after="0" w:line="170" w:lineRule="exact"/>
        <w:rPr>
          <w:rFonts w:ascii="Arial" w:cs="Arial" w:eastAsia="Arial" w:hAnsi="Arial"/>
          <w:sz w:val="18"/>
          <w:szCs w:val="18"/>
          <w:color w:val="auto"/>
        </w:rPr>
      </w:pPr>
    </w:p>
    <w:p>
      <w:pPr>
        <w:ind w:right="20" w:firstLine="436"/>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Maintenance of Rating</w:t>
      </w:r>
      <w:r>
        <w:rPr>
          <w:rFonts w:ascii="Arial" w:cs="Arial" w:eastAsia="Arial" w:hAnsi="Arial"/>
          <w:sz w:val="18"/>
          <w:szCs w:val="18"/>
          <w:color w:val="auto"/>
        </w:rPr>
        <w:t>. Neither the Company nor its subsidiaries have any debt securities or preferred stock that are rated by any “nationally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statistical rating agency” (as defined in Section 3(a)(62) of the 1934 Act).</w:t>
      </w:r>
    </w:p>
    <w:p>
      <w:pPr>
        <w:spacing w:after="0" w:line="170" w:lineRule="exact"/>
        <w:rPr>
          <w:rFonts w:ascii="Arial" w:cs="Arial" w:eastAsia="Arial" w:hAnsi="Arial"/>
          <w:sz w:val="18"/>
          <w:szCs w:val="18"/>
          <w:color w:val="auto"/>
        </w:rPr>
      </w:pPr>
    </w:p>
    <w:p>
      <w:pPr>
        <w:jc w:val="both"/>
        <w:ind w:right="20" w:firstLine="436"/>
        <w:spacing w:after="0" w:line="263"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Chief Financial Officer’s Certificate</w:t>
      </w:r>
      <w:r>
        <w:rPr>
          <w:rFonts w:ascii="Arial" w:cs="Arial" w:eastAsia="Arial" w:hAnsi="Arial"/>
          <w:sz w:val="18"/>
          <w:szCs w:val="18"/>
          <w:color w:val="auto"/>
        </w:rPr>
        <w:t>. At the time of the execution of this Agreement and at the Closing Time, the Representatives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from the chief financial officer of the Company a certificate with respect to certain financial data contained in the General Disclosure Package and the Prospectus in a form reasonably satisfactory to the Underwriters.</w:t>
      </w:r>
    </w:p>
    <w:p>
      <w:pPr>
        <w:spacing w:after="0" w:line="183" w:lineRule="exact"/>
        <w:rPr>
          <w:rFonts w:ascii="Arial" w:cs="Arial" w:eastAsia="Arial" w:hAnsi="Arial"/>
          <w:sz w:val="18"/>
          <w:szCs w:val="18"/>
          <w:color w:val="auto"/>
        </w:rPr>
      </w:pPr>
    </w:p>
    <w:p>
      <w:pPr>
        <w:jc w:val="both"/>
        <w:ind w:firstLine="436"/>
        <w:spacing w:after="0" w:line="259" w:lineRule="auto"/>
        <w:tabs>
          <w:tab w:leader="none" w:pos="68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Conditions to Purchase of Option Securities</w:t>
      </w:r>
      <w:r>
        <w:rPr>
          <w:rFonts w:ascii="Arial" w:cs="Arial" w:eastAsia="Arial" w:hAnsi="Arial"/>
          <w:sz w:val="18"/>
          <w:szCs w:val="18"/>
          <w:color w:val="auto"/>
        </w:rPr>
        <w:t>. In the event that the Underwriters exercise their option provided in Section 2(b) hereof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all or any portion of the Option Securities, the representations and warranties of the Company contained herein and the statements in any certificates furnished by the Company and any of its subsidiaries hereunder shall be true and correct as of each Date of Delivery and, at the relevant Date of Delivery, the Representatives shall have received:</w:t>
      </w:r>
    </w:p>
    <w:p>
      <w:pPr>
        <w:spacing w:after="0" w:line="78" w:lineRule="exact"/>
        <w:rPr>
          <w:rFonts w:ascii="Arial" w:cs="Arial" w:eastAsia="Arial" w:hAnsi="Arial"/>
          <w:sz w:val="18"/>
          <w:szCs w:val="18"/>
          <w:color w:val="auto"/>
        </w:rPr>
      </w:pPr>
    </w:p>
    <w:p>
      <w:pPr>
        <w:jc w:val="both"/>
        <w:ind w:left="440" w:right="20" w:firstLine="419"/>
        <w:spacing w:after="0" w:line="263" w:lineRule="auto"/>
        <w:tabs>
          <w:tab w:leader="none" w:pos="1078"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A certificate, dated such Date of Delivery, of the Chief Executive Officer or a Vice President of the Company and of the chief financial or chief accounting officer of the Company confirming that the certificate delivered at the Closing Time pursuant to Section 5(d) hereof remains true and correct as of such Date of Delivery.</w:t>
      </w:r>
    </w:p>
    <w:p>
      <w:pPr>
        <w:spacing w:after="0" w:line="75" w:lineRule="exact"/>
        <w:rPr>
          <w:rFonts w:ascii="Arial" w:cs="Arial" w:eastAsia="Arial" w:hAnsi="Arial"/>
          <w:sz w:val="18"/>
          <w:szCs w:val="18"/>
          <w:color w:val="auto"/>
        </w:rPr>
      </w:pPr>
    </w:p>
    <w:p>
      <w:pPr>
        <w:jc w:val="both"/>
        <w:ind w:left="440" w:firstLine="419"/>
        <w:spacing w:after="0" w:line="263" w:lineRule="auto"/>
        <w:tabs>
          <w:tab w:leader="none" w:pos="1141"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Opinions of Counsel for Company</w:t>
      </w:r>
      <w:r>
        <w:rPr>
          <w:rFonts w:ascii="Arial" w:cs="Arial" w:eastAsia="Arial" w:hAnsi="Arial"/>
          <w:sz w:val="18"/>
          <w:szCs w:val="18"/>
          <w:color w:val="auto"/>
        </w:rPr>
        <w:t>. If requested by the Representatives, (A) the opinion and negative assurance letter of Gunderson Dettmer Stough Villeneuve Franklin &amp; Hachigian, LLP, counsel for the Company, (B) the opinion of Hogan Lovells US LLP, regulatory counsel for the Company and (C) the opinion of Knobbe Martens Olson &amp; Bear LLP, intellectual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9" w:name="page30"/>
    <w:bookmarkEnd w:id="29"/>
    <w:p>
      <w:pPr>
        <w:jc w:val="both"/>
        <w:ind w:left="44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counsel for the Company, each in form and substance reasonably satisfactory to counsel for the Underwriters, dated such Date of Delivery, relating to the Option Securities to be purchased on such Date of Delivery and otherwise to the same effect as the opinion of such firm required by Section 5(b) hereof.</w:t>
      </w:r>
    </w:p>
    <w:p>
      <w:pPr>
        <w:spacing w:after="0" w:line="76" w:lineRule="exact"/>
        <w:rPr>
          <w:sz w:val="20"/>
          <w:szCs w:val="20"/>
          <w:color w:val="auto"/>
        </w:rPr>
      </w:pPr>
    </w:p>
    <w:p>
      <w:pPr>
        <w:jc w:val="both"/>
        <w:ind w:left="440" w:right="20" w:firstLine="419"/>
        <w:spacing w:after="0" w:line="263" w:lineRule="auto"/>
        <w:tabs>
          <w:tab w:leader="none" w:pos="1191"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Opinion of Counsel for Underwriters</w:t>
      </w:r>
      <w:r>
        <w:rPr>
          <w:rFonts w:ascii="Arial" w:cs="Arial" w:eastAsia="Arial" w:hAnsi="Arial"/>
          <w:sz w:val="18"/>
          <w:szCs w:val="18"/>
          <w:color w:val="auto"/>
        </w:rPr>
        <w:t>. If requested by the Representatives, the opinion of Shearman &amp; Sterling LLP, counsel for the Underwriters, dated such Date of Delivery, relating to the Option Securities to be purchased on such Date of Delivery and otherwise to the same effect as the opinion required by Section 5(c) hereof.</w:t>
      </w:r>
    </w:p>
    <w:p>
      <w:pPr>
        <w:spacing w:after="0" w:line="75" w:lineRule="exact"/>
        <w:rPr>
          <w:rFonts w:ascii="Arial" w:cs="Arial" w:eastAsia="Arial" w:hAnsi="Arial"/>
          <w:sz w:val="18"/>
          <w:szCs w:val="18"/>
          <w:color w:val="auto"/>
        </w:rPr>
      </w:pPr>
    </w:p>
    <w:p>
      <w:pPr>
        <w:jc w:val="both"/>
        <w:ind w:left="440" w:right="20" w:firstLine="419"/>
        <w:spacing w:after="0" w:line="259" w:lineRule="auto"/>
        <w:tabs>
          <w:tab w:leader="none" w:pos="1168"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Bring-down Comfort Letter</w:t>
      </w:r>
      <w:r>
        <w:rPr>
          <w:rFonts w:ascii="Arial" w:cs="Arial" w:eastAsia="Arial" w:hAnsi="Arial"/>
          <w:sz w:val="18"/>
          <w:szCs w:val="18"/>
          <w:color w:val="auto"/>
        </w:rPr>
        <w:t>. If requested by the Representatives, a letter from Ernst &amp; Young, LLP, in form and substance satisfactory to the Representatives and dated such Date of Delivery, substantially in the same form and substance as the letter furnished to the Representatives pursuant to Section 5(e) hereof, except that the “specified date” in the letter furnished pursuant to this paragraph shall be a date not more than three business days prior to such Date of Delivery.</w:t>
      </w:r>
    </w:p>
    <w:p>
      <w:pPr>
        <w:spacing w:after="0" w:line="78" w:lineRule="exact"/>
        <w:rPr>
          <w:rFonts w:ascii="Arial" w:cs="Arial" w:eastAsia="Arial" w:hAnsi="Arial"/>
          <w:sz w:val="18"/>
          <w:szCs w:val="18"/>
          <w:color w:val="auto"/>
        </w:rPr>
      </w:pPr>
    </w:p>
    <w:p>
      <w:pPr>
        <w:jc w:val="both"/>
        <w:ind w:left="440" w:firstLine="419"/>
        <w:spacing w:after="0" w:line="263" w:lineRule="auto"/>
        <w:tabs>
          <w:tab w:leader="none" w:pos="1118"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Chief Financial Officer’s Certificate</w:t>
      </w:r>
      <w:r>
        <w:rPr>
          <w:rFonts w:ascii="Arial" w:cs="Arial" w:eastAsia="Arial" w:hAnsi="Arial"/>
          <w:sz w:val="18"/>
          <w:szCs w:val="18"/>
          <w:color w:val="auto"/>
        </w:rPr>
        <w:t>. A certificate from the chief financial officer of the Company, in form and substance satisfactory to the Underwriters and dated such Date of Delivery, substantially in the same form and substance as the letter furnished to the Representatives pursuant to Section 5(k) hereof.</w:t>
      </w:r>
    </w:p>
    <w:p>
      <w:pPr>
        <w:spacing w:after="0" w:line="183" w:lineRule="exact"/>
        <w:rPr>
          <w:rFonts w:ascii="Arial" w:cs="Arial" w:eastAsia="Arial" w:hAnsi="Arial"/>
          <w:sz w:val="18"/>
          <w:szCs w:val="18"/>
          <w:color w:val="auto"/>
        </w:rPr>
      </w:pPr>
    </w:p>
    <w:p>
      <w:pPr>
        <w:jc w:val="both"/>
        <w:ind w:firstLine="436"/>
        <w:spacing w:after="0" w:line="275" w:lineRule="auto"/>
        <w:tabs>
          <w:tab w:leader="none" w:pos="745"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Additional Documents</w:t>
      </w:r>
      <w:r>
        <w:rPr>
          <w:rFonts w:ascii="Arial" w:cs="Arial" w:eastAsia="Arial" w:hAnsi="Arial"/>
          <w:sz w:val="17"/>
          <w:szCs w:val="17"/>
          <w:color w:val="auto"/>
        </w:rPr>
        <w:t>. At the Closing Time and at each Date of Delivery (if any) counsel for the Underwriters shall have been furnished with</w:t>
      </w:r>
      <w:r>
        <w:rPr>
          <w:rFonts w:ascii="Arial" w:cs="Arial" w:eastAsia="Arial" w:hAnsi="Arial"/>
          <w:sz w:val="17"/>
          <w:szCs w:val="17"/>
          <w:i w:val="1"/>
          <w:iCs w:val="1"/>
          <w:color w:val="auto"/>
        </w:rPr>
        <w:t xml:space="preserve"> </w:t>
      </w:r>
      <w:r>
        <w:rPr>
          <w:rFonts w:ascii="Arial" w:cs="Arial" w:eastAsia="Arial" w:hAnsi="Arial"/>
          <w:sz w:val="17"/>
          <w:szCs w:val="17"/>
          <w:color w:val="auto"/>
        </w:rPr>
        <w:t>such documents and certificates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w:t>
      </w:r>
    </w:p>
    <w:p>
      <w:pPr>
        <w:spacing w:after="0" w:line="176" w:lineRule="exact"/>
        <w:rPr>
          <w:rFonts w:ascii="Arial" w:cs="Arial" w:eastAsia="Arial" w:hAnsi="Arial"/>
          <w:sz w:val="17"/>
          <w:szCs w:val="17"/>
          <w:color w:val="auto"/>
        </w:rPr>
      </w:pPr>
    </w:p>
    <w:p>
      <w:pPr>
        <w:jc w:val="both"/>
        <w:ind w:firstLine="436"/>
        <w:spacing w:after="0" w:line="255" w:lineRule="auto"/>
        <w:tabs>
          <w:tab w:leader="none" w:pos="709"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any condition specified in this Section shall not have been fulfilled when and as required to be fulfilled,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14, 15, 16 and 17 shall survive any such termination and remain in full force and effect.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right="20" w:firstLine="436"/>
        <w:spacing w:after="0" w:line="263" w:lineRule="auto"/>
        <w:tabs>
          <w:tab w:leader="none" w:pos="68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agrees to indemnify and hold harmless each Underwriter, its affiliates (as such term is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Rule 501(b) under the 1933 Act (each, an “</w:t>
      </w:r>
      <w:r>
        <w:rPr>
          <w:rFonts w:ascii="Arial" w:cs="Arial" w:eastAsia="Arial" w:hAnsi="Arial"/>
          <w:sz w:val="18"/>
          <w:szCs w:val="18"/>
          <w:b w:val="1"/>
          <w:bCs w:val="1"/>
          <w:color w:val="auto"/>
        </w:rPr>
        <w:t>Affiliate</w:t>
      </w:r>
      <w:r>
        <w:rPr>
          <w:rFonts w:ascii="Arial" w:cs="Arial" w:eastAsia="Arial" w:hAnsi="Arial"/>
          <w:sz w:val="18"/>
          <w:szCs w:val="18"/>
          <w:color w:val="auto"/>
        </w:rPr>
        <w:t>”)), its selling agents and each person, if any, who controls any Underwriter within the meaning of Section 15 of the 1933 Act or Section 20 of the 1934 Act as follows:</w:t>
      </w:r>
    </w:p>
    <w:p>
      <w:pPr>
        <w:spacing w:after="0" w:line="75" w:lineRule="exact"/>
        <w:rPr>
          <w:rFonts w:ascii="Arial" w:cs="Arial" w:eastAsia="Arial" w:hAnsi="Arial"/>
          <w:sz w:val="18"/>
          <w:szCs w:val="18"/>
          <w:color w:val="auto"/>
        </w:rPr>
      </w:pPr>
    </w:p>
    <w:p>
      <w:pPr>
        <w:jc w:val="both"/>
        <w:ind w:left="440" w:firstLine="419"/>
        <w:spacing w:after="0" w:line="259"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0" w:name="page31"/>
    <w:bookmarkEnd w:id="30"/>
    <w:p>
      <w:pPr>
        <w:jc w:val="both"/>
        <w:ind w:left="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Arial" w:cs="Arial" w:eastAsia="Arial" w:hAnsi="Arial"/>
          <w:sz w:val="17"/>
          <w:szCs w:val="17"/>
          <w:b w:val="1"/>
          <w:bCs w:val="1"/>
          <w:color w:val="auto"/>
        </w:rPr>
        <w:t>Marketing Materials</w:t>
      </w:r>
      <w:r>
        <w:rPr>
          <w:rFonts w:ascii="Arial" w:cs="Arial" w:eastAsia="Arial" w:hAnsi="Arial"/>
          <w:sz w:val="17"/>
          <w:szCs w:val="17"/>
          <w:color w:val="auto"/>
        </w:rPr>
        <w:t>”), including any roadshow or investor presentations made to investors by the Company (whether in person or electronically) or the omission or alleged omission in any preliminary prospectus, Issuer Free Writing Prospectus, any Written Testing-the-Waters Communication, Prospectus or any Marketing Materials of a material fact necessary in order to make the statements therein, in the light of the circumstances under which they were made, not misleading;</w:t>
      </w:r>
    </w:p>
    <w:p>
      <w:pPr>
        <w:spacing w:after="0" w:line="69" w:lineRule="exact"/>
        <w:rPr>
          <w:sz w:val="20"/>
          <w:szCs w:val="20"/>
          <w:color w:val="auto"/>
        </w:rPr>
      </w:pPr>
    </w:p>
    <w:p>
      <w:pPr>
        <w:jc w:val="both"/>
        <w:ind w:left="440" w:firstLine="419"/>
        <w:spacing w:after="0" w:line="259" w:lineRule="auto"/>
        <w:tabs>
          <w:tab w:leader="none" w:pos="11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 and</w:t>
      </w:r>
    </w:p>
    <w:p>
      <w:pPr>
        <w:spacing w:after="0" w:line="78" w:lineRule="exact"/>
        <w:rPr>
          <w:rFonts w:ascii="Arial" w:cs="Arial" w:eastAsia="Arial" w:hAnsi="Arial"/>
          <w:sz w:val="18"/>
          <w:szCs w:val="18"/>
          <w:color w:val="auto"/>
        </w:rPr>
      </w:pPr>
    </w:p>
    <w:p>
      <w:pPr>
        <w:jc w:val="both"/>
        <w:ind w:left="440" w:firstLine="419"/>
        <w:spacing w:after="0" w:line="279" w:lineRule="auto"/>
        <w:tabs>
          <w:tab w:leader="none" w:pos="12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against any and all expense whatsoever, as incurred (including the reasonable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any preliminary prospectus, Issuer Free Writing Prospectus, Written Testing-the-Waters Communication or the Prospectus (or any amendment or supplement thereto) in reliance upon and in conformity with the Underwriter Information.</w:t>
      </w:r>
    </w:p>
    <w:p>
      <w:pPr>
        <w:spacing w:after="0" w:line="188" w:lineRule="exact"/>
        <w:rPr>
          <w:sz w:val="20"/>
          <w:szCs w:val="20"/>
          <w:color w:val="auto"/>
        </w:rPr>
      </w:pPr>
    </w:p>
    <w:p>
      <w:pPr>
        <w:jc w:val="both"/>
        <w:ind w:right="20" w:firstLine="436"/>
        <w:spacing w:after="0" w:line="272" w:lineRule="auto"/>
        <w:tabs>
          <w:tab w:leader="none" w:pos="695"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Indemnification of Company, Directors and Officers</w:t>
      </w:r>
      <w:r>
        <w:rPr>
          <w:rFonts w:ascii="Arial" w:cs="Arial" w:eastAsia="Arial" w:hAnsi="Arial"/>
          <w:sz w:val="17"/>
          <w:szCs w:val="17"/>
          <w:color w:val="auto"/>
        </w:rPr>
        <w:t>. Each Underwriter, severally and not jointly, agrees to indemnify and hold harmless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any preliminary prospectus, Issuer Free Writing Prospectus, Written Testing-the-Waters Communication or the Prospectus (or any amendment or supplement thereto) in reliance upon and in conformity with the Underwriter Information.</w:t>
      </w:r>
    </w:p>
    <w:p>
      <w:pPr>
        <w:spacing w:after="0" w:line="177" w:lineRule="exact"/>
        <w:rPr>
          <w:rFonts w:ascii="Arial" w:cs="Arial" w:eastAsia="Arial" w:hAnsi="Arial"/>
          <w:sz w:val="17"/>
          <w:szCs w:val="17"/>
          <w:color w:val="auto"/>
        </w:rPr>
      </w:pPr>
    </w:p>
    <w:p>
      <w:pPr>
        <w:jc w:val="both"/>
        <w:ind w:firstLine="436"/>
        <w:spacing w:after="0" w:line="275" w:lineRule="auto"/>
        <w:tabs>
          <w:tab w:leader="none" w:pos="698"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Actions against Parties; Notification</w:t>
      </w:r>
      <w:r>
        <w:rPr>
          <w:rFonts w:ascii="Arial" w:cs="Arial" w:eastAsia="Arial" w:hAnsi="Arial"/>
          <w:sz w:val="17"/>
          <w:szCs w:val="17"/>
          <w:color w:val="auto"/>
        </w:rPr>
        <w:t>. Each indemnified party shall give notice as promptly as reasonably practicable to each indemnifying</w:t>
      </w:r>
      <w:r>
        <w:rPr>
          <w:rFonts w:ascii="Arial" w:cs="Arial" w:eastAsia="Arial" w:hAnsi="Arial"/>
          <w:sz w:val="17"/>
          <w:szCs w:val="17"/>
          <w:i w:val="1"/>
          <w:iCs w:val="1"/>
          <w:color w:val="auto"/>
        </w:rPr>
        <w:t xml:space="preserve"> </w:t>
      </w:r>
      <w:r>
        <w:rPr>
          <w:rFonts w:ascii="Arial" w:cs="Arial" w:eastAsia="Arial" w:hAnsi="Arial"/>
          <w:sz w:val="17"/>
          <w:szCs w:val="17"/>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1" w:name="page32"/>
    <w:bookmarkEnd w:id="31"/>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82" w:lineRule="exact"/>
        <w:rPr>
          <w:sz w:val="20"/>
          <w:szCs w:val="20"/>
          <w:color w:val="auto"/>
        </w:rPr>
      </w:pPr>
    </w:p>
    <w:p>
      <w:pPr>
        <w:jc w:val="both"/>
        <w:ind w:right="20" w:firstLine="436"/>
        <w:spacing w:after="0" w:line="255" w:lineRule="auto"/>
        <w:tabs>
          <w:tab w:leader="none" w:pos="722"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Settlement without Consent if Failure to Reimburse</w:t>
      </w:r>
      <w:r>
        <w:rPr>
          <w:rFonts w:ascii="Arial" w:cs="Arial" w:eastAsia="Arial" w:hAnsi="Arial"/>
          <w:sz w:val="18"/>
          <w:szCs w:val="18"/>
          <w:color w:val="auto"/>
        </w:rPr>
        <w:t>. If at any time an indemnified party shall have requested an indemnifying party to</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 the indemnified party for fees and expenses of counsel, such indemnifying party agrees that it shall be liable for any settlement of the nature contemplated by Section 6(a)(ii) effected without its written consent if (i) such settlement is entered into more than 60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92" w:lineRule="exact"/>
        <w:rPr>
          <w:sz w:val="20"/>
          <w:szCs w:val="20"/>
          <w:color w:val="auto"/>
        </w:rPr>
      </w:pPr>
    </w:p>
    <w:p>
      <w:pPr>
        <w:jc w:val="both"/>
        <w:ind w:right="20" w:firstLine="440"/>
        <w:spacing w:after="0" w:line="271"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78"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Securities as set forth on the cover of the Prospectus.</w:t>
      </w:r>
    </w:p>
    <w:p>
      <w:pPr>
        <w:spacing w:after="0" w:line="188"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2" w:name="page33"/>
    <w:bookmarkEnd w:id="32"/>
    <w:p>
      <w:pPr>
        <w:jc w:val="both"/>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64"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Schedule A hereto and not joint.</w:t>
      </w:r>
    </w:p>
    <w:p>
      <w:pPr>
        <w:spacing w:after="0" w:line="192"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Representations, Warranties and Agreements to Survive</w:t>
      </w:r>
      <w:r>
        <w:rPr>
          <w:rFonts w:ascii="Arial" w:cs="Arial" w:eastAsia="Arial" w:hAnsi="Arial"/>
          <w:sz w:val="17"/>
          <w:szCs w:val="17"/>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25" w:lineRule="exact"/>
        <w:rPr>
          <w:sz w:val="20"/>
          <w:szCs w:val="20"/>
          <w:color w:val="auto"/>
        </w:rPr>
      </w:pPr>
    </w:p>
    <w:p>
      <w:pPr>
        <w:jc w:val="both"/>
        <w:ind w:right="20" w:firstLine="436"/>
        <w:spacing w:after="0" w:line="269" w:lineRule="auto"/>
        <w:tabs>
          <w:tab w:leader="none" w:pos="685"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Representatives may terminate this Agreement, by notice to the Company, at any time at or prior to the Closing Time (i) if</w:t>
      </w:r>
      <w:r>
        <w:rPr>
          <w:rFonts w:ascii="Arial" w:cs="Arial" w:eastAsia="Arial" w:hAnsi="Arial"/>
          <w:sz w:val="17"/>
          <w:szCs w:val="17"/>
          <w:i w:val="1"/>
          <w:iCs w:val="1"/>
          <w:color w:val="auto"/>
        </w:rPr>
        <w:t xml:space="preserve"> </w:t>
      </w:r>
      <w:r>
        <w:rPr>
          <w:rFonts w:ascii="Arial" w:cs="Arial" w:eastAsia="Arial" w:hAnsi="Arial"/>
          <w:sz w:val="17"/>
          <w:szCs w:val="17"/>
          <w:color w:val="auto"/>
        </w:rPr>
        <w:t>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Select Market, or (iv) if trading generally on the NYSE MKT or the New York Stock Exchange or in the Nasdaq Global Select Market has been suspended or materially limited, or minimum or maximum prices for trading have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3" w:name="page34"/>
    <w:bookmarkEnd w:id="33"/>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87" w:lineRule="exact"/>
        <w:rPr>
          <w:sz w:val="20"/>
          <w:szCs w:val="20"/>
          <w:color w:val="auto"/>
        </w:rPr>
      </w:pPr>
    </w:p>
    <w:p>
      <w:pPr>
        <w:jc w:val="both"/>
        <w:ind w:right="20" w:firstLine="436"/>
        <w:spacing w:after="0" w:line="263"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such termination shall be without liability of any party to any other party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Section 4 hereof, and provided further that Sections 1, 6, 7, 8, 14, 15, 16 and 17 shall survive such termination and remain in full force and effect.</w:t>
      </w:r>
    </w:p>
    <w:p>
      <w:pPr>
        <w:spacing w:after="0" w:line="184"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Default by One or More of the Underwriters</w:t>
      </w:r>
      <w:r>
        <w:rPr>
          <w:rFonts w:ascii="Arial" w:cs="Arial" w:eastAsia="Arial" w:hAnsi="Arial"/>
          <w:sz w:val="16"/>
          <w:szCs w:val="16"/>
          <w:color w:val="auto"/>
        </w:rPr>
        <w:t>. If one or more of the Underwriters shall fail at the Closing Time or a Date of Delivery to purchase the Securities which it or they are obligated to purchase under this Agreement (the “</w:t>
      </w:r>
      <w:r>
        <w:rPr>
          <w:rFonts w:ascii="Arial" w:cs="Arial" w:eastAsia="Arial" w:hAnsi="Arial"/>
          <w:sz w:val="16"/>
          <w:szCs w:val="16"/>
          <w:b w:val="1"/>
          <w:bCs w:val="1"/>
          <w:color w:val="auto"/>
        </w:rPr>
        <w:t>Defaulted Securities</w:t>
      </w:r>
      <w:r>
        <w:rPr>
          <w:rFonts w:ascii="Arial" w:cs="Arial" w:eastAsia="Arial" w:hAnsi="Arial"/>
          <w:sz w:val="16"/>
          <w:szCs w:val="16"/>
          <w:color w:val="auto"/>
        </w:rPr>
        <w:t>”), the Representatives shall have the right, within 24 hours thereafter, to make arrangements for one or more of the non-defaulting Underwriters, or any other underwriters reasonably satisfactory to the Company,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53" w:lineRule="exact"/>
        <w:rPr>
          <w:sz w:val="20"/>
          <w:szCs w:val="20"/>
          <w:color w:val="auto"/>
        </w:rPr>
      </w:pPr>
    </w:p>
    <w:p>
      <w:pPr>
        <w:jc w:val="both"/>
        <w:ind w:left="440" w:right="20" w:firstLine="419"/>
        <w:spacing w:after="0" w:line="263" w:lineRule="auto"/>
        <w:tabs>
          <w:tab w:leader="none" w:pos="11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75" w:lineRule="exact"/>
        <w:rPr>
          <w:rFonts w:ascii="Arial" w:cs="Arial" w:eastAsia="Arial" w:hAnsi="Arial"/>
          <w:sz w:val="18"/>
          <w:szCs w:val="18"/>
          <w:color w:val="auto"/>
        </w:rPr>
      </w:pPr>
    </w:p>
    <w:p>
      <w:pPr>
        <w:jc w:val="both"/>
        <w:ind w:left="440" w:firstLine="419"/>
        <w:spacing w:after="0" w:line="259" w:lineRule="auto"/>
        <w:tabs>
          <w:tab w:leader="none" w:pos="11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the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92"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 by any standard form of telecommunication. Notices to the Underwriters shall be directed to BofA at One Bryant Park, New York, New York 10036, Attention: Syndicate Department (email: dg.ecm_execution_services@bofa.com), with a copy to ECM Legal (email: dg.ecm_legal@bofa.com); Jefferies at 520 Madison Avenue, New York, New York 10022, Attention: Global Head of Syndicate; and with a copy to Shearman &amp; Sterling LLP at 599 Lexington Avenue, New York, New York 10022, Attention: Ilir Mujalovic. Notices to the Company shall be directed to it at 15440 Laguna Canyon Road, Irvine, California 92618, Attention: Bobak Azamian; with</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4" w:name="page35"/>
    <w:bookmarkEnd w:id="34"/>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copy to Gunderson Dettmer Stough Villeneuve Franklin &amp; Hachigian, LLP at 3570 Carmel Mountain Road, Suite 200, San Diego, California 92130, Attention: Ilan Lovinsky.</w:t>
      </w:r>
    </w:p>
    <w:p>
      <w:pPr>
        <w:spacing w:after="0" w:line="170" w:lineRule="exact"/>
        <w:rPr>
          <w:sz w:val="20"/>
          <w:szCs w:val="20"/>
          <w:color w:val="auto"/>
        </w:rPr>
      </w:pPr>
    </w:p>
    <w:p>
      <w:pPr>
        <w:jc w:val="both"/>
        <w:ind w:firstLine="440"/>
        <w:spacing w:after="0" w:line="26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No Advisory or Fiduciary Relationship</w:t>
      </w:r>
      <w:r>
        <w:rPr>
          <w:rFonts w:ascii="Arial" w:cs="Arial" w:eastAsia="Arial" w:hAnsi="Arial"/>
          <w:sz w:val="17"/>
          <w:szCs w:val="17"/>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and does not constitute a recommendation, investment advice, or solicitation of any action by the Underwriters,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investment or tax advice with respect to the offering of the Securities and the Company has consulted its own respective legal, accounting, financial, regulatory and tax advisors to the extent it deemed appropriate, and (f)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jc w:val="both"/>
        <w:ind w:firstLine="436"/>
        <w:spacing w:after="0" w:line="259" w:lineRule="auto"/>
        <w:tabs>
          <w:tab w:leader="none" w:pos="6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right="20" w:firstLine="436"/>
        <w:spacing w:after="0" w:line="259" w:lineRule="auto"/>
        <w:tabs>
          <w:tab w:leader="none" w:pos="6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For purposes of this Section 13,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 Entity</w:t>
      </w:r>
      <w:r>
        <w:rPr>
          <w:rFonts w:ascii="Arial" w:cs="Arial" w:eastAsia="Arial" w:hAnsi="Arial"/>
          <w:sz w:val="17"/>
          <w:szCs w:val="17"/>
          <w:color w:val="auto"/>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5" w:name="page36"/>
    <w:bookmarkEnd w:id="35"/>
    <w:p>
      <w:pPr>
        <w:jc w:val="both"/>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Arial" w:cs="Arial" w:eastAsia="Arial" w:hAnsi="Arial"/>
          <w:sz w:val="18"/>
          <w:szCs w:val="18"/>
          <w:u w:val="single" w:color="auto"/>
          <w:color w:val="auto"/>
        </w:rPr>
        <w:t>Parties</w:t>
      </w:r>
      <w:r>
        <w:rPr>
          <w:rFonts w:ascii="Arial" w:cs="Arial" w:eastAsia="Arial" w:hAnsi="Arial"/>
          <w:sz w:val="18"/>
          <w:szCs w:val="18"/>
          <w:color w:val="auto"/>
        </w:rPr>
        <w:t>. This Agreement shall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92"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Trial by Jury</w:t>
      </w:r>
      <w:r>
        <w:rPr>
          <w:rFonts w:ascii="Arial" w:cs="Arial" w:eastAsia="Arial" w:hAnsi="Arial"/>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84" w:lineRule="exact"/>
        <w:rPr>
          <w:sz w:val="20"/>
          <w:szCs w:val="20"/>
          <w:color w:val="auto"/>
        </w:rPr>
      </w:pPr>
    </w:p>
    <w:p>
      <w:pPr>
        <w:jc w:val="both"/>
        <w:ind w:right="20" w:firstLine="440"/>
        <w:spacing w:after="0" w:line="270"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Consent to Jurisdiction; Waiver of Immunity</w:t>
      </w:r>
      <w:r>
        <w:rPr>
          <w:rFonts w:ascii="Arial" w:cs="Arial" w:eastAsia="Arial" w:hAnsi="Arial"/>
          <w:sz w:val="17"/>
          <w:szCs w:val="17"/>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1"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6" w:name="page37"/>
    <w:bookmarkEnd w:id="36"/>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TARSUS PHARMACEUTICALS,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Bobak Azamian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CONFIRMED AND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above written: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Greg Butz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Bryan Czyzewski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other Underwriters named in Schedule A hereto.</w:t>
      </w:r>
    </w:p>
    <w:p>
      <w:pPr>
        <w:spacing w:after="0" w:line="248"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8" w:name="page39"/>
    <w:bookmarkEnd w:id="38"/>
    <w:p>
      <w:pPr>
        <w:ind w:left="4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public offering price per share for the Securities shall be $13.50.</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purchase price per share for the Securities to be paid by the several Underwriters shall be $12.69, being an amount equal to the public offering price set forth above less $0.81 per share, subject to adjustment in accordance with Section 2(b) for dividends or distributions declared by the Company and payable on the Initial Securities but not payable on the Option Securities.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color w:val="auto"/>
                <w:w w:val="94"/>
              </w:rPr>
              <w:t>Name of Underwriter</w:t>
            </w:r>
          </w:p>
        </w:tc>
        <w:tc>
          <w:tcPr>
            <w:tcW w:w="8760" w:type="dxa"/>
            <w:vAlign w:val="bottom"/>
            <w:vMerge w:val="restart"/>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Number of</w:t>
            </w:r>
          </w:p>
        </w:tc>
        <w:tc>
          <w:tcPr>
            <w:tcW w:w="0" w:type="dxa"/>
            <w:vAlign w:val="bottom"/>
          </w:tcPr>
          <w:p>
            <w:pPr>
              <w:spacing w:after="0"/>
              <w:rPr>
                <w:sz w:val="1"/>
                <w:szCs w:val="1"/>
                <w:color w:val="auto"/>
              </w:rPr>
            </w:pPr>
          </w:p>
        </w:tc>
      </w:tr>
      <w:tr>
        <w:trPr>
          <w:trHeight w:val="174"/>
        </w:trPr>
        <w:tc>
          <w:tcPr>
            <w:tcW w:w="1240" w:type="dxa"/>
            <w:vAlign w:val="bottom"/>
            <w:tcBorders>
              <w:bottom w:val="single" w:sz="8" w:color="auto"/>
            </w:tcBorders>
            <w:vMerge w:val="continue"/>
          </w:tcPr>
          <w:p>
            <w:pPr>
              <w:spacing w:after="0"/>
              <w:rPr>
                <w:sz w:val="15"/>
                <w:szCs w:val="15"/>
                <w:color w:val="auto"/>
              </w:rPr>
            </w:pPr>
          </w:p>
        </w:tc>
        <w:tc>
          <w:tcPr>
            <w:tcW w:w="8760" w:type="dxa"/>
            <w:vAlign w:val="bottom"/>
            <w:vMerge w:val="continue"/>
          </w:tcPr>
          <w:p>
            <w:pPr>
              <w:spacing w:after="0"/>
              <w:rPr>
                <w:sz w:val="15"/>
                <w:szCs w:val="15"/>
                <w:color w:val="auto"/>
              </w:rPr>
            </w:pPr>
          </w:p>
        </w:tc>
        <w:tc>
          <w:tcPr>
            <w:tcW w:w="1020" w:type="dxa"/>
            <w:vAlign w:val="bottom"/>
            <w:gridSpan w:val="2"/>
          </w:tcPr>
          <w:p>
            <w:pPr>
              <w:jc w:val="center"/>
              <w:ind w:right="60"/>
              <w:spacing w:after="0" w:line="154" w:lineRule="exact"/>
              <w:rPr>
                <w:sz w:val="20"/>
                <w:szCs w:val="20"/>
                <w:color w:val="auto"/>
              </w:rPr>
            </w:pPr>
            <w:r>
              <w:rPr>
                <w:rFonts w:ascii="Arial" w:cs="Arial" w:eastAsia="Arial" w:hAnsi="Arial"/>
                <w:sz w:val="14"/>
                <w:szCs w:val="14"/>
                <w:color w:val="auto"/>
                <w:w w:val="97"/>
              </w:rPr>
              <w:t>Initial Securities</w:t>
            </w:r>
          </w:p>
        </w:tc>
        <w:tc>
          <w:tcPr>
            <w:tcW w:w="0" w:type="dxa"/>
            <w:vAlign w:val="bottom"/>
          </w:tcPr>
          <w:p>
            <w:pPr>
              <w:spacing w:after="0"/>
              <w:rPr>
                <w:sz w:val="1"/>
                <w:szCs w:val="1"/>
                <w:color w:val="auto"/>
              </w:rPr>
            </w:pPr>
          </w:p>
        </w:tc>
      </w:tr>
      <w:tr>
        <w:trPr>
          <w:trHeight w:val="203"/>
        </w:trPr>
        <w:tc>
          <w:tcPr>
            <w:tcW w:w="10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1,848,000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1,848,000</w:t>
            </w:r>
          </w:p>
        </w:tc>
        <w:tc>
          <w:tcPr>
            <w:tcW w:w="0" w:type="dxa"/>
            <w:vAlign w:val="bottom"/>
          </w:tcPr>
          <w:p>
            <w:pPr>
              <w:spacing w:after="0"/>
              <w:rPr>
                <w:sz w:val="1"/>
                <w:szCs w:val="1"/>
                <w:color w:val="auto"/>
              </w:rPr>
            </w:pPr>
          </w:p>
        </w:tc>
      </w:tr>
      <w:tr>
        <w:trPr>
          <w:trHeight w:val="216"/>
        </w:trPr>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756,000</w:t>
            </w:r>
          </w:p>
        </w:tc>
        <w:tc>
          <w:tcPr>
            <w:tcW w:w="0" w:type="dxa"/>
            <w:vAlign w:val="bottom"/>
          </w:tcPr>
          <w:p>
            <w:pPr>
              <w:spacing w:after="0"/>
              <w:rPr>
                <w:sz w:val="1"/>
                <w:szCs w:val="1"/>
                <w:color w:val="auto"/>
              </w:rPr>
            </w:pPr>
          </w:p>
        </w:tc>
      </w:tr>
      <w:tr>
        <w:trPr>
          <w:trHeight w:val="202"/>
        </w:trPr>
        <w:tc>
          <w:tcPr>
            <w:tcW w:w="10000" w:type="dxa"/>
            <w:vAlign w:val="bottom"/>
            <w:gridSpan w:val="2"/>
          </w:tcPr>
          <w:p>
            <w:pPr>
              <w:spacing w:after="0" w:line="201" w:lineRule="exact"/>
              <w:rPr>
                <w:sz w:val="20"/>
                <w:szCs w:val="20"/>
                <w:color w:val="auto"/>
              </w:rPr>
            </w:pPr>
            <w:r>
              <w:rPr>
                <w:rFonts w:ascii="Arial" w:cs="Arial" w:eastAsia="Arial" w:hAnsi="Arial"/>
                <w:sz w:val="18"/>
                <w:szCs w:val="18"/>
                <w:color w:val="auto"/>
              </w:rPr>
              <w:t>Raymond James &amp; Associates, Inc.</w:t>
            </w: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44"/>
        </w:trPr>
        <w:tc>
          <w:tcPr>
            <w:tcW w:w="10000" w:type="dxa"/>
            <w:vAlign w:val="bottom"/>
            <w:gridSpan w:val="2"/>
          </w:tcPr>
          <w:p>
            <w:pPr>
              <w:spacing w:after="0"/>
              <w:rPr>
                <w:sz w:val="20"/>
                <w:szCs w:val="20"/>
                <w:color w:val="auto"/>
              </w:rPr>
            </w:pPr>
            <w:r>
              <w:rPr>
                <w:rFonts w:ascii="Arial" w:cs="Arial" w:eastAsia="Arial" w:hAnsi="Arial"/>
                <w:sz w:val="18"/>
                <w:szCs w:val="18"/>
                <w:color w:val="auto"/>
              </w:rPr>
              <w:t>LifeSci Capital LLC</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5,600,000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A-1</w:t>
      </w:r>
    </w:p>
    <w:p>
      <w:pPr>
        <w:sectPr>
          <w:pgSz w:w="11900" w:h="16838" w:orient="portrait"/>
          <w:cols w:equalWidth="0" w:num="1">
            <w:col w:w="11020"/>
          </w:cols>
          <w:pgMar w:left="440" w:top="274" w:right="439" w:bottom="1440" w:gutter="0" w:footer="0" w:header="0"/>
        </w:sectPr>
      </w:pPr>
    </w:p>
    <w:bookmarkStart w:id="39" w:name="page40"/>
    <w:bookmarkEnd w:id="39"/>
    <w:p>
      <w:pPr>
        <w:jc w:val="center"/>
        <w:ind w:right="-1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B-1</w:t>
      </w:r>
    </w:p>
    <w:p>
      <w:pPr>
        <w:spacing w:after="0" w:line="225" w:lineRule="exact"/>
        <w:rPr>
          <w:sz w:val="20"/>
          <w:szCs w:val="20"/>
          <w:color w:val="auto"/>
        </w:rPr>
      </w:pPr>
    </w:p>
    <w:p>
      <w:pPr>
        <w:jc w:val="center"/>
        <w:ind w:right="-123"/>
        <w:spacing w:after="0"/>
        <w:rPr>
          <w:sz w:val="20"/>
          <w:szCs w:val="20"/>
          <w:color w:val="auto"/>
        </w:rPr>
      </w:pPr>
      <w:r>
        <w:rPr>
          <w:rFonts w:ascii="Arial" w:cs="Arial" w:eastAsia="Arial" w:hAnsi="Arial"/>
          <w:sz w:val="18"/>
          <w:szCs w:val="18"/>
          <w:u w:val="single" w:color="auto"/>
          <w:color w:val="auto"/>
        </w:rPr>
        <w:t>Pricing Terms</w:t>
      </w:r>
    </w:p>
    <w:p>
      <w:pPr>
        <w:spacing w:after="0" w:line="117" w:lineRule="exact"/>
        <w:rPr>
          <w:sz w:val="20"/>
          <w:szCs w:val="20"/>
          <w:color w:val="auto"/>
        </w:rPr>
      </w:pPr>
    </w:p>
    <w:p>
      <w:pPr>
        <w:ind w:left="184" w:hanging="184"/>
        <w:spacing w:after="0"/>
        <w:tabs>
          <w:tab w:leader="none" w:pos="1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is selling 5,600,000 shares of Common Stock.</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has granted an option to the Underwriters, severally and not jointly, to purchase up to an additional 840,000 shares of Common Stock.</w:t>
      </w:r>
    </w:p>
    <w:p>
      <w:pPr>
        <w:spacing w:after="0" w:line="140" w:lineRule="exact"/>
        <w:rPr>
          <w:rFonts w:ascii="Arial" w:cs="Arial" w:eastAsia="Arial" w:hAnsi="Arial"/>
          <w:sz w:val="16"/>
          <w:szCs w:val="16"/>
          <w:color w:val="auto"/>
        </w:rPr>
      </w:pPr>
    </w:p>
    <w:p>
      <w:pPr>
        <w:ind w:left="184" w:hanging="184"/>
        <w:spacing w:after="0"/>
        <w:tabs>
          <w:tab w:leader="none" w:pos="1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public offering price per share for the Securities shall be $13.50.</w:t>
      </w:r>
    </w:p>
    <w:p>
      <w:pPr>
        <w:spacing w:after="0" w:line="33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Sch B-1</w:t>
      </w:r>
    </w:p>
    <w:p>
      <w:pPr>
        <w:sectPr>
          <w:pgSz w:w="11900" w:h="16838" w:orient="portrait"/>
          <w:cols w:equalWidth="0" w:num="1">
            <w:col w:w="10904"/>
          </w:cols>
          <w:pgMar w:left="436" w:top="274" w:right="55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Free Writing Prospectus, dated May 2, 2022.</w:t>
      </w:r>
    </w:p>
    <w:p>
      <w:pPr>
        <w:spacing w:after="0" w:line="20" w:lineRule="exact"/>
        <w:rPr>
          <w:sz w:val="20"/>
          <w:szCs w:val="20"/>
          <w:color w:val="auto"/>
        </w:rPr>
      </w:pPr>
      <w:r>
        <w:rPr>
          <w:sz w:val="20"/>
          <w:szCs w:val="20"/>
          <w:color w:val="auto"/>
        </w:rPr>
        <w:br w:type="column"/>
      </w:r>
    </w:p>
    <w:p>
      <w:pPr>
        <w:jc w:val="center"/>
        <w:ind w:right="3579"/>
        <w:spacing w:after="0"/>
        <w:rPr>
          <w:sz w:val="20"/>
          <w:szCs w:val="20"/>
          <w:color w:val="auto"/>
        </w:rPr>
      </w:pPr>
      <w:r>
        <w:rPr>
          <w:rFonts w:ascii="Arial" w:cs="Arial" w:eastAsia="Arial" w:hAnsi="Arial"/>
          <w:sz w:val="18"/>
          <w:szCs w:val="18"/>
          <w:color w:val="auto"/>
        </w:rPr>
        <w:t>SCHEDULE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-215900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Free Writing Prospectuses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 B-2</w:t>
      </w:r>
    </w:p>
    <w:p>
      <w:pPr>
        <w:sectPr>
          <w:pgSz w:w="11900" w:h="16838" w:orient="portrait"/>
          <w:cols w:equalWidth="0" w:num="2">
            <w:col w:w="3840" w:space="720"/>
            <w:col w:w="5459"/>
          </w:cols>
          <w:pgMar w:left="440" w:top="274" w:right="1440" w:bottom="1440" w:gutter="0" w:footer="0" w:header="0"/>
        </w:sectPr>
      </w:pPr>
    </w:p>
    <w:bookmarkStart w:id="41" w:name="page42"/>
    <w:bookmarkEnd w:id="41"/>
    <w:p>
      <w:pPr>
        <w:jc w:val="center"/>
        <w:ind w:righ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B-3</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6"/>
          <w:szCs w:val="16"/>
          <w:u w:val="single" w:color="auto"/>
          <w:color w:val="auto"/>
        </w:rPr>
        <w:t>Written Testing-the-Waters Communications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Investor Meeting Presentations regarding Saturn-2 data, dated April 27-29, 2022.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Sch B-3</w:t>
      </w:r>
    </w:p>
    <w:p>
      <w:pPr>
        <w:sectPr>
          <w:pgSz w:w="11900" w:h="16838" w:orient="portrait"/>
          <w:cols w:equalWidth="0" w:num="1">
            <w:col w:w="10019"/>
          </w:cols>
          <w:pgMar w:left="440" w:top="274" w:right="1440" w:bottom="1440" w:gutter="0" w:footer="0" w:header="0"/>
        </w:sectPr>
      </w:pPr>
    </w:p>
    <w:bookmarkStart w:id="42" w:name="page43"/>
    <w:bookmarkEnd w:id="42"/>
    <w:p>
      <w:pPr>
        <w:jc w:val="center"/>
        <w:ind w:righ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225" w:lineRule="exact"/>
        <w:rPr>
          <w:sz w:val="20"/>
          <w:szCs w:val="20"/>
          <w:color w:val="auto"/>
        </w:rPr>
      </w:pPr>
    </w:p>
    <w:p>
      <w:pPr>
        <w:jc w:val="right"/>
        <w:ind w:right="2799"/>
        <w:spacing w:after="0"/>
        <w:rPr>
          <w:sz w:val="20"/>
          <w:szCs w:val="20"/>
          <w:color w:val="auto"/>
        </w:rPr>
      </w:pPr>
      <w:r>
        <w:rPr>
          <w:rFonts w:ascii="Arial" w:cs="Arial" w:eastAsia="Arial" w:hAnsi="Arial"/>
          <w:sz w:val="18"/>
          <w:szCs w:val="18"/>
          <w:u w:val="single" w:color="auto"/>
          <w:color w:val="auto"/>
        </w:rPr>
        <w:t>List of Persons and Entities Subject to Lock-Up</w:t>
      </w:r>
    </w:p>
    <w:p>
      <w:pPr>
        <w:spacing w:after="0" w:line="252" w:lineRule="exact"/>
        <w:rPr>
          <w:sz w:val="20"/>
          <w:szCs w:val="20"/>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Andrew Goldberg</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Aziz Mottiwala</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Bhaskar Chaudhauri</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Bobak Azamian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7"/>
          <w:szCs w:val="17"/>
          <w:color w:val="auto"/>
        </w:rPr>
      </w:pPr>
      <w:r>
        <w:rPr>
          <w:rFonts w:ascii="Arial" w:cs="Arial" w:eastAsia="Arial" w:hAnsi="Arial"/>
          <w:sz w:val="17"/>
          <w:szCs w:val="17"/>
          <w:color w:val="auto"/>
        </w:rPr>
        <w:t>Bobak Azamian, as Trustee of the Bobak Azamian Living Trust, established April 16, 2018</w:t>
      </w:r>
    </w:p>
    <w:p>
      <w:pPr>
        <w:spacing w:after="0" w:line="20" w:lineRule="exact"/>
        <w:rPr>
          <w:rFonts w:ascii="Arial" w:cs="Arial" w:eastAsia="Arial" w:hAnsi="Arial"/>
          <w:sz w:val="17"/>
          <w:szCs w:val="17"/>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Bryan Wahl, M.D., J.D.</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Dianne Whitfield</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Douglas Michael Ackermann, Jr.</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Elizabeth Yeu-Lin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Flying L Investments XI, LLC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Jose Trevejo</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Leo Greenstein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 Holdbrook</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Rosemary Crane</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Sesha Neervannan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Wendy Yarno</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William J. Link</w:t>
      </w:r>
    </w:p>
    <w:p>
      <w:pPr>
        <w:spacing w:after="0" w:line="211" w:lineRule="exact"/>
        <w:rPr>
          <w:sz w:val="20"/>
          <w:szCs w:val="20"/>
          <w:color w:val="auto"/>
        </w:rPr>
      </w:pPr>
    </w:p>
    <w:p>
      <w:pPr>
        <w:ind w:left="5224"/>
        <w:spacing w:after="0"/>
        <w:rPr>
          <w:sz w:val="20"/>
          <w:szCs w:val="20"/>
          <w:color w:val="auto"/>
        </w:rPr>
      </w:pPr>
      <w:r>
        <w:rPr>
          <w:rFonts w:ascii="Arial" w:cs="Arial" w:eastAsia="Arial" w:hAnsi="Arial"/>
          <w:sz w:val="18"/>
          <w:szCs w:val="18"/>
          <w:color w:val="auto"/>
        </w:rPr>
        <w:t>Sch C-1</w:t>
      </w:r>
    </w:p>
    <w:p>
      <w:pPr>
        <w:sectPr>
          <w:pgSz w:w="11900" w:h="16838" w:orient="portrait"/>
          <w:cols w:equalWidth="0" w:num="1">
            <w:col w:w="10023"/>
          </w:cols>
          <w:pgMar w:left="436" w:top="274"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FROM DIRECTORS, OFFICERS OR OTHER STOCKHOLDERS PURSUANT TO SECTION 5(i)</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_________________,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to be named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within-mentioned Underwriting Agreement</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c/o</w:t>
        <w:tab/>
        <w:t>BofA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Bryant Park New</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York, New York 10036</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1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Proposed Public Offering by Tarsus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17"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6"/>
          <w:szCs w:val="16"/>
          <w:color w:val="auto"/>
        </w:rPr>
        <w:t>The undersigned, a stockholder and/or a stock option holder and/or an officer and/or a director, as applicable, of Tarsus Pharmaceuticals, Inc., a Delaware corporation (the “Company”), understands that BofA Securities, Inc. (“BofA”) and Jefferies LLC (“Jefferies”) propose to enter into an Underwriting Agreement (the “Underwriting Agreement”) with the Company and the other Underwriters party thereto providing for the public offering (the “Public Offering”) of shares of the Company’s common stock, par value $0.0001 per share (the “Common Stock”). In recognition of the benefit that the Public Offering will confer upon the undersigned as a stockholder and/or a stock option holder and/or an officer and/or a director, as applicable,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90 days from the date of the Underwriting Agreement (the “Lock-Up Period”), the undersigned will not, without the prior written consent of BofA and Jefferies (the “Lock-up Representatives”; it being understood that to the extent that prior to the consummation of the Public Offering, any such Underwriter ceases to participate in the Public Offering, such Underwriter shall cease to be a Lock-up Representative hereunder), (i) directly or indirectly, offer, pledge, sell, contract to sell, sell any option or contract to purchase, purchase any option or contract to sell, grant any option, right or warrant to purchase or otherwise transfer or dispose of any shares of the Company’s Common Stock or any securities convertible into or exercisable or exchangeable for shares of Common Stock,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cause to be filed or cause to be confidentially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0"/>
          </w:cols>
          <w:pgMar w:left="440" w:top="274" w:right="439" w:bottom="1440" w:gutter="0" w:footer="0" w:header="0"/>
        </w:sectPr>
      </w:pPr>
    </w:p>
    <w:bookmarkStart w:id="44" w:name="page45"/>
    <w:bookmarkEnd w:id="44"/>
    <w:p>
      <w:pPr>
        <w:jc w:val="both"/>
        <w:ind w:left="4"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submitted any registration statement in connection therewith, under the Securities Act of 1933, as amended, (ii) enter into any swap or any other agreement or any transaction that transfers, in whole or in part, directly or indirectly, the economic consequence of ownership of the Lock-Up Securities, whether any such swap or transaction is to be settled by delivery of shares of Common Stock or other securities, in cash or otherwise or (iii) publicly disclose the intention to do any of the foregoing described in clauses (i) and (ii) above. If the undersigned is an officer or director of the Company, the undersigned further agrees that the foregoing provisions shall be equally applicable to any issuer- directed shares of Common Stock the undersigned may purchase in the Public Offering.</w:t>
      </w:r>
    </w:p>
    <w:p>
      <w:pPr>
        <w:spacing w:after="0" w:line="192" w:lineRule="exact"/>
        <w:rPr>
          <w:sz w:val="20"/>
          <w:szCs w:val="20"/>
          <w:color w:val="auto"/>
        </w:rPr>
      </w:pPr>
    </w:p>
    <w:p>
      <w:pPr>
        <w:jc w:val="both"/>
        <w:ind w:left="4" w:firstLine="440"/>
        <w:spacing w:after="0" w:line="284" w:lineRule="auto"/>
        <w:rPr>
          <w:sz w:val="20"/>
          <w:szCs w:val="20"/>
          <w:color w:val="auto"/>
        </w:rPr>
      </w:pPr>
      <w:r>
        <w:rPr>
          <w:rFonts w:ascii="Arial" w:cs="Arial" w:eastAsia="Arial" w:hAnsi="Arial"/>
          <w:sz w:val="16"/>
          <w:szCs w:val="16"/>
          <w:color w:val="auto"/>
        </w:rPr>
        <w:t>Notwithstanding the foregoing, and subject to the conditions below, the undersigned may transfer the Lock-Up Securities without the prior written consent of the Lock-up Representatives, provided that (1) in the case of clause (i) through (vi), (ix) and (x) below, the Lock-up Representatives receive a signed lock-up agreement for the balance of the Lock-Up Period from each donee, trustee, distributee, or transferee, as the case may be, (2) (A) in the clauses (i) through (v) below, any such transfer shall not involve a disposition for value, (B) in the cases of clause (i) through (iv) below, such transfers are not required to be reported during the Lock-Up Period with the Securities and Exchange Commission (the “SEC”) on Form 4 in accordance with Section 16 of the Securities Exchange Act of 1934, as amended (the “Exchange Act”) and (C) in the cases of clauses (v) through (ix) below, any filing under Section 16 of the Exchange Act made during the Lock-Up Period shall clearly indicate in the footnotes the circumstances of the transfer and</w:t>
      </w:r>
    </w:p>
    <w:p>
      <w:pPr>
        <w:spacing w:after="0" w:line="2" w:lineRule="exact"/>
        <w:rPr>
          <w:sz w:val="20"/>
          <w:szCs w:val="20"/>
          <w:color w:val="auto"/>
        </w:rPr>
      </w:pPr>
    </w:p>
    <w:p>
      <w:pPr>
        <w:ind w:left="264" w:hanging="264"/>
        <w:spacing w:after="0"/>
        <w:tabs>
          <w:tab w:leader="none" w:pos="2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undersigned does not otherwise voluntarily effect any public filing or report regarding such transfers during the Lock-Up Period:</w:t>
      </w:r>
    </w:p>
    <w:p>
      <w:pPr>
        <w:spacing w:after="0" w:line="116" w:lineRule="exact"/>
        <w:rPr>
          <w:rFonts w:ascii="Arial" w:cs="Arial" w:eastAsia="Arial" w:hAnsi="Arial"/>
          <w:sz w:val="18"/>
          <w:szCs w:val="18"/>
          <w:color w:val="auto"/>
        </w:rPr>
      </w:pPr>
    </w:p>
    <w:p>
      <w:pPr>
        <w:ind w:left="964" w:hanging="532"/>
        <w:spacing w:after="0"/>
        <w:tabs>
          <w:tab w:leader="none" w:pos="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or</w:t>
      </w:r>
    </w:p>
    <w:p>
      <w:pPr>
        <w:spacing w:after="0" w:line="130" w:lineRule="exact"/>
        <w:rPr>
          <w:rFonts w:ascii="Arial" w:cs="Arial" w:eastAsia="Arial" w:hAnsi="Arial"/>
          <w:sz w:val="18"/>
          <w:szCs w:val="18"/>
          <w:color w:val="auto"/>
        </w:rPr>
      </w:pPr>
    </w:p>
    <w:p>
      <w:pPr>
        <w:ind w:left="964" w:right="20" w:hanging="532"/>
        <w:spacing w:after="0" w:line="308" w:lineRule="auto"/>
        <w:tabs>
          <w:tab w:leader="none" w:pos="964" w:val="left"/>
        </w:tabs>
        <w:numPr>
          <w:ilvl w:val="1"/>
          <w:numId w:val="41"/>
        </w:numPr>
        <w:rPr>
          <w:rFonts w:ascii="Arial" w:cs="Arial" w:eastAsia="Arial" w:hAnsi="Arial"/>
          <w:sz w:val="17"/>
          <w:szCs w:val="17"/>
          <w:color w:val="auto"/>
        </w:rPr>
      </w:pPr>
      <w:r>
        <w:rPr>
          <w:rFonts w:ascii="Arial" w:cs="Arial" w:eastAsia="Arial" w:hAnsi="Arial"/>
          <w:sz w:val="17"/>
          <w:szCs w:val="17"/>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 or</w:t>
      </w:r>
    </w:p>
    <w:p>
      <w:pPr>
        <w:spacing w:after="0" w:line="51" w:lineRule="exact"/>
        <w:rPr>
          <w:rFonts w:ascii="Arial" w:cs="Arial" w:eastAsia="Arial" w:hAnsi="Arial"/>
          <w:sz w:val="17"/>
          <w:szCs w:val="17"/>
          <w:color w:val="auto"/>
        </w:rPr>
      </w:pPr>
    </w:p>
    <w:p>
      <w:pPr>
        <w:ind w:left="964" w:hanging="532"/>
        <w:spacing w:after="0"/>
        <w:tabs>
          <w:tab w:leader="none" w:pos="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as a distribution to general or limited partners, members, stockholders or other equity holders of the undersigned;</w:t>
      </w:r>
    </w:p>
    <w:p>
      <w:pPr>
        <w:spacing w:after="0" w:line="130"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the undersigned’s affiliates or to any investment fund or other entity that, directly or indirectly, controls or manages, is controlled or managed by, or is under common control or management with, the undersigned;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by will or intestate succession upon the death of the undersigned;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pursuant to a court of regulatory agency order, a qualified domestic order or in connection with a divorce settlement;</w:t>
      </w:r>
    </w:p>
    <w:p>
      <w:pPr>
        <w:spacing w:after="0" w:line="130" w:lineRule="exact"/>
        <w:rPr>
          <w:rFonts w:ascii="Arial" w:cs="Arial" w:eastAsia="Arial" w:hAnsi="Arial"/>
          <w:sz w:val="18"/>
          <w:szCs w:val="18"/>
          <w:color w:val="auto"/>
        </w:rPr>
      </w:pPr>
    </w:p>
    <w:p>
      <w:pPr>
        <w:jc w:val="both"/>
        <w:ind w:left="964" w:right="20" w:hanging="532"/>
        <w:spacing w:after="0" w:line="273" w:lineRule="auto"/>
        <w:tabs>
          <w:tab w:leader="none" w:pos="964" w:val="left"/>
        </w:tabs>
        <w:numPr>
          <w:ilvl w:val="1"/>
          <w:numId w:val="41"/>
        </w:numPr>
        <w:rPr>
          <w:rFonts w:ascii="Arial" w:cs="Arial" w:eastAsia="Arial" w:hAnsi="Arial"/>
          <w:sz w:val="17"/>
          <w:szCs w:val="17"/>
          <w:color w:val="auto"/>
        </w:rPr>
      </w:pPr>
      <w:r>
        <w:rPr>
          <w:rFonts w:ascii="Arial" w:cs="Arial" w:eastAsia="Arial" w:hAnsi="Arial"/>
          <w:sz w:val="17"/>
          <w:szCs w:val="17"/>
          <w:color w:val="auto"/>
        </w:rPr>
        <w:t>to the Company in connection with the settlement of restricted stock units or exercise of options, warrants or other rights to acquire shares of Common Stock or any security convertible, exercisable for or settled into shares of Common Stock of the Company by way of net exercise, net settlement and/or to cover withholding tax obligations in connection with such exercise or settlement pursuant to an employee benefit plan, option, restricted stock unit or warrant or other right disclosed in the prospectus for the Public Offering or any document incorporated by reference therein, provided that any such shares of the Common Stock issued upon settlement of such restricted stock unit or exercise of such option, warrant or other right shall be subject to the restrictions set forth herein;</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024"/>
          </w:cols>
          <w:pgMar w:left="436" w:top="274" w:right="439" w:bottom="1440" w:gutter="0" w:footer="0" w:header="0"/>
        </w:sectPr>
      </w:pPr>
    </w:p>
    <w:bookmarkStart w:id="45" w:name="page46"/>
    <w:bookmarkEnd w:id="45"/>
    <w:p>
      <w:pPr>
        <w:jc w:val="both"/>
        <w:ind w:left="960" w:right="20" w:hanging="532"/>
        <w:spacing w:after="0" w:line="311" w:lineRule="auto"/>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Company pursuant to agreements under which the Company has exercised its option to repurchase such shares or has exercised a right of first refusal with respect to transfers of such shares upon termination of service of the undersigned, so long as such agreement or right of first refusal is disclosed in the prospectus or any document incorporated by reference therein, for the Public Offering; or</w:t>
      </w:r>
    </w:p>
    <w:p>
      <w:pPr>
        <w:spacing w:after="0" w:line="54" w:lineRule="exact"/>
        <w:rPr>
          <w:rFonts w:ascii="Arial" w:cs="Arial" w:eastAsia="Arial" w:hAnsi="Arial"/>
          <w:sz w:val="16"/>
          <w:szCs w:val="16"/>
          <w:color w:val="auto"/>
        </w:rPr>
      </w:pPr>
    </w:p>
    <w:p>
      <w:pPr>
        <w:jc w:val="both"/>
        <w:ind w:left="960" w:right="20" w:hanging="532"/>
        <w:spacing w:after="0" w:line="253"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 bona fide third party pursuant to a merger, consolidation, tender offer or other similar transaction made to all holders of shares of the Common Stock and involving a Change of Control (as defined below) of the Company and approved by the Company’s board of directors; provided that, in the event that such Change of Control is not completed, the undersigned’s Lock-Up Securities shall remain subject to the restrictions contained herein, provided further that any shares of the Common Stock not transferred in such merger, consolidation, tender offer or other transaction shall remain subject to the restrictions contained herein. “Change of Control”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50% of the outstanding voting securities of the Company (or the surviving entity).</w:t>
      </w:r>
    </w:p>
    <w:p>
      <w:pPr>
        <w:spacing w:after="0" w:line="88" w:lineRule="exact"/>
        <w:rPr>
          <w:sz w:val="20"/>
          <w:szCs w:val="20"/>
          <w:color w:val="auto"/>
        </w:rPr>
      </w:pPr>
    </w:p>
    <w:p>
      <w:pPr>
        <w:jc w:val="both"/>
        <w:ind w:right="20" w:firstLine="440"/>
        <w:spacing w:after="0" w:line="301" w:lineRule="auto"/>
        <w:rPr>
          <w:sz w:val="20"/>
          <w:szCs w:val="20"/>
          <w:color w:val="auto"/>
        </w:rPr>
      </w:pPr>
      <w:r>
        <w:rPr>
          <w:rFonts w:ascii="Arial" w:cs="Arial" w:eastAsia="Arial" w:hAnsi="Arial"/>
          <w:sz w:val="16"/>
          <w:szCs w:val="16"/>
          <w:color w:val="auto"/>
        </w:rPr>
        <w:t>Furthermore, the undersigned may sell shares of Common Stock of the Company purchased by the undersigned from the underwriters in the Public Offering (other than any issuer-directed shares of Common Stock purchased in the Public Offering by an officer or director of the Company) or on the open market following the Public Offering if and only if (i) such sales are not required to be reported in any public report or filing with the SEC, or otherwise and (ii) the undersigned does not otherwise voluntarily effect any public filing or report regarding such sales during the Lock-Up Period.</w:t>
      </w:r>
    </w:p>
    <w:p>
      <w:pPr>
        <w:spacing w:after="0" w:line="49"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8"/>
          <w:szCs w:val="18"/>
          <w:color w:val="auto"/>
        </w:rPr>
        <w:t>Notwithstanding the foregoing, (i) the undersigned may establish a trading plan pursuant to Rule 10b5-1 under the Exchange Act (a “10b5-1 Trading Plan”), provided that (A) the undersigned is not required to and does not otherwise effect any public filing or report regarding the establishment of such 10b5-1 Trading Plan during the Lock-Up Period and (B) no sales are made during the Lock-Up Period pursuant to such plan and (ii) the undersigned may sell shares of Common Stock or transfer as a distribution to general or limited partners, members, stockholders or other equity holders of the undersigned pursuant to a 10b5-1 Trading Plan, provided that such plan was established prior to the execution of this agreement by the undersigned, and provided further that (x) any filing under Section 16(a) of the Exchange Act that is made in connection with any such sales during the Lock-Up Period shall state that such sales have been executed under a 10b5-1 Trading Plan and shall also state the date such 10b5-1 Trading Plan was adopted and (y) the undersigned does not otherwise voluntarily effect any public filing or report regarding such sales or transfers during the Lock-Up Period.</w:t>
      </w:r>
    </w:p>
    <w:p>
      <w:pPr>
        <w:spacing w:after="0" w:line="88"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The undersigned acknowledges and agrees that the underwriters have not provided any recommendation or investment advice nor have the underwriters solicited any action from the undersigned with respect to the offering of the securities and the undersigned has consulted their own legal, accounting, financial, regulatory and tax advisors to the extent deemed appropriate.</w:t>
      </w:r>
    </w:p>
    <w:p>
      <w:pPr>
        <w:spacing w:after="0" w:line="76"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020"/>
          </w:cols>
          <w:pgMar w:left="440" w:top="274" w:right="439" w:bottom="1440" w:gutter="0" w:footer="0" w:header="0"/>
        </w:sectPr>
      </w:pPr>
    </w:p>
    <w:bookmarkStart w:id="46" w:name="page47"/>
    <w:bookmarkEnd w:id="46"/>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the Lock-Up Period described herein and related restrictions shall automatically terminate upon the earliest to occur, if any, of</w:t>
      </w:r>
    </w:p>
    <w:p>
      <w:pPr>
        <w:spacing w:after="0" w:line="46" w:lineRule="exact"/>
        <w:rPr>
          <w:sz w:val="20"/>
          <w:szCs w:val="20"/>
          <w:color w:val="auto"/>
        </w:rPr>
      </w:pPr>
    </w:p>
    <w:p>
      <w:pPr>
        <w:jc w:val="both"/>
        <w:ind w:left="4" w:hanging="4"/>
        <w:spacing w:after="0" w:line="253" w:lineRule="auto"/>
        <w:tabs>
          <w:tab w:leader="none" w:pos="2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either the Company, on the one hand, or the Lock-up Representatives, on the other hand, advising the other in writing prior to the execution of the Underwriting Agreement that it has determined not to proceed with the Public Offering, (ii) the termination of the Underwriting Agreement before payment for and delivery of the Common Stock to be sold thereunder, (iii) the registration statement filed under the Securities Act with respect to the Public Offering contemplated by the Underwriting Agreement is withdrawn or (iv) July 31, 2022, in the event the closing of the Public Offering shall not have occurred on or before such date.</w:t>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004"/>
          </w:cols>
          <w:pgMar w:left="436" w:top="274" w:right="459" w:bottom="1440" w:gutter="0" w:footer="0" w:header="0"/>
        </w:sectPr>
      </w:pPr>
    </w:p>
    <w:bookmarkStart w:id="47" w:name="page48"/>
    <w:bookmarkEnd w:id="4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 signatory is an individual</w:t>
      </w:r>
      <w:r>
        <w:rPr>
          <w:rFonts w:ascii="Arial" w:cs="Arial" w:eastAsia="Arial" w:hAnsi="Arial"/>
          <w:sz w:val="17"/>
          <w:szCs w:val="17"/>
          <w:color w:val="auto"/>
        </w:rPr>
        <w:t>]</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14605</wp:posOffset>
            </wp:positionV>
            <wp:extent cx="22288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14605</wp:posOffset>
            </wp:positionV>
            <wp:extent cx="22288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signatory is an entity</w:t>
      </w:r>
      <w:r>
        <w:rPr>
          <w:rFonts w:ascii="Arial" w:cs="Arial" w:eastAsia="Arial" w:hAnsi="Arial"/>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Entity: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14605</wp:posOffset>
            </wp:positionV>
            <wp:extent cx="22288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14605</wp:posOffset>
            </wp:positionV>
            <wp:extent cx="22288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14605</wp:posOffset>
            </wp:positionV>
            <wp:extent cx="22288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A-1-5</w:t>
      </w:r>
    </w:p>
    <w:p>
      <w:pPr>
        <w:sectPr>
          <w:pgSz w:w="11900" w:h="16838" w:orient="portrait"/>
          <w:cols w:equalWidth="0" w:num="1">
            <w:col w:w="9019"/>
          </w:cols>
          <w:pgMar w:left="1440" w:top="274"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557530</wp:posOffset>
            </wp:positionV>
            <wp:extent cx="2322830"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22830" cy="291465"/>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171450</wp:posOffset>
            </wp:positionV>
            <wp:extent cx="720090" cy="1071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9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May 3, 2022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Tarsus Pharmaceuticals,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15440 Laguna Canyon Road, Suite 160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Irvine, CA 92618</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left="4"/>
        <w:spacing w:after="0" w:line="284" w:lineRule="auto"/>
        <w:rPr>
          <w:sz w:val="20"/>
          <w:szCs w:val="20"/>
          <w:color w:val="auto"/>
        </w:rPr>
      </w:pPr>
      <w:r>
        <w:rPr>
          <w:rFonts w:ascii="Arial" w:cs="Arial" w:eastAsia="Arial" w:hAnsi="Arial"/>
          <w:sz w:val="16"/>
          <w:szCs w:val="16"/>
          <w:color w:val="auto"/>
        </w:rPr>
        <w:t>You have requested our opinion with respect to certain matters in connection with the sale and issuance by Tarsus Pharmaceuticals,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of up to an aggregate of 6,440,000 shares of the Company’s common stock, par value $0.0001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(including up to an aggregate of 840,000 shares that may be sold pursuant to the exercise of an option granted by the Company to the underwriters), pursuant to (i) a shelf registration statement on Form S-3 (File No. 333-260665)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on November 1, 2021, and declared effective by the Commission on November 5, 2021,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as supplemented by the prospectus supplement dated May 2, 2022 filed or to be filed with the Commission pursuant to Rule 424(b) under the Act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and</w:t>
      </w:r>
    </w:p>
    <w:p>
      <w:pPr>
        <w:spacing w:after="0" w:line="2" w:lineRule="exact"/>
        <w:rPr>
          <w:sz w:val="20"/>
          <w:szCs w:val="20"/>
          <w:color w:val="auto"/>
        </w:rPr>
      </w:pPr>
    </w:p>
    <w:p>
      <w:pPr>
        <w:ind w:left="4" w:right="20" w:hanging="4"/>
        <w:spacing w:after="0" w:line="260" w:lineRule="auto"/>
        <w:tabs>
          <w:tab w:leader="none" w:pos="32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underwriting agreement dated May 2, 2022 and entered into between the Company and BofA Securities, Inc. and Jefferies LLC, as representatives of the several underwriters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w:t>
      </w:r>
    </w:p>
    <w:p>
      <w:pPr>
        <w:spacing w:after="0" w:line="185" w:lineRule="exact"/>
        <w:rPr>
          <w:sz w:val="20"/>
          <w:szCs w:val="20"/>
          <w:color w:val="auto"/>
        </w:rPr>
      </w:pPr>
    </w:p>
    <w:p>
      <w:pPr>
        <w:jc w:val="both"/>
        <w:ind w:left="4"/>
        <w:spacing w:after="0" w:line="273" w:lineRule="auto"/>
        <w:rPr>
          <w:sz w:val="20"/>
          <w:szCs w:val="20"/>
          <w:color w:val="auto"/>
        </w:rPr>
      </w:pPr>
      <w:r>
        <w:rPr>
          <w:rFonts w:ascii="Arial" w:cs="Arial" w:eastAsia="Arial" w:hAnsi="Arial"/>
          <w:sz w:val="17"/>
          <w:szCs w:val="17"/>
          <w:color w:val="auto"/>
        </w:rPr>
        <w:t>In connection with this opinion, we have examined and relied upon the Registration Statement and the Prospectus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w:t>
      </w:r>
    </w:p>
    <w:p>
      <w:pPr>
        <w:spacing w:after="0" w:line="178" w:lineRule="exact"/>
        <w:rPr>
          <w:sz w:val="20"/>
          <w:szCs w:val="20"/>
          <w:color w:val="auto"/>
        </w:rPr>
      </w:pPr>
    </w:p>
    <w:p>
      <w:pPr>
        <w:jc w:val="both"/>
        <w:ind w:left="4"/>
        <w:spacing w:after="0" w:line="291" w:lineRule="auto"/>
        <w:rPr>
          <w:sz w:val="20"/>
          <w:szCs w:val="20"/>
          <w:color w:val="auto"/>
        </w:rPr>
      </w:pPr>
      <w:r>
        <w:rPr>
          <w:rFonts w:ascii="Arial" w:cs="Arial" w:eastAsia="Arial" w:hAnsi="Arial"/>
          <w:sz w:val="16"/>
          <w:szCs w:val="16"/>
          <w:color w:val="auto"/>
        </w:rPr>
        <w:t>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1585595</wp:posOffset>
            </wp:positionH>
            <wp:positionV relativeFrom="paragraph">
              <wp:posOffset>71755</wp:posOffset>
            </wp:positionV>
            <wp:extent cx="3823335" cy="300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23335" cy="30035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49" w:name="page50"/>
    <w:bookmarkEnd w:id="49"/>
    <w:p>
      <w:pPr>
        <w:jc w:val="both"/>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foregoing and the other matters set forth herein, it is our opinion that when the Shares to be issued and sold by the Company are issued and paid for in accordance with the terms of the Underwriting Agreement, such Shares will be validly issued, fully paid and nonassessable.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reference to our firm under the caption “Legal Matters” included in the Prospectus and to the filing of this opinion as an exhibit to the Company’s Current Report on Form 8-K dated May 3, 2022. In giving such consent, we do not thereby admit that we are in the category of persons whose consent is required under Section 7 of the Act or the rules and regulations of the Commission thereunder.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Gunderson Dettmer Stough</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Villeneuve Franklin &amp; Hachigian, LLP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GUNDERSON DETTMER STOUGH</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VILLENEUVE FRANKLIN &amp; HACHIGIAN, LLP</w:t>
      </w:r>
    </w:p>
    <w:p>
      <w:pPr>
        <w:sectPr>
          <w:pgSz w:w="11900" w:h="16838" w:orient="portrait"/>
          <w:cols w:equalWidth="0" w:num="1">
            <w:col w:w="11020"/>
          </w:cols>
          <w:pgMar w:left="440" w:top="274" w:right="4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171450</wp:posOffset>
            </wp:positionV>
            <wp:extent cx="1440180" cy="1045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Announces Proposed $50 Million Underwritten Public Offering of Shares of its Common Stock</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IRVINE, Calif., May 2, 2022 — Tarsus Pharmaceuticals, Inc. (NASDAQ: TARS) (the “Company” or “Tarsus”), whose mission is to focus on unmet needs and apply proven science and new technology to revolutionize treatment for patients, starting with eye care, today announced the commencement of an underwritten public offering of $50 million of shares of its common stock. Tarsus also expects to grant the underwriters a 30-day option to purchase an additional 15% of the shares of its common stock. The offering is subject to market and other conditions, and there can be no assurance as to whether or when the offering may be completed, or as to the actual size or terms of the offering. All of the shares in the proposed offering are to be sold by Tarsus.</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BofA Securities, Jefferies, Barclays and Raymond James are acting as joint book-running managers for the offering. LifeSci Capital is acting as lead manager for the offering.</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A preliminary prospectus supplement related to the offering (including the accompanying prospectus) will be filed with the SEC and will be available on the SEC’s website located at </w:t>
      </w:r>
      <w:r>
        <w:rPr>
          <w:rFonts w:ascii="Arial" w:cs="Arial" w:eastAsia="Arial" w:hAnsi="Arial"/>
          <w:sz w:val="16"/>
          <w:szCs w:val="16"/>
          <w:i w:val="1"/>
          <w:iCs w:val="1"/>
          <w:color w:val="auto"/>
        </w:rPr>
        <w:t>www.sec.gov</w:t>
      </w:r>
      <w:r>
        <w:rPr>
          <w:rFonts w:ascii="Arial" w:cs="Arial" w:eastAsia="Arial" w:hAnsi="Arial"/>
          <w:sz w:val="16"/>
          <w:szCs w:val="16"/>
          <w:color w:val="auto"/>
        </w:rPr>
        <w:t>. Copies of the preliminary prospectus supplement and the accompanying prospectus may also be obtained, when available, from BofA Securities, NC1-004-03-43, 200 North College Street, 3rd floor, Charlotte, NC 28255-0001, Attn: Prospectus Department, or via email at dg.prospectus_requests@bofa.com; Jefferies by telephone at 1-877-821-7388 or by email at prospectus_department@jefferies.com; Barclays, c/o Broadridge Financial Solutions, 1155 Long Island Avenue, Edgewood, NY 11717, by telephone at 1-888-603-5847 or by email at barclaysprospectus@broadridge.com; and Raymond James at 1-800-248-8863 or by email at prospectus@raymondjames.com.</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 Any offer, if at all, will be made only by means of a final prospectus supplement and accompanying prospectus forming a part of the effective registration statement.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Tarsus Pharmaceuticals, Inc.</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Tarsus Pharmaceuticals, Inc. applies proven science and new technology to revolutionize treatment for patients, starting with eye care. It is advancing its pipeline to address several diseases with high unmet need across a range of therapeutic categories, including eye care, dermatology, and infectious disease prevention. The company is studying two investigational medicines in clinical trials. Its lead product candidate, TP-03, is a novel therapeutic which has demonstrated positive results in two pivotal trials for the treatment of </w:t>
      </w:r>
      <w:r>
        <w:rPr>
          <w:rFonts w:ascii="Arial" w:cs="Arial" w:eastAsia="Arial" w:hAnsi="Arial"/>
          <w:sz w:val="18"/>
          <w:szCs w:val="18"/>
          <w:i w:val="1"/>
          <w:iCs w:val="1"/>
          <w:color w:val="auto"/>
        </w:rPr>
        <w:t>Demodex</w:t>
      </w:r>
      <w:r>
        <w:rPr>
          <w:rFonts w:ascii="Arial" w:cs="Arial" w:eastAsia="Arial" w:hAnsi="Arial"/>
          <w:sz w:val="18"/>
          <w:szCs w:val="18"/>
          <w:color w:val="auto"/>
        </w:rPr>
        <w:t xml:space="preserve"> blepharitis. TP-03 is also being developed for the treatment of Meibomian Gland Disease. In addition, Tarsus is developing TP-05, an oral, non-vaccine therapeutic for the prevention of Lyme disease, which is currently being studied in a Phase 1b clinical trial.</w:t>
      </w:r>
    </w:p>
    <w:p>
      <w:pPr>
        <w:sectPr>
          <w:pgSz w:w="11900" w:h="16838" w:orient="portrait"/>
          <w:cols w:equalWidth="0" w:num="1">
            <w:col w:w="11020"/>
          </w:cols>
          <w:pgMar w:left="440" w:top="121" w:right="439" w:bottom="1440" w:gutter="0" w:footer="0" w:header="0"/>
        </w:sectPr>
      </w:pPr>
    </w:p>
    <w:bookmarkStart w:id="51" w:name="page52"/>
    <w:bookmarkEnd w:id="5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facts, may constitute “forward-looking statements.” The words, without limitation, “believe,” “contemplate,” “continue,” “could,” “estimate,” “expect,”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“intend,” “may,” “might,” “plan,” “potential,” “predict,” “project,” “should,” “target,” “will,” or “would,” or the negative of these terms or other similar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expressions are intended to identify forward-looking statements, although not all forward-looking statements contain these or similar identifying words.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Actual results may differ materially from those indicated by such forward-looking statements as a result of various important factors; including, but not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limited to, risks and uncertainties related to market conditions and satisfaction of customary closing conditions related to the proposed public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offering. Further, there are other risks and uncertainties that could cause actual results to differ from those set forth in the forward-looking statement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they are detailed from time to time in the reports Tarsus files with the Securities and Exchange Commission, including Tarsus’ Form 10-K for the year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ended December 31, 2021 filed on March 14, 2022 with the SEC, which Tarsus incorporates by reference into this press release, copies of which are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posted on its website and are available from Tarsus without charge. However, new risk factors and uncertainties may emerge from time to time, and it is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not possible to predict all risk factors and uncertainties. Accordingly, readers are cautioned not to place undue reliance on these forward-looking</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statements. Any forward-looking statements contained in this press release are based on the current expectations of Tarsus’ management team and speak</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only as of the date hereof, and Tarsus specifically disclaims any obligation to update any forward-looking statement, whether as a result of new</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information, future events or otherwise.</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Media Contact: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Adrienne Kemp</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Sr. Director, Corporate Communications</w:t>
      </w:r>
    </w:p>
    <w:p>
      <w:pPr>
        <w:spacing w:after="0" w:line="9" w:lineRule="exact"/>
        <w:rPr>
          <w:sz w:val="20"/>
          <w:szCs w:val="20"/>
          <w:color w:val="auto"/>
        </w:rPr>
      </w:pPr>
    </w:p>
    <w:p>
      <w:pPr>
        <w:ind w:left="444" w:hanging="444"/>
        <w:spacing w:after="0"/>
        <w:tabs>
          <w:tab w:leader="none" w:pos="444" w:val="left"/>
        </w:tabs>
        <w:numPr>
          <w:ilvl w:val="0"/>
          <w:numId w:val="45"/>
        </w:numPr>
        <w:rPr>
          <w:rFonts w:ascii="Arial" w:cs="Arial" w:eastAsia="Arial" w:hAnsi="Arial"/>
          <w:sz w:val="18"/>
          <w:szCs w:val="18"/>
          <w:color w:val="auto"/>
        </w:rPr>
      </w:pPr>
      <w:r>
        <w:rPr>
          <w:rFonts w:ascii="Arial" w:cs="Arial" w:eastAsia="Arial" w:hAnsi="Arial"/>
          <w:sz w:val="18"/>
          <w:szCs w:val="18"/>
          <w:color w:val="auto"/>
        </w:rPr>
        <w:t>922-0801</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u w:val="single" w:color="auto"/>
          <w:color w:val="auto"/>
        </w:rPr>
        <w:t>akemp@tarsusrx.com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Investor Contact: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David Nakasone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ind w:left="4" w:right="9060" w:hanging="4"/>
        <w:spacing w:after="0" w:line="323" w:lineRule="auto"/>
        <w:tabs>
          <w:tab w:leader="none" w:pos="439"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620-3223 </w:t>
      </w:r>
      <w:r>
        <w:rPr>
          <w:rFonts w:ascii="Arial" w:cs="Arial" w:eastAsia="Arial" w:hAnsi="Arial"/>
          <w:sz w:val="16"/>
          <w:szCs w:val="16"/>
          <w:u w:val="single" w:color="auto"/>
          <w:color w:val="auto"/>
        </w:rPr>
        <w:t>DNakasone@tarsusrx.com</w:t>
      </w:r>
    </w:p>
    <w:p>
      <w:pPr>
        <w:sectPr>
          <w:pgSz w:w="11900" w:h="16838" w:orient="portrait"/>
          <w:cols w:equalWidth="0" w:num="1">
            <w:col w:w="10984"/>
          </w:cols>
          <w:pgMar w:left="436" w:top="270" w:right="4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171450</wp:posOffset>
            </wp:positionV>
            <wp:extent cx="1440180" cy="1045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Announces Pricing of Upsized $75.6 Million Underwritten Public Offering of Common Stock</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IRVINE, Calif., May 3, 2022 — Tarsus Pharmaceuticals, Inc. (NASDAQ: TARS) (the “Company” or “Tarsus”), whose mission is to focus on unmet needs and apply proven science and new technology to revolutionize treatment for patients, starting with eye care, today announced the pricing of an upsized underwritten public offering of 5,600,000 shares of common stock at a public offering price of $13.50 per share, which represents $75.6 million of common stock, before underwriting discounts and commissions. In addition, Tarsus has granted the underwriters a 30-day option to purchase up to 840,000 additional shares of common stock at the public offering price, less underwriting discounts and commissions. All of the shares in the offering are to be sold by Tarsus. The offering is expected to close on or about May 5, 2022, subject to customary closing conditions.</w:t>
      </w:r>
    </w:p>
    <w:p>
      <w:pPr>
        <w:spacing w:after="0" w:line="1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BofA Securities, Jefferies, Barclays and Raymond James are acting as joint book-running managers for the offering. LifeSci Capital is acting as lead manager for the offering.</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securities are being offered pursuant to an effective shelf registration statement that was filed with the U.S. Securities and Exchange Commission (the “SEC”) on November 1, 2021. This offering is being made only by means of a prospectus supplement and the accompanying prospectus which forms a part of the effective shelf registration statement.</w:t>
      </w:r>
    </w:p>
    <w:p>
      <w:pPr>
        <w:spacing w:after="0" w:line="18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 preliminary prospectus supplement related to the offering (including the accompanying prospectus) has been filed with the SEC and is available on the SEC’s website located at www.sec.gov. Copies of the final prospectus supplement and the accompanying prospectus may also be obtained, when available, from BofA Securities, NC1-004-03-43, 200 North College Street, 3rd floor, Charlotte, NC 28255-0001, Attn: Prospectus Department, or via email at dg.prospectus_requests@bofa.com; Jefferies by telephone at 1-877-821-7388 or by email at prospectus_department@jefferies.com; Barclays, c/o Broadridge Financial Solutions, 1155 Long Island Avenue, Edgewood, NY 11717, by telephone at 1-888-603-5847 or by email at barclaysprospectus@broadridge.com; and Raymond James at 1-800-248-8863 or by email at prospectus@raymondjames.com.</w:t>
      </w:r>
    </w:p>
    <w:p>
      <w:pPr>
        <w:spacing w:after="0" w:line="16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020"/>
          </w:cols>
          <w:pgMar w:left="440" w:top="121" w:right="439" w:bottom="1440" w:gutter="0" w:footer="0" w:header="0"/>
        </w:sectPr>
      </w:pPr>
    </w:p>
    <w:bookmarkStart w:id="53" w:name="page54"/>
    <w:bookmarkEnd w:id="5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Tarsus Pharmaceuticals, Inc.</w:t>
      </w:r>
    </w:p>
    <w:p>
      <w:pPr>
        <w:spacing w:after="0" w:line="121"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color w:val="auto"/>
        </w:rPr>
        <w:t xml:space="preserve">Tarsus Pharmaceuticals, Inc. applies proven science and new technology to revolutionize treatment for patients, starting with eye care. It is advancing its pipeline to address several diseases with high unmet need across a range of therapeutic categories, including eye care, dermatology, and infectious disease prevention. The company is studying two investigational medicines in clinical trials. Its lead product candidate, TP-03, is a novel therapeutic which has demonstrated positive results in two pivotal trials for the treatment of </w:t>
      </w:r>
      <w:r>
        <w:rPr>
          <w:rFonts w:ascii="Arial" w:cs="Arial" w:eastAsia="Arial" w:hAnsi="Arial"/>
          <w:sz w:val="18"/>
          <w:szCs w:val="18"/>
          <w:i w:val="1"/>
          <w:iCs w:val="1"/>
          <w:color w:val="auto"/>
        </w:rPr>
        <w:t>Demodex</w:t>
      </w:r>
      <w:r>
        <w:rPr>
          <w:rFonts w:ascii="Arial" w:cs="Arial" w:eastAsia="Arial" w:hAnsi="Arial"/>
          <w:sz w:val="18"/>
          <w:szCs w:val="18"/>
          <w:color w:val="auto"/>
        </w:rPr>
        <w:t xml:space="preserve"> blepharitis. TP-03 is also being developed for the treatment of Meibomian Gland Disease. In addition, Tarsus is developing TP-05, an oral, non-vaccine therapeutic for the prevention of Lyme disease, which is currently being studied in a Phase 1b clinical trial.</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Statements in this press release may contain “forward-looking statements” that are subject to substantial risks and uncertainties. Forward-looking statements contained in this press release may be identified by the use of words such as “may,” “will,” “should,” “expect,” “plan,” “anticipate,” “could,” “intend,” “target,” “project,” “contemplate,” “believe,” “estimate,” “predict,” “potential” or “continue” or the negative of these terms or other similar expressions, and include, but are not limited to, statements regarding the completion of the public offering. Any forward-looking statements are based on Tarsus’ current expectations, forecasts, and assumptions and are subject to a number of risks and uncertainties that could cause actual outcomes and results to differ materially and adversely from those set forth in or implied by such forward-looking statements. These risks and uncertainties include, but are not limited to, risks and uncertainties related to market conditions and satisfaction of customary closing conditions related to the public offering. For a discussion of other risks and uncertainties, and other important factors, any of which could cause our actual results to differ from those contained in the forward-looking statements, see the section entitled “Risk Factors” in Tarsus’ most recent Annual Report on Form 10-K, its other reports filed with the SEC, as well as in the final prospectus supplement related to the public offering. Forward-looking statements contained in this announcement are based on information available to Tarsus as of the date hereof and are made only as of the date of this release. Tarsus undertakes no obligation to update such information except as required under applicable law. These forward-looking statements should not be relied upon as representing Tarsus’ views as of any date subsequent to the date of this press release. In light of the foregoing, investors are urged not to rely on any forward-looking statement in reaching any conclusion or making any investment decision about any securities of Tarsus.</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Media Contact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Adrienne Kemp</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Sr. Director, Corporate Communications</w:t>
      </w:r>
    </w:p>
    <w:p>
      <w:pPr>
        <w:spacing w:after="0" w:line="9" w:lineRule="exact"/>
        <w:rPr>
          <w:sz w:val="20"/>
          <w:szCs w:val="20"/>
          <w:color w:val="auto"/>
        </w:rPr>
      </w:pPr>
    </w:p>
    <w:p>
      <w:pPr>
        <w:ind w:left="4" w:right="9360" w:hanging="4"/>
        <w:spacing w:after="0" w:line="323" w:lineRule="auto"/>
        <w:tabs>
          <w:tab w:leader="none" w:pos="439" w:val="left"/>
        </w:tabs>
        <w:numPr>
          <w:ilvl w:val="0"/>
          <w:numId w:val="47"/>
        </w:numPr>
        <w:rPr>
          <w:rFonts w:ascii="Arial" w:cs="Arial" w:eastAsia="Arial" w:hAnsi="Arial"/>
          <w:sz w:val="16"/>
          <w:szCs w:val="16"/>
          <w:color w:val="auto"/>
        </w:rPr>
      </w:pPr>
      <w:r>
        <w:rPr>
          <w:rFonts w:ascii="Arial" w:cs="Arial" w:eastAsia="Arial" w:hAnsi="Arial"/>
          <w:sz w:val="16"/>
          <w:szCs w:val="16"/>
          <w:color w:val="auto"/>
        </w:rPr>
        <w:t>922-0801 AKemp@tarsusrx.com</w:t>
      </w:r>
    </w:p>
    <w:p>
      <w:pPr>
        <w:spacing w:after="0" w:line="24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Investor Contact</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David Nakasone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ind w:left="4" w:right="9100" w:hanging="4"/>
        <w:spacing w:after="0" w:line="323" w:lineRule="auto"/>
        <w:tabs>
          <w:tab w:leader="none" w:pos="439"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620-3223 </w:t>
      </w:r>
      <w:r>
        <w:rPr>
          <w:rFonts w:ascii="Arial" w:cs="Arial" w:eastAsia="Arial" w:hAnsi="Arial"/>
          <w:sz w:val="16"/>
          <w:szCs w:val="16"/>
          <w:u w:val="single" w:color="auto"/>
          <w:color w:val="auto"/>
        </w:rPr>
        <w:t>DNakasone@tarsusrx.com</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lowerLetter"/>
      <w:start w:val="1"/>
    </w:lvl>
    <w:lvl w:ilvl="1">
      <w:lvlJc w:val="left"/>
      <w:lvlText w:val="(%2)"/>
      <w:numFmt w:val="lowerLetter"/>
      <w:start w:val="9"/>
    </w:lvl>
  </w:abstractNum>
  <w:abstractNum w:abstractNumId="2">
    <w:nsid w:val="4353D0CD"/>
    <w:multiLevelType w:val="hybridMultilevel"/>
    <w:lvl w:ilvl="0">
      <w:lvlJc w:val="left"/>
      <w:lvlText w:val="(%1)"/>
      <w:numFmt w:val="lowerRoman"/>
      <w:start w:val="2"/>
    </w:lvl>
  </w:abstractNum>
  <w:abstractNum w:abstractNumId="3">
    <w:nsid w:val="B03E0C6"/>
    <w:multiLevelType w:val="hybridMultilevel"/>
    <w:lvl w:ilvl="0">
      <w:lvlJc w:val="left"/>
      <w:lvlText w:val="(%1)"/>
      <w:numFmt w:val="lowerRoman"/>
      <w:start w:val="3"/>
    </w:lvl>
  </w:abstractNum>
  <w:abstractNum w:abstractNumId="4">
    <w:nsid w:val="189A769B"/>
    <w:multiLevelType w:val="hybridMultilevel"/>
    <w:lvl w:ilvl="0">
      <w:lvlJc w:val="left"/>
      <w:lvlText w:val="(%1)"/>
      <w:numFmt w:val="lowerRoman"/>
      <w:start w:val="5"/>
    </w:lvl>
  </w:abstractNum>
  <w:abstractNum w:abstractNumId="5">
    <w:nsid w:val="54E49EB4"/>
    <w:multiLevelType w:val="hybridMultilevel"/>
    <w:lvl w:ilvl="0">
      <w:lvlJc w:val="left"/>
      <w:lvlText w:val="(%1)"/>
      <w:numFmt w:val="lowerRoman"/>
      <w:start w:val="10"/>
    </w:lvl>
  </w:abstractNum>
  <w:abstractNum w:abstractNumId="6">
    <w:nsid w:val="71F32454"/>
    <w:multiLevelType w:val="hybridMultilevel"/>
    <w:lvl w:ilvl="0">
      <w:lvlJc w:val="left"/>
      <w:lvlText w:val="(%1)"/>
      <w:numFmt w:val="lowerRoman"/>
      <w:start w:val="17"/>
    </w:lvl>
  </w:abstractNum>
  <w:abstractNum w:abstractNumId="7">
    <w:nsid w:val="2CA88611"/>
    <w:multiLevelType w:val="hybridMultilevel"/>
    <w:lvl w:ilvl="0">
      <w:lvlJc w:val="left"/>
      <w:lvlText w:val="%1"/>
      <w:numFmt w:val="upperLetter"/>
      <w:start w:val="1"/>
    </w:lvl>
    <w:lvl w:ilvl="1">
      <w:lvlJc w:val="left"/>
      <w:lvlText w:val="(%2)"/>
      <w:numFmt w:val="lowerRoman"/>
      <w:start w:val="19"/>
    </w:lvl>
  </w:abstractNum>
  <w:abstractNum w:abstractNumId="8">
    <w:nsid w:val="836C40E"/>
    <w:multiLevelType w:val="hybridMultilevel"/>
    <w:lvl w:ilvl="0">
      <w:lvlJc w:val="left"/>
      <w:lvlText w:val="(%1)"/>
      <w:numFmt w:val="upperLetter"/>
      <w:start w:val="2"/>
    </w:lvl>
    <w:lvl w:ilvl="1">
      <w:lvlJc w:val="left"/>
      <w:lvlText w:val="%2"/>
      <w:numFmt w:val="lowerRoman"/>
      <w:start w:val="1"/>
    </w:lvl>
  </w:abstractNum>
  <w:abstractNum w:abstractNumId="9">
    <w:nsid w:val="2901D82"/>
    <w:multiLevelType w:val="hybridMultilevel"/>
    <w:lvl w:ilvl="0">
      <w:lvlJc w:val="left"/>
      <w:lvlText w:val="(%1)"/>
      <w:numFmt w:val="lowerRoman"/>
      <w:start w:val="23"/>
    </w:lvl>
  </w:abstractNum>
  <w:abstractNum w:abstractNumId="10">
    <w:nsid w:val="3A95F874"/>
    <w:multiLevelType w:val="hybridMultilevel"/>
    <w:lvl w:ilvl="0">
      <w:lvlJc w:val="left"/>
      <w:lvlText w:val="%1"/>
      <w:numFmt w:val="upperLetter"/>
      <w:start w:val="1"/>
    </w:lvl>
    <w:lvl w:ilvl="1">
      <w:lvlJc w:val="left"/>
      <w:lvlText w:val="(%2)"/>
      <w:numFmt w:val="lowerRoman"/>
      <w:start w:val="24"/>
    </w:lvl>
  </w:abstractNum>
  <w:abstractNum w:abstractNumId="11">
    <w:nsid w:val="8138641"/>
    <w:multiLevelType w:val="hybridMultilevel"/>
    <w:lvl w:ilvl="0">
      <w:lvlJc w:val="left"/>
      <w:lvlText w:val="(%1)"/>
      <w:numFmt w:val="upperLetter"/>
      <w:start w:val="1"/>
    </w:lvl>
    <w:lvl w:ilvl="1">
      <w:lvlJc w:val="left"/>
      <w:lvlText w:val="(%2)"/>
      <w:numFmt w:val="lowerRoman"/>
      <w:start w:val="25"/>
    </w:lvl>
  </w:abstractNum>
  <w:abstractNum w:abstractNumId="12">
    <w:nsid w:val="1E7FF521"/>
    <w:multiLevelType w:val="hybridMultilevel"/>
    <w:lvl w:ilvl="0">
      <w:lvlJc w:val="left"/>
      <w:lvlText w:val="(%1)"/>
      <w:numFmt w:val="lowerRoman"/>
      <w:start w:val="26"/>
    </w:lvl>
  </w:abstractNum>
  <w:abstractNum w:abstractNumId="13">
    <w:nsid w:val="7C3DBD3D"/>
    <w:multiLevelType w:val="hybridMultilevel"/>
    <w:lvl w:ilvl="0">
      <w:lvlJc w:val="left"/>
      <w:lvlText w:val="(%1)"/>
      <w:numFmt w:val="lowerRoman"/>
      <w:start w:val="28"/>
    </w:lvl>
  </w:abstractNum>
  <w:abstractNum w:abstractNumId="14">
    <w:nsid w:val="737B8DDC"/>
    <w:multiLevelType w:val="hybridMultilevel"/>
    <w:lvl w:ilvl="0">
      <w:lvlJc w:val="left"/>
      <w:lvlText w:val="(%1)"/>
      <w:numFmt w:val="lowerRoman"/>
      <w:start w:val="34"/>
    </w:lvl>
  </w:abstractNum>
  <w:abstractNum w:abstractNumId="15">
    <w:nsid w:val="6CEAF087"/>
    <w:multiLevelType w:val="hybridMultilevel"/>
    <w:lvl w:ilvl="0">
      <w:lvlJc w:val="left"/>
      <w:lvlText w:val="%1"/>
      <w:numFmt w:val="upperLetter"/>
      <w:start w:val="1"/>
    </w:lvl>
    <w:lvl w:ilvl="1">
      <w:lvlJc w:val="left"/>
      <w:lvlText w:val="(%2)"/>
      <w:numFmt w:val="lowerRoman"/>
      <w:start w:val="38"/>
    </w:lvl>
  </w:abstractNum>
  <w:abstractNum w:abstractNumId="16">
    <w:nsid w:val="22221A70"/>
    <w:multiLevelType w:val="hybridMultilevel"/>
    <w:lvl w:ilvl="0">
      <w:lvlJc w:val="left"/>
      <w:lvlText w:val="(%1)"/>
      <w:numFmt w:val="upperLetter"/>
      <w:start w:val="1"/>
    </w:lvl>
    <w:lvl w:ilvl="1">
      <w:lvlJc w:val="left"/>
      <w:lvlText w:val="%2"/>
      <w:numFmt w:val="lowerRoman"/>
      <w:start w:val="1"/>
    </w:lvl>
  </w:abstractNum>
  <w:abstractNum w:abstractNumId="17">
    <w:nsid w:val="4516DDE9"/>
    <w:multiLevelType w:val="hybridMultilevel"/>
    <w:lvl w:ilvl="0">
      <w:lvlJc w:val="left"/>
      <w:lvlText w:val="(%1)"/>
      <w:numFmt w:val="lowerLetter"/>
      <w:start w:val="2"/>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1)"/>
      <w:numFmt w:val="lowerLetter"/>
      <w:start w:val="9"/>
    </w:lvl>
    <w:lvl w:ilvl="1">
      <w:lvlJc w:val="left"/>
      <w:lvlText w:val="(%2)"/>
      <w:numFmt w:val="lowerLetter"/>
      <w:start w:val="3"/>
    </w:lvl>
  </w:abstractNum>
  <w:abstractNum w:abstractNumId="21">
    <w:nsid w:val="5577F8E1"/>
    <w:multiLevelType w:val="hybridMultilevel"/>
    <w:lvl w:ilvl="0">
      <w:lvlJc w:val="left"/>
      <w:lvlText w:val="(%1)"/>
      <w:numFmt w:val="lowerLetter"/>
      <w:start w:val="6"/>
    </w:lvl>
  </w:abstractNum>
  <w:abstractNum w:abstractNumId="22">
    <w:nsid w:val="440BADFC"/>
    <w:multiLevelType w:val="hybridMultilevel"/>
    <w:lvl w:ilvl="0">
      <w:lvlJc w:val="left"/>
      <w:lvlText w:val="(%1)"/>
      <w:numFmt w:val="lowerLetter"/>
      <w:start w:val="10"/>
    </w:lvl>
  </w:abstractNum>
  <w:abstractNum w:abstractNumId="23">
    <w:nsid w:val="5072367"/>
    <w:multiLevelType w:val="hybridMultilevel"/>
    <w:lvl w:ilvl="0">
      <w:lvlJc w:val="left"/>
      <w:lvlText w:val="(%1)"/>
      <w:numFmt w:val="lowerLetter"/>
      <w:start w:val="15"/>
    </w:lvl>
  </w:abstractNum>
  <w:abstractNum w:abstractNumId="24">
    <w:nsid w:val="3804823E"/>
    <w:multiLevelType w:val="hybridMultilevel"/>
    <w:lvl w:ilvl="0">
      <w:lvlJc w:val="left"/>
      <w:lvlText w:val="%1"/>
      <w:numFmt w:val="lowerLetter"/>
      <w:start w:val="1"/>
    </w:lvl>
    <w:lvl w:ilvl="1">
      <w:lvlJc w:val="left"/>
      <w:lvlText w:val="(%2)"/>
      <w:numFmt w:val="lowerLetter"/>
      <w:start w:val="1"/>
    </w:lvl>
  </w:abstractNum>
  <w:abstractNum w:abstractNumId="25">
    <w:nsid w:val="77465F01"/>
    <w:multiLevelType w:val="hybridMultilevel"/>
    <w:lvl w:ilvl="0">
      <w:lvlJc w:val="left"/>
      <w:lvlText w:val="(%1)"/>
      <w:numFmt w:val="lowerLetter"/>
      <w:start w:val="9"/>
    </w:lvl>
    <w:lvl w:ilvl="1">
      <w:lvlJc w:val="left"/>
      <w:lvlText w:val="%2"/>
      <w:numFmt w:val="lowerLetter"/>
      <w:start w:val="1"/>
    </w:lvl>
  </w:abstractNum>
  <w:abstractNum w:abstractNumId="26">
    <w:nsid w:val="7724C67E"/>
    <w:multiLevelType w:val="hybridMultilevel"/>
    <w:lvl w:ilvl="0">
      <w:lvlJc w:val="left"/>
      <w:lvlText w:val="(%1)"/>
      <w:numFmt w:val="lowerLetter"/>
      <w:start w:val="1"/>
    </w:lvl>
    <w:lvl w:ilvl="1">
      <w:lvlJc w:val="left"/>
      <w:lvlText w:val="(%2)"/>
      <w:numFmt w:val="lowerRoman"/>
      <w:start w:val="1"/>
    </w:lvl>
  </w:abstractNum>
  <w:abstractNum w:abstractNumId="27">
    <w:nsid w:val="5C482A97"/>
    <w:multiLevelType w:val="hybridMultilevel"/>
    <w:lvl w:ilvl="0">
      <w:lvlJc w:val="left"/>
      <w:lvlText w:val="(%1)"/>
      <w:numFmt w:val="lowerLetter"/>
      <w:start w:val="5"/>
    </w:lvl>
    <w:lvl w:ilvl="1">
      <w:lvlJc w:val="left"/>
      <w:lvlText w:val="(%2)"/>
      <w:numFmt w:val="lowerRoman"/>
      <w:start w:val="1"/>
    </w:lvl>
  </w:abstractNum>
  <w:abstractNum w:abstractNumId="28">
    <w:nsid w:val="2463B9EA"/>
    <w:multiLevelType w:val="hybridMultilevel"/>
    <w:lvl w:ilvl="0">
      <w:lvlJc w:val="left"/>
      <w:lvlText w:val="%1"/>
      <w:numFmt w:val="lowerLetter"/>
      <w:start w:val="1"/>
    </w:lvl>
    <w:lvl w:ilvl="1">
      <w:lvlJc w:val="left"/>
      <w:lvlText w:val="(%2)"/>
      <w:numFmt w:val="lowerRoman"/>
      <w:start w:val="3"/>
    </w:lvl>
  </w:abstractNum>
  <w:abstractNum w:abstractNumId="29">
    <w:nsid w:val="5E884ADC"/>
    <w:multiLevelType w:val="hybridMultilevel"/>
    <w:lvl w:ilvl="0">
      <w:lvlJc w:val="left"/>
      <w:lvlText w:val="(%1)"/>
      <w:numFmt w:val="lowerLetter"/>
      <w:start w:val="13"/>
    </w:lvl>
    <w:lvl w:ilvl="1">
      <w:lvlJc w:val="left"/>
      <w:lvlText w:val="%2"/>
      <w:numFmt w:val="lowerRoman"/>
      <w:start w:val="1"/>
    </w:lvl>
  </w:abstractNum>
  <w:abstractNum w:abstractNumId="30">
    <w:nsid w:val="51EAD36B"/>
    <w:multiLevelType w:val="hybridMultilevel"/>
    <w:lvl w:ilvl="0">
      <w:lvlJc w:val="left"/>
      <w:lvlText w:val="(%1)"/>
      <w:numFmt w:val="lowerLetter"/>
      <w:start w:val="1"/>
    </w:lvl>
    <w:lvl w:ilvl="1">
      <w:lvlJc w:val="left"/>
      <w:lvlText w:val="(%2)"/>
      <w:numFmt w:val="lowerLetter"/>
      <w:start w:val="9"/>
    </w:lvl>
  </w:abstractNum>
  <w:abstractNum w:abstractNumId="31">
    <w:nsid w:val="2D517796"/>
    <w:multiLevelType w:val="hybridMultilevel"/>
    <w:lvl w:ilvl="0">
      <w:lvlJc w:val="left"/>
      <w:lvlText w:val="(%1)"/>
      <w:numFmt w:val="lowerRoman"/>
      <w:start w:val="2"/>
    </w:lvl>
  </w:abstractNum>
  <w:abstractNum w:abstractNumId="32">
    <w:nsid w:val="580BD78F"/>
    <w:multiLevelType w:val="hybridMultilevel"/>
    <w:lvl w:ilvl="0">
      <w:lvlJc w:val="left"/>
      <w:lvlText w:val="(%1)"/>
      <w:numFmt w:val="lowerLetter"/>
      <w:start w:val="2"/>
    </w:lvl>
  </w:abstractNum>
  <w:abstractNum w:abstractNumId="33">
    <w:nsid w:val="153EA438"/>
    <w:multiLevelType w:val="hybridMultilevel"/>
    <w:lvl w:ilvl="0">
      <w:lvlJc w:val="left"/>
      <w:lvlText w:val="(%1)"/>
      <w:numFmt w:val="lowerLetter"/>
      <w:start w:val="4"/>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2"/>
    </w:lvl>
  </w:abstractNum>
  <w:abstractNum w:abstractNumId="36">
    <w:nsid w:val="6A2342EC"/>
    <w:multiLevelType w:val="hybridMultilevel"/>
    <w:lvl w:ilvl="0">
      <w:lvlJc w:val="left"/>
      <w:lvlText w:val="(%1)"/>
      <w:numFmt w:val="lowerRoman"/>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4"/>
    </w:lvl>
    <w:lvl w:ilvl="1">
      <w:lvlJc w:val="left"/>
      <w:lvlText w:val="(%2)"/>
      <w:numFmt w:val="lowerRoman"/>
      <w:start w:val="1"/>
    </w:lvl>
  </w:abstractNum>
  <w:abstractNum w:abstractNumId="41">
    <w:nsid w:val="57E4CCAF"/>
    <w:multiLevelType w:val="hybridMultilevel"/>
    <w:lvl w:ilvl="0">
      <w:lvlJc w:val="left"/>
      <w:lvlText w:val="(%1)"/>
      <w:numFmt w:val="lowerRoman"/>
      <w:start w:val="8"/>
    </w:lvl>
  </w:abstractNum>
  <w:abstractNum w:abstractNumId="42">
    <w:nsid w:val="7A6D8D3C"/>
    <w:multiLevelType w:val="hybridMultilevel"/>
    <w:lvl w:ilvl="0">
      <w:lvlJc w:val="left"/>
      <w:lvlText w:val="(%1)"/>
      <w:numFmt w:val="lowerRoman"/>
      <w:start w:val="1"/>
    </w:lvl>
  </w:abstractNum>
  <w:abstractNum w:abstractNumId="43">
    <w:nsid w:val="4B588F54"/>
    <w:multiLevelType w:val="hybridMultilevel"/>
    <w:lvl w:ilvl="0">
      <w:lvlJc w:val="left"/>
      <w:lvlText w:val="(%1)"/>
      <w:numFmt w:val="lowerRoman"/>
      <w:start w:val="2"/>
    </w:lvl>
  </w:abstractNum>
  <w:abstractNum w:abstractNumId="44">
    <w:nsid w:val="542289EC"/>
    <w:multiLevelType w:val="hybridMultilevel"/>
    <w:lvl w:ilvl="0">
      <w:lvlJc w:val="left"/>
      <w:lvlText w:val="(%1)"/>
      <w:numFmt w:val="decimal"/>
      <w:start w:val="949"/>
    </w:lvl>
  </w:abstractNum>
  <w:abstractNum w:abstractNumId="45">
    <w:nsid w:val="6DE91B18"/>
    <w:multiLevelType w:val="hybridMultilevel"/>
    <w:lvl w:ilvl="0">
      <w:lvlJc w:val="left"/>
      <w:lvlText w:val="(%1)"/>
      <w:numFmt w:val="decimal"/>
      <w:start w:val="949"/>
    </w:lvl>
  </w:abstractNum>
  <w:abstractNum w:abstractNumId="46">
    <w:nsid w:val="38437FDB"/>
    <w:multiLevelType w:val="hybridMultilevel"/>
    <w:lvl w:ilvl="0">
      <w:lvlJc w:val="left"/>
      <w:lvlText w:val="(%1)"/>
      <w:numFmt w:val="decimal"/>
      <w:start w:val="949"/>
    </w:lvl>
  </w:abstractNum>
  <w:abstractNum w:abstractNumId="47">
    <w:nsid w:val="7644A45C"/>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2022-05-04T05:25:01Z</dcterms:created>
  <dcterms:modified xsi:type="dcterms:W3CDTF">2022-05-04T05:25:01Z</dcterms:modified>
</cp:coreProperties>
</file>