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8825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8252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Vivo Capital IX, LLC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1"/>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Tarsus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TARS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6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rPr>
                <w:sz w:val="2"/>
                <w:szCs w:val="2"/>
                <w:color w:val="auto"/>
              </w:rPr>
            </w:pPr>
          </w:p>
        </w:tc>
        <w:tc>
          <w:tcPr>
            <w:tcW w:w="1600" w:type="dxa"/>
            <w:vAlign w:val="bottom"/>
            <w:gridSpan w:val="5"/>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6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VIVO CAPITAL LLC</w:t>
            </w:r>
          </w:p>
        </w:tc>
        <w:tc>
          <w:tcPr>
            <w:tcW w:w="1340" w:type="dxa"/>
            <w:vAlign w:val="bottom"/>
          </w:tcPr>
          <w:p>
            <w:pPr>
              <w:spacing w:after="0"/>
              <w:rPr>
                <w:sz w:val="19"/>
                <w:szCs w:val="19"/>
                <w:color w:val="auto"/>
              </w:rPr>
            </w:pPr>
          </w:p>
        </w:tc>
        <w:tc>
          <w:tcPr>
            <w:tcW w:w="1500" w:type="dxa"/>
            <w:vAlign w:val="bottom"/>
            <w:gridSpan w:val="9"/>
          </w:tcPr>
          <w:p>
            <w:pPr>
              <w:ind w:left="160"/>
              <w:spacing w:after="0"/>
              <w:rPr>
                <w:sz w:val="20"/>
                <w:szCs w:val="20"/>
                <w:color w:val="auto"/>
              </w:rPr>
            </w:pPr>
            <w:r>
              <w:rPr>
                <w:rFonts w:ascii="Arial" w:cs="Arial" w:eastAsia="Arial" w:hAnsi="Arial"/>
                <w:sz w:val="17"/>
                <w:szCs w:val="17"/>
                <w:color w:val="0000FF"/>
              </w:rPr>
              <w:t>06/21/2021</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192 LYTTON AVENUE</w:t>
            </w: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5"/>
                <w:szCs w:val="5"/>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11"/>
            <w:vMerge w:val="continue"/>
          </w:tcPr>
          <w:p>
            <w:pPr>
              <w:spacing w:after="0"/>
              <w:rPr>
                <w:sz w:val="13"/>
                <w:szCs w:val="13"/>
                <w:color w:val="auto"/>
              </w:rPr>
            </w:pPr>
          </w:p>
        </w:tc>
        <w:tc>
          <w:tcPr>
            <w:tcW w:w="340" w:type="dxa"/>
            <w:vAlign w:val="bottom"/>
          </w:tcPr>
          <w:p>
            <w:pPr>
              <w:spacing w:after="0"/>
              <w:rPr>
                <w:sz w:val="13"/>
                <w:szCs w:val="13"/>
                <w:color w:val="auto"/>
              </w:rPr>
            </w:pPr>
          </w:p>
        </w:tc>
        <w:tc>
          <w:tcPr>
            <w:tcW w:w="3420" w:type="dxa"/>
            <w:vAlign w:val="bottom"/>
            <w:gridSpan w:val="1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gridSpan w:val="4"/>
          </w:tcPr>
          <w:p>
            <w:pPr>
              <w:ind w:left="80"/>
              <w:spacing w:after="0" w:line="120" w:lineRule="exact"/>
              <w:rPr>
                <w:sz w:val="20"/>
                <w:szCs w:val="20"/>
                <w:color w:val="auto"/>
              </w:rPr>
            </w:pPr>
            <w:r>
              <w:rPr>
                <w:rFonts w:ascii="Arial" w:cs="Arial" w:eastAsia="Arial" w:hAnsi="Arial"/>
                <w:sz w:val="13"/>
                <w:szCs w:val="13"/>
                <w:color w:val="auto"/>
              </w:rPr>
              <w:t>Line)</w:t>
            </w: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CA</w:t>
            </w:r>
          </w:p>
        </w:tc>
        <w:tc>
          <w:tcPr>
            <w:tcW w:w="1340" w:type="dxa"/>
            <w:vAlign w:val="bottom"/>
          </w:tcPr>
          <w:p>
            <w:pPr>
              <w:ind w:left="140"/>
              <w:spacing w:after="0"/>
              <w:rPr>
                <w:sz w:val="20"/>
                <w:szCs w:val="20"/>
                <w:color w:val="auto"/>
              </w:rPr>
            </w:pPr>
            <w:r>
              <w:rPr>
                <w:rFonts w:ascii="Arial" w:cs="Arial" w:eastAsia="Arial" w:hAnsi="Arial"/>
                <w:sz w:val="17"/>
                <w:szCs w:val="17"/>
                <w:color w:val="0000FF"/>
              </w:rPr>
              <w:t>94301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1080" w:type="dxa"/>
            <w:vAlign w:val="bottom"/>
            <w:tcBorders>
              <w:bottom w:val="single" w:sz="8" w:color="2C2C2C"/>
            </w:tcBorders>
            <w:gridSpan w:val="3"/>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23"/>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gridSpan w:val="5"/>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60" w:type="dxa"/>
            <w:vAlign w:val="bottom"/>
            <w:gridSpan w:val="5"/>
            <w:vMerge w:val="restart"/>
          </w:tcPr>
          <w:p>
            <w:pPr>
              <w:ind w:left="760"/>
              <w:spacing w:after="0"/>
              <w:rPr>
                <w:sz w:val="20"/>
                <w:szCs w:val="20"/>
                <w:color w:val="auto"/>
              </w:rPr>
            </w:pPr>
            <w:r>
              <w:rPr>
                <w:rFonts w:ascii="Arial" w:cs="Arial" w:eastAsia="Arial" w:hAnsi="Arial"/>
                <w:sz w:val="17"/>
                <w:szCs w:val="17"/>
                <w:color w:val="0000FF"/>
              </w:rPr>
              <w:t>06/21/2021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S</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0000FF"/>
              </w:rPr>
              <w:t>91,620</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700" w:type="dxa"/>
            <w:vAlign w:val="bottom"/>
            <w:gridSpan w:val="4"/>
            <w:vMerge w:val="restart"/>
          </w:tcPr>
          <w:p>
            <w:pPr>
              <w:ind w:left="12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29.7</w:t>
            </w:r>
            <w:r>
              <w:rPr>
                <w:rFonts w:ascii="Arial" w:cs="Arial" w:eastAsia="Arial" w:hAnsi="Arial"/>
                <w:sz w:val="22"/>
                <w:szCs w:val="22"/>
                <w:color w:val="008000"/>
                <w:w w:val="92"/>
                <w:vertAlign w:val="superscript"/>
              </w:rPr>
              <w:t>(1)</w:t>
            </w:r>
          </w:p>
        </w:tc>
        <w:tc>
          <w:tcPr>
            <w:tcW w:w="60" w:type="dxa"/>
            <w:vAlign w:val="bottom"/>
          </w:tcPr>
          <w:p>
            <w:pPr>
              <w:spacing w:after="0"/>
              <w:rPr>
                <w:sz w:val="22"/>
                <w:szCs w:val="2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7"/>
                <w:szCs w:val="17"/>
                <w:color w:val="0000FF"/>
              </w:rPr>
              <w:t>3,153,015</w:t>
            </w:r>
          </w:p>
        </w:tc>
        <w:tc>
          <w:tcPr>
            <w:tcW w:w="26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60" w:type="dxa"/>
            <w:vAlign w:val="bottom"/>
            <w:gridSpan w:val="5"/>
            <w:vMerge w:val="restart"/>
          </w:tcPr>
          <w:p>
            <w:pPr>
              <w:ind w:left="760"/>
              <w:spacing w:after="0"/>
              <w:rPr>
                <w:sz w:val="20"/>
                <w:szCs w:val="20"/>
                <w:color w:val="auto"/>
              </w:rPr>
            </w:pPr>
            <w:r>
              <w:rPr>
                <w:rFonts w:ascii="Arial" w:cs="Arial" w:eastAsia="Arial" w:hAnsi="Arial"/>
                <w:sz w:val="17"/>
                <w:szCs w:val="17"/>
                <w:color w:val="0000FF"/>
              </w:rPr>
              <w:t>06/22/2021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S</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0000FF"/>
              </w:rPr>
              <w:t>110,000</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700" w:type="dxa"/>
            <w:vAlign w:val="bottom"/>
            <w:gridSpan w:val="4"/>
            <w:vMerge w:val="restart"/>
          </w:tcPr>
          <w:p>
            <w:pPr>
              <w:ind w:left="12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28.5</w:t>
            </w:r>
            <w:r>
              <w:rPr>
                <w:rFonts w:ascii="Arial" w:cs="Arial" w:eastAsia="Arial" w:hAnsi="Arial"/>
                <w:sz w:val="22"/>
                <w:szCs w:val="22"/>
                <w:color w:val="008000"/>
                <w:w w:val="92"/>
                <w:vertAlign w:val="superscript"/>
              </w:rPr>
              <w:t>(2)</w:t>
            </w:r>
          </w:p>
        </w:tc>
        <w:tc>
          <w:tcPr>
            <w:tcW w:w="60" w:type="dxa"/>
            <w:vAlign w:val="bottom"/>
          </w:tcPr>
          <w:p>
            <w:pPr>
              <w:spacing w:after="0"/>
              <w:rPr>
                <w:sz w:val="22"/>
                <w:szCs w:val="2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7"/>
                <w:szCs w:val="17"/>
                <w:color w:val="0000FF"/>
              </w:rPr>
              <w:t>3,043,015</w:t>
            </w:r>
          </w:p>
        </w:tc>
        <w:tc>
          <w:tcPr>
            <w:tcW w:w="26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0" w:type="dxa"/>
            <w:vAlign w:val="bottom"/>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52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7"/>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Vivo Capital IX,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rPr>
              <w:t>C/O VIVO CAPITAL LLC</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rPr>
              <w:t>192 LYTTON AVENUE</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340" w:type="dxa"/>
            <w:vAlign w:val="bottom"/>
          </w:tcPr>
          <w:p>
            <w:pPr>
              <w:ind w:left="500"/>
              <w:spacing w:after="0"/>
              <w:rPr>
                <w:sz w:val="20"/>
                <w:szCs w:val="20"/>
                <w:color w:val="auto"/>
              </w:rPr>
            </w:pPr>
            <w:r>
              <w:rPr>
                <w:rFonts w:ascii="Arial" w:cs="Arial" w:eastAsia="Arial" w:hAnsi="Arial"/>
                <w:sz w:val="17"/>
                <w:szCs w:val="17"/>
                <w:color w:val="0000FF"/>
              </w:rPr>
              <w:t>94301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0000EE"/>
            </w:tcBorders>
            <w:gridSpan w:val="5"/>
          </w:tcPr>
          <w:p>
            <w:pPr>
              <w:spacing w:after="0" w:line="221" w:lineRule="exact"/>
              <w:rPr>
                <w:rFonts w:ascii="Arial" w:cs="Arial" w:eastAsia="Arial" w:hAnsi="Arial"/>
                <w:sz w:val="21"/>
                <w:szCs w:val="21"/>
                <w:color w:val="0000EE"/>
                <w:w w:val="94"/>
              </w:rPr>
            </w:pPr>
            <w:hyperlink r:id="rId14">
              <w:r>
                <w:rPr>
                  <w:rFonts w:ascii="Arial" w:cs="Arial" w:eastAsia="Arial" w:hAnsi="Arial"/>
                  <w:sz w:val="21"/>
                  <w:szCs w:val="21"/>
                  <w:color w:val="0000EE"/>
                  <w:w w:val="94"/>
                </w:rPr>
                <w:t>Vivo Capital Fund IX, L.P.</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rPr>
              <w:t>C/O VIVO CAPITAL LLC</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rPr>
              <w:t>192 LYTTON AVENUE</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340" w:type="dxa"/>
            <w:vAlign w:val="bottom"/>
          </w:tcPr>
          <w:p>
            <w:pPr>
              <w:ind w:left="500"/>
              <w:spacing w:after="0"/>
              <w:rPr>
                <w:sz w:val="20"/>
                <w:szCs w:val="20"/>
                <w:color w:val="auto"/>
              </w:rPr>
            </w:pPr>
            <w:r>
              <w:rPr>
                <w:rFonts w:ascii="Arial" w:cs="Arial" w:eastAsia="Arial" w:hAnsi="Arial"/>
                <w:sz w:val="17"/>
                <w:szCs w:val="17"/>
                <w:color w:val="0000FF"/>
              </w:rPr>
              <w:t>94301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herein is a weighted average price. These shares were sold in multiple transactions at prices ranging from $36.1 to $29.0, inclusive. The reporting person undertakes to provide to Tarsus Pharmaceuticals, Inc., any security holder of Tarsus Pharmaceuticals, Inc., or the staff of the Securities and Exchange Commission, upon request, full information regarding the number of shares sold at each separate price within the ranges set forth in footnote (1) to this Form 4.</w:t>
      </w:r>
    </w:p>
    <w:p>
      <w:pPr>
        <w:sectPr>
          <w:pgSz w:w="11900" w:h="16838" w:orient="portrait"/>
          <w:cols w:equalWidth="0" w:num="1">
            <w:col w:w="11080"/>
          </w:cols>
          <w:pgMar w:left="460" w:top="225" w:right="359" w:bottom="0" w:gutter="0" w:footer="0" w:header="0"/>
          <w:type w:val="continuous"/>
        </w:sectPr>
      </w:pPr>
    </w:p>
    <w:bookmarkStart w:id="1" w:name="page2"/>
    <w:bookmarkEnd w:id="1"/>
    <w:p>
      <w:pPr>
        <w:ind w:right="6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herein is a weighted average price. These shares were sold in multiple transactions at prices ranging from $29.0 to $28.1, inclusive. The reporting person undertakes to provide to Tarsus Pharmaceuticals, Inc., any security holder of Tarsus Pharmaceuticals, Inc., or the staff of the Securities and Exchange Commission, upon request, full information regarding the number of shares sold at each separate price within the ranges set forth in footnote (2) to this Form 4.</w:t>
      </w:r>
    </w:p>
    <w:p>
      <w:pPr>
        <w:spacing w:after="0" w:line="25" w:lineRule="exact"/>
        <w:rPr>
          <w:rFonts w:ascii="Arial" w:cs="Arial" w:eastAsia="Arial" w:hAnsi="Arial"/>
          <w:sz w:val="13"/>
          <w:szCs w:val="13"/>
          <w:color w:val="008000"/>
        </w:rPr>
      </w:pPr>
    </w:p>
    <w:p>
      <w:pPr>
        <w:ind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directly by Vivo Capital Fund IX, L.P. Vivo Capital IX, LLC is the general partner of Vivo Capital Fund IX, L.P. As the managing members of Vivo Capital IX, LLC, Frank Kung, Edgar Engleman, Shan Fu, Hongbo Lu, Jack Nielsen, Mahendra Shah and Michael Chang share voting and dispositive power over the shares held by Vivo Capital Fund IX, L.P., but each disclaims beneficial ownership of such shares except to the extent of their individual pecuniary interest therein.</w:t>
      </w:r>
    </w:p>
    <w:p>
      <w:pPr>
        <w:sectPr>
          <w:pgSz w:w="11900" w:h="16838" w:orient="portrait"/>
          <w:cols w:equalWidth="0" w:num="1">
            <w:col w:w="10760"/>
          </w:cols>
          <w:pgMar w:left="500" w:top="131" w:right="639" w:bottom="1440" w:gutter="0" w:footer="0" w:header="0"/>
        </w:sectPr>
      </w:pPr>
    </w:p>
    <w:p>
      <w:pPr>
        <w:spacing w:after="0" w:line="53"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/s/Frank Kung,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Member of Vivo Capital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/s/Frank Kung,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Member of Vivo Capital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LLC, General Partner of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57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Capital Fund IX,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10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92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0000FF"/>
        </w:rPr>
        <w:t>06/25/2021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06/25/2021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20" w:space="120"/>
            <w:col w:w="2020"/>
          </w:cols>
          <w:pgMar w:left="500" w:top="131" w:right="63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31"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12" Type="http://schemas.openxmlformats.org/officeDocument/2006/relationships/hyperlink" Target="http://www.sec.gov/cgi-bin/browse-edgar?action=getcompany&amp;CIK=0001750698" TargetMode="External"/><Relationship Id="rId13" Type="http://schemas.openxmlformats.org/officeDocument/2006/relationships/hyperlink" Target="http://www.sec.gov/cgi-bin/browse-edgar?action=getcompany&amp;CIK=0001819790" TargetMode="External"/><Relationship Id="rId14" Type="http://schemas.openxmlformats.org/officeDocument/2006/relationships/hyperlink" Target="http://www.sec.gov/cgi-bin/browse-edgar?action=getcompany&amp;CIK=00017501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2021-06-25T19:53:15Z</dcterms:created>
  <dcterms:modified xsi:type="dcterms:W3CDTF">2021-06-25T19:53:15Z</dcterms:modified>
</cp:coreProperties>
</file>