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191770</wp:posOffset>
            </wp:positionV>
            <wp:extent cx="699516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ind w:left="44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222885</wp:posOffset>
            </wp:positionV>
            <wp:extent cx="147447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(Rule 14a-101)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INFORMATION REQUIRED IN PROXY STATEMENT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SCHEDULE 14A INFORMATION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Securities 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222885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4"/>
        <w:spacing w:after="0" w:line="184" w:lineRule="exact"/>
        <w:tabs>
          <w:tab w:leader="none" w:pos="372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138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4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5"/>
          <w:szCs w:val="35"/>
          <w:b w:val="1"/>
          <w:bCs w:val="1"/>
          <w:color w:val="auto"/>
        </w:rPr>
        <w:t>TARSUS PHARMACEUTICALS,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38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0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appropriate boxes that apply):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2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372110</wp:posOffset>
            </wp:positionV>
            <wp:extent cx="699516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0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8092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80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8092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80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2022-05-02T06:07:26Z</dcterms:created>
  <dcterms:modified xsi:type="dcterms:W3CDTF">2022-05-02T06:07:26Z</dcterms:modified>
</cp:coreProperties>
</file>