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January 8, 2024</w:t>
      </w:r>
    </w:p>
    <w:p>
      <w:pPr>
        <w:spacing w:after="0" w:line="14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TARSUS PHARMACEUTICALS,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9" w:lineRule="exact"/>
        <w:rPr>
          <w:sz w:val="24"/>
          <w:szCs w:val="24"/>
          <w:color w:val="auto"/>
        </w:rPr>
      </w:pPr>
    </w:p>
    <w:tbl>
      <w:tblPr>
        <w:tblLayout w:type="fixed"/>
        <w:tblInd w:w="1400" w:type="dxa"/>
        <w:tblCellMar>
          <w:top w:w="0" w:type="dxa"/>
          <w:left w:w="0" w:type="dxa"/>
          <w:bottom w:w="0" w:type="dxa"/>
          <w:right w:w="0" w:type="dxa"/>
        </w:tblCellMar>
      </w:tblPr>
      <w:tr>
        <w:trPr>
          <w:trHeight w:val="142"/>
        </w:trPr>
        <w:tc>
          <w:tcPr>
            <w:tcW w:w="2580" w:type="dxa"/>
            <w:vAlign w:val="bottom"/>
          </w:tcPr>
          <w:p>
            <w:pPr>
              <w:jc w:val="center"/>
              <w:ind w:right="952"/>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080" w:type="dxa"/>
            <w:vAlign w:val="bottom"/>
            <w:vMerge w:val="restart"/>
          </w:tcPr>
          <w:p>
            <w:pPr>
              <w:jc w:val="right"/>
              <w:ind w:right="1292"/>
              <w:spacing w:after="0"/>
              <w:rPr>
                <w:sz w:val="20"/>
                <w:szCs w:val="20"/>
                <w:color w:val="auto"/>
              </w:rPr>
            </w:pPr>
            <w:r>
              <w:rPr>
                <w:rFonts w:ascii="Times New Roman" w:cs="Times New Roman" w:eastAsia="Times New Roman" w:hAnsi="Times New Roman"/>
                <w:sz w:val="11"/>
                <w:szCs w:val="11"/>
                <w:b w:val="1"/>
                <w:bCs w:val="1"/>
                <w:color w:val="auto"/>
              </w:rPr>
              <w:t>001-39614</w:t>
            </w:r>
          </w:p>
        </w:tc>
        <w:tc>
          <w:tcPr>
            <w:tcW w:w="236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81-4717861</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80" w:type="dxa"/>
            <w:vAlign w:val="bottom"/>
          </w:tcPr>
          <w:p>
            <w:pPr>
              <w:jc w:val="center"/>
              <w:ind w:right="952"/>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tc>
        <w:tc>
          <w:tcPr>
            <w:tcW w:w="3080" w:type="dxa"/>
            <w:vAlign w:val="bottom"/>
          </w:tcPr>
          <w:p>
            <w:pPr>
              <w:jc w:val="center"/>
              <w:ind w:right="32"/>
              <w:spacing w:after="0"/>
              <w:rPr>
                <w:sz w:val="20"/>
                <w:szCs w:val="20"/>
                <w:color w:val="auto"/>
              </w:rPr>
            </w:pPr>
            <w:r>
              <w:rPr>
                <w:rFonts w:ascii="Times New Roman" w:cs="Times New Roman" w:eastAsia="Times New Roman" w:hAnsi="Times New Roman"/>
                <w:sz w:val="8"/>
                <w:szCs w:val="8"/>
                <w:b w:val="1"/>
                <w:bCs w:val="1"/>
                <w:color w:val="auto"/>
              </w:rPr>
              <w:t>(Commission File Number)</w:t>
            </w:r>
          </w:p>
        </w:tc>
        <w:tc>
          <w:tcPr>
            <w:tcW w:w="2360" w:type="dxa"/>
            <w:vAlign w:val="bottom"/>
          </w:tcPr>
          <w:p>
            <w:pPr>
              <w:jc w:val="center"/>
              <w:ind w:left="1032"/>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15440 Laguna Canyon Road, Suite 160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Irvine, CA 92618</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231F20"/>
        </w:rPr>
        <w:t>(Address of principal executive offices, including Zip Code)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(949) 409-9820</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70"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231F20"/>
        </w:rPr>
        <w:t>Soliciting material pursuant to Rule 14a-12 under the Exchange Act (17 CFR 240.14a-12)</w:t>
      </w:r>
    </w:p>
    <w:p>
      <w:pPr>
        <w:spacing w:after="0" w:line="90"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22"/>
          <w:szCs w:val="22"/>
          <w:color w:val="auto"/>
          <w:vertAlign w:val="superscript"/>
        </w:rPr>
      </w:pPr>
      <w:r>
        <w:rPr>
          <w:rFonts w:ascii="Times New Roman" w:cs="Times New Roman" w:eastAsia="Times New Roman" w:hAnsi="Times New Roman"/>
          <w:sz w:val="11"/>
          <w:szCs w:val="11"/>
          <w:color w:val="231F20"/>
        </w:rPr>
        <w:t>Pre-commencement communications pursuant to Rule 14d-2(b) under the Exchange Act (17 CFR 240.14d-2(b))</w:t>
      </w:r>
    </w:p>
    <w:p>
      <w:pPr>
        <w:spacing w:after="0" w:line="156" w:lineRule="exact"/>
        <w:rPr>
          <w:rFonts w:ascii="MS PGothic" w:cs="MS PGothic" w:eastAsia="MS PGothic" w:hAnsi="MS PGothic"/>
          <w:sz w:val="22"/>
          <w:szCs w:val="22"/>
          <w:color w:val="auto"/>
          <w:vertAlign w:val="superscript"/>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231F20"/>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Trading Symbol(s)</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Name of each exchange on which registered</w:t>
            </w:r>
          </w:p>
        </w:tc>
      </w:tr>
      <w:tr>
        <w:trPr>
          <w:trHeight w:val="116"/>
        </w:trPr>
        <w:tc>
          <w:tcPr>
            <w:tcW w:w="478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1"/>
                <w:szCs w:val="11"/>
                <w:color w:val="auto"/>
                <w:w w:val="97"/>
              </w:rPr>
              <w:t>Common Stock, $0.0001 par value per share</w:t>
            </w:r>
          </w:p>
        </w:tc>
        <w:tc>
          <w:tcPr>
            <w:tcW w:w="192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1"/>
                <w:szCs w:val="11"/>
                <w:color w:val="auto"/>
                <w:w w:val="92"/>
              </w:rPr>
              <w:t>TARS</w:t>
            </w:r>
          </w:p>
        </w:tc>
        <w:tc>
          <w:tcPr>
            <w:tcW w:w="46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color w:val="auto"/>
                <w:w w:val="98"/>
              </w:rPr>
              <w:t>The Nasdaq Stock Market LLC</w:t>
            </w:r>
          </w:p>
        </w:tc>
      </w:tr>
      <w:tr>
        <w:trPr>
          <w:trHeight w:val="140"/>
        </w:trPr>
        <w:tc>
          <w:tcPr>
            <w:tcW w:w="478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Nasdaq Global Select Market</w:t>
            </w:r>
          </w:p>
        </w:tc>
      </w:tr>
      <w:tr>
        <w:trPr>
          <w:trHeight w:val="22"/>
        </w:trPr>
        <w:tc>
          <w:tcPr>
            <w:tcW w:w="478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198" w:lineRule="exact"/>
        <w:rPr>
          <w:sz w:val="24"/>
          <w:szCs w:val="24"/>
          <w:color w:val="auto"/>
        </w:rPr>
      </w:pPr>
    </w:p>
    <w:p>
      <w:pPr>
        <w:ind w:right="100"/>
        <w:spacing w:after="0" w:line="141"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1"/>
          <w:szCs w:val="11"/>
          <w:color w:val="231F20"/>
        </w:rPr>
        <w:t>Emerging growth</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color w:val="231F20"/>
        </w:rPr>
        <w:t xml:space="preserve">company </w:t>
      </w:r>
      <w:r>
        <w:rPr>
          <w:rFonts w:ascii="MS PGothic" w:cs="MS PGothic" w:eastAsia="MS PGothic" w:hAnsi="MS PGothic"/>
          <w:sz w:val="11"/>
          <w:szCs w:val="11"/>
          <w:color w:val="231F20"/>
        </w:rPr>
        <w:t>☒</w:t>
      </w:r>
    </w:p>
    <w:p>
      <w:pPr>
        <w:spacing w:after="0" w:line="9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574040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140970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0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8, 2024, Tarsus Pharmaceuticals, Inc. (the “Company”) published a corporate presentation on the Investor &amp; News section of its website, which is filed as Exhibit 99.1 to this Current Report on Form 8-K (the “Report”).</w:t>
      </w:r>
    </w:p>
    <w:p>
      <w:pPr>
        <w:spacing w:after="0" w:line="159" w:lineRule="exact"/>
        <w:rPr>
          <w:sz w:val="20"/>
          <w:szCs w:val="20"/>
          <w:color w:val="auto"/>
        </w:rPr>
      </w:pPr>
    </w:p>
    <w:p>
      <w:pPr>
        <w:jc w:val="both"/>
        <w:ind w:right="360"/>
        <w:spacing w:after="0" w:line="249" w:lineRule="auto"/>
        <w:rPr>
          <w:sz w:val="20"/>
          <w:szCs w:val="20"/>
          <w:color w:val="auto"/>
        </w:rPr>
      </w:pPr>
      <w:r>
        <w:rPr>
          <w:rFonts w:ascii="Times New Roman" w:cs="Times New Roman" w:eastAsia="Times New Roman" w:hAnsi="Times New Roman"/>
          <w:sz w:val="12"/>
          <w:szCs w:val="12"/>
          <w:color w:val="auto"/>
        </w:rPr>
        <w:t>The information in this Report, including Exhibit 99.1 hereto,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c>
          <w:tcPr>
            <w:tcW w:w="40" w:type="dxa"/>
            <w:vAlign w:val="bottom"/>
          </w:tcPr>
          <w:p>
            <w:pPr>
              <w:spacing w:after="0"/>
              <w:rPr>
                <w:sz w:val="24"/>
                <w:szCs w:val="24"/>
                <w:color w:val="auto"/>
              </w:rPr>
            </w:pPr>
          </w:p>
        </w:tc>
      </w:tr>
      <w:tr>
        <w:trPr>
          <w:trHeight w:val="128"/>
        </w:trPr>
        <w:tc>
          <w:tcPr>
            <w:tcW w:w="2540" w:type="dxa"/>
            <w:vAlign w:val="bottom"/>
          </w:tcPr>
          <w:p>
            <w:pPr>
              <w:jc w:val="right"/>
              <w:ind w:right="360"/>
              <w:spacing w:after="0" w:line="129" w:lineRule="exact"/>
              <w:rPr>
                <w:sz w:val="20"/>
                <w:szCs w:val="20"/>
                <w:color w:val="auto"/>
              </w:rPr>
            </w:pPr>
            <w:r>
              <w:rPr>
                <w:rFonts w:ascii="Times New Roman" w:cs="Times New Roman" w:eastAsia="Times New Roman" w:hAnsi="Times New Roman"/>
                <w:sz w:val="12"/>
                <w:szCs w:val="12"/>
                <w:color w:val="auto"/>
              </w:rPr>
              <w:t>99.1</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2"/>
                <w:szCs w:val="12"/>
                <w:color w:val="0000FF"/>
                <w:w w:val="99"/>
              </w:rPr>
              <w:t>Tarsus Pharmaceuticals, Inc. Corporate Presentation.</w:t>
            </w:r>
          </w:p>
        </w:tc>
        <w:tc>
          <w:tcPr>
            <w:tcW w:w="5740" w:type="dxa"/>
            <w:vAlign w:val="bottom"/>
            <w:gridSpan w:val="2"/>
          </w:tcPr>
          <w:p>
            <w:pPr>
              <w:spacing w:after="0"/>
              <w:rPr>
                <w:sz w:val="11"/>
                <w:szCs w:val="11"/>
                <w:color w:val="auto"/>
              </w:rPr>
            </w:pPr>
          </w:p>
        </w:tc>
      </w:tr>
      <w:tr>
        <w:trPr>
          <w:trHeight w:val="187"/>
        </w:trPr>
        <w:tc>
          <w:tcPr>
            <w:tcW w:w="25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104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XBRL document)</w:t>
            </w:r>
          </w:p>
        </w:tc>
      </w:tr>
      <w:tr>
        <w:trPr>
          <w:trHeight w:val="675"/>
        </w:trPr>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TARSUS PHARMACEUTICALS, INC.</w:t>
            </w:r>
          </w:p>
        </w:tc>
      </w:tr>
      <w:tr>
        <w:trPr>
          <w:trHeight w:val="346"/>
        </w:trPr>
        <w:tc>
          <w:tcPr>
            <w:tcW w:w="1100" w:type="dxa"/>
            <w:vAlign w:val="bottom"/>
          </w:tcPr>
          <w:p>
            <w:pPr>
              <w:spacing w:after="0"/>
              <w:rPr>
                <w:sz w:val="20"/>
                <w:szCs w:val="20"/>
                <w:color w:val="auto"/>
              </w:rPr>
            </w:pPr>
            <w:r>
              <w:rPr>
                <w:rFonts w:ascii="Times New Roman" w:cs="Times New Roman" w:eastAsia="Times New Roman" w:hAnsi="Times New Roman"/>
                <w:sz w:val="12"/>
                <w:szCs w:val="12"/>
                <w:color w:val="auto"/>
              </w:rPr>
              <w:t>Date:</w:t>
            </w:r>
          </w:p>
        </w:tc>
        <w:tc>
          <w:tcPr>
            <w:tcW w:w="240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January 8, 2024</w:t>
            </w:r>
          </w:p>
        </w:tc>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Jeffrey S. Farrow</w:t>
            </w:r>
          </w:p>
        </w:tc>
      </w:tr>
      <w:tr>
        <w:trPr>
          <w:trHeight w:val="156"/>
        </w:trPr>
        <w:tc>
          <w:tcPr>
            <w:tcW w:w="1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Jeffrey S. Farrow</w:t>
            </w:r>
          </w:p>
        </w:tc>
      </w:tr>
      <w:tr>
        <w:trPr>
          <w:trHeight w:val="171"/>
        </w:trPr>
        <w:tc>
          <w:tcPr>
            <w:tcW w:w="1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 and Chief Strategy Officer</w:t>
            </w:r>
          </w:p>
        </w:tc>
      </w:tr>
      <w:tr>
        <w:trPr>
          <w:trHeight w:val="171"/>
        </w:trPr>
        <w:tc>
          <w:tcPr>
            <w:tcW w:w="1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78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(Principal Financial Officer and Principal Accounting Officer)</w:t>
            </w:r>
          </w:p>
        </w:tc>
      </w:tr>
    </w:tbl>
    <w:p>
      <w:pPr>
        <w:sectPr>
          <w:pgSz w:w="11900" w:h="16838" w:orient="portrait"/>
          <w:cols w:equalWidth="0" w:num="1">
            <w:col w:w="11300"/>
          </w:cols>
          <w:pgMar w:left="300" w:top="831"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2024-01-08T08:12:47Z</dcterms:created>
  <dcterms:modified xsi:type="dcterms:W3CDTF">2024-01-08T08:12:47Z</dcterms:modified>
</cp:coreProperties>
</file>