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93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Neervannan Seshadri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1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48,116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48,116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32,592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32,592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-2452370</wp:posOffset>
            </wp:positionV>
            <wp:extent cx="29210" cy="2457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shares shall vest on March 8, 2024, and 1/48th of the option shares shall vest each month thereafter for a period of 3 years subject to the Reporting Person's continuous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RSUs will vest on March 15th of each of 2024, 2025, 2026, and 2027,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s/ Leonard M. Greenstein,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7584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2023-03-10T18:36:48Z</dcterms:created>
  <dcterms:modified xsi:type="dcterms:W3CDTF">2023-03-10T18:36:48Z</dcterms:modified>
</cp:coreProperties>
</file>