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10415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318672.96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34218886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10415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12/20/2023 40000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810562.89</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12/27/2023 8000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161733.45</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For the Securities Sold During the past 3 months section: in regards to sales from Bobak Azamian Living Trust on</w:t>
            </w:r>
          </w:p>
        </w:tc>
        <w:tc>
          <w:tcPr>
            <w:tcW w:w="0" w:type="dxa"/>
            <w:vAlign w:val="bottom"/>
          </w:tcPr>
          <w:p>
            <w:pPr>
              <w:spacing w:after="0"/>
              <w:rPr>
                <w:sz w:val="1"/>
                <w:szCs w:val="1"/>
                <w:color w:val="auto"/>
              </w:rPr>
            </w:pPr>
          </w:p>
        </w:tc>
      </w:tr>
      <w:tr>
        <w:trPr>
          <w:trHeight w:val="282"/>
        </w:trPr>
        <w:tc>
          <w:tcPr>
            <w:tcW w:w="860" w:type="dxa"/>
            <w:vAlign w:val="bottom"/>
            <w:vMerge w:val="continue"/>
          </w:tcPr>
          <w:p>
            <w:pPr>
              <w:spacing w:after="0"/>
              <w:rPr>
                <w:sz w:val="24"/>
                <w:szCs w:val="24"/>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12/20/23 and 12/27/23 Bobak Azamian is a trustee.</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03/18/2024</w:t>
            </w:r>
          </w:p>
        </w:tc>
        <w:tc>
          <w:tcPr>
            <w:tcW w:w="0" w:type="dxa"/>
            <w:vAlign w:val="bottom"/>
          </w:tcPr>
          <w:p>
            <w:pPr>
              <w:spacing w:after="0"/>
              <w:rPr>
                <w:sz w:val="1"/>
                <w:szCs w:val="1"/>
                <w:color w:val="auto"/>
              </w:rPr>
            </w:pPr>
          </w:p>
        </w:tc>
      </w:t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1000" w:right="160" w:hanging="959"/>
        <w:spacing w:after="0"/>
        <w:tabs>
          <w:tab w:leader="none" w:pos="980" w:val="left"/>
        </w:tabs>
        <w:rPr>
          <w:sz w:val="20"/>
          <w:szCs w:val="20"/>
          <w:color w:val="auto"/>
        </w:rPr>
      </w:pPr>
      <w:r>
        <w:rPr>
          <w:rFonts w:ascii="Times New Roman" w:cs="Times New Roman" w:eastAsia="Times New Roman" w:hAnsi="Times New Roman"/>
          <w:sz w:val="37"/>
          <w:szCs w:val="37"/>
          <w:color w:val="auto"/>
          <w:vertAlign w:val="subscript"/>
        </w:rPr>
        <w:t>Signature</w:t>
      </w:r>
      <w:r>
        <w:rPr>
          <w:sz w:val="20"/>
          <w:szCs w:val="20"/>
          <w:color w:val="auto"/>
        </w:rPr>
        <w:tab/>
      </w:r>
      <w:r>
        <w:rPr>
          <w:rFonts w:ascii="Times New Roman" w:cs="Times New Roman" w:eastAsia="Times New Roman" w:hAnsi="Times New Roman"/>
          <w:sz w:val="19"/>
          <w:szCs w:val="19"/>
          <w:color w:val="auto"/>
        </w:rPr>
        <w:t>/s/Wade Moss, as a duly authorized representative of Fidelity Brokerage Services LLC, as attorney-in-fact for Bobak Azamian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2024-03-18T15:09:19Z</dcterms:created>
  <dcterms:modified xsi:type="dcterms:W3CDTF">2024-03-18T15:09:19Z</dcterms:modified>
</cp:coreProperties>
</file>