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Ackermann Michael</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Tarsus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TARS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C/O TARSUS PHARMACEUTICALS, INC.</w:t>
            </w:r>
          </w:p>
        </w:tc>
        <w:tc>
          <w:tcPr>
            <w:tcW w:w="1540" w:type="dxa"/>
            <w:vAlign w:val="bottom"/>
            <w:gridSpan w:val="6"/>
          </w:tcPr>
          <w:p>
            <w:pPr>
              <w:ind w:left="160"/>
              <w:spacing w:after="0"/>
              <w:rPr>
                <w:sz w:val="20"/>
                <w:szCs w:val="20"/>
                <w:color w:val="auto"/>
              </w:rPr>
            </w:pPr>
            <w:r>
              <w:rPr>
                <w:rFonts w:ascii="Arial" w:cs="Arial" w:eastAsia="Arial" w:hAnsi="Arial"/>
                <w:sz w:val="17"/>
                <w:szCs w:val="17"/>
                <w:color w:val="0000FF"/>
              </w:rPr>
              <w:t>11/01/2021</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15440 LAGUNA CANYON ROAD, SUITE 160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7"/>
                <w:szCs w:val="17"/>
                <w:color w:val="0000FF"/>
              </w:rPr>
              <w:t>IRVINE</w:t>
            </w:r>
          </w:p>
        </w:tc>
        <w:tc>
          <w:tcPr>
            <w:tcW w:w="840" w:type="dxa"/>
            <w:vAlign w:val="bottom"/>
          </w:tcPr>
          <w:p>
            <w:pPr>
              <w:ind w:left="580"/>
              <w:spacing w:after="0"/>
              <w:rPr>
                <w:sz w:val="20"/>
                <w:szCs w:val="20"/>
                <w:color w:val="auto"/>
              </w:rPr>
            </w:pPr>
            <w:r>
              <w:rPr>
                <w:rFonts w:ascii="Arial" w:cs="Arial" w:eastAsia="Arial" w:hAnsi="Arial"/>
                <w:sz w:val="17"/>
                <w:szCs w:val="17"/>
                <w:color w:val="0000FF"/>
              </w:rPr>
              <w:t>CA</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92618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420" w:type="dxa"/>
            <w:vAlign w:val="bottom"/>
            <w:tcBorders>
              <w:bottom w:val="single" w:sz="8" w:color="2C2C2C"/>
            </w:tcBorders>
            <w:gridSpan w:val="5"/>
          </w:tcPr>
          <w:p>
            <w:pPr>
              <w:spacing w:after="0"/>
              <w:rPr>
                <w:sz w:val="11"/>
                <w:szCs w:val="11"/>
                <w:color w:val="auto"/>
              </w:rPr>
            </w:pPr>
          </w:p>
        </w:tc>
        <w:tc>
          <w:tcPr>
            <w:tcW w:w="132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460" w:type="dxa"/>
            <w:vAlign w:val="bottom"/>
            <w:tcBorders>
              <w:top w:val="single" w:sz="8" w:color="2C2C2C"/>
            </w:tcBorders>
            <w:gridSpan w:val="18"/>
          </w:tcPr>
          <w:p>
            <w:pPr>
              <w:ind w:left="3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7"/>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80" w:type="dxa"/>
            <w:vAlign w:val="bottom"/>
            <w:gridSpan w:val="5"/>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00"/>
              <w:spacing w:after="0"/>
              <w:rPr>
                <w:sz w:val="20"/>
                <w:szCs w:val="20"/>
                <w:color w:val="auto"/>
              </w:rPr>
            </w:pPr>
            <w:r>
              <w:rPr>
                <w:rFonts w:ascii="Arial" w:cs="Arial" w:eastAsia="Arial" w:hAnsi="Arial"/>
                <w:sz w:val="17"/>
                <w:szCs w:val="17"/>
                <w:color w:val="0000FF"/>
              </w:rPr>
              <w:t>11/01/2021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gridSpan w:val="2"/>
          </w:tcPr>
          <w:p>
            <w:pPr>
              <w:jc w:val="right"/>
              <w:ind w:right="180"/>
              <w:spacing w:after="0"/>
              <w:rPr>
                <w:sz w:val="20"/>
                <w:szCs w:val="20"/>
                <w:color w:val="auto"/>
              </w:rPr>
            </w:pPr>
            <w:r>
              <w:rPr>
                <w:rFonts w:ascii="Arial" w:cs="Arial" w:eastAsia="Arial" w:hAnsi="Arial"/>
                <w:sz w:val="17"/>
                <w:szCs w:val="17"/>
                <w:color w:val="0000FF"/>
              </w:rPr>
              <w:t>4,964</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ind w:left="12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27.76</w:t>
            </w:r>
            <w:r>
              <w:rPr>
                <w:rFonts w:ascii="Arial" w:cs="Arial" w:eastAsia="Arial" w:hAnsi="Arial"/>
                <w:sz w:val="22"/>
                <w:szCs w:val="22"/>
                <w:color w:val="008000"/>
                <w:w w:val="97"/>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1,210,718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00"/>
              <w:spacing w:after="0"/>
              <w:rPr>
                <w:sz w:val="20"/>
                <w:szCs w:val="20"/>
                <w:color w:val="auto"/>
              </w:rPr>
            </w:pPr>
            <w:r>
              <w:rPr>
                <w:rFonts w:ascii="Arial" w:cs="Arial" w:eastAsia="Arial" w:hAnsi="Arial"/>
                <w:sz w:val="17"/>
                <w:szCs w:val="17"/>
                <w:color w:val="0000FF"/>
              </w:rPr>
              <w:t>11/01/2021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gridSpan w:val="2"/>
          </w:tcPr>
          <w:p>
            <w:pPr>
              <w:jc w:val="right"/>
              <w:ind w:right="260"/>
              <w:spacing w:after="0"/>
              <w:rPr>
                <w:sz w:val="20"/>
                <w:szCs w:val="20"/>
                <w:color w:val="auto"/>
              </w:rPr>
            </w:pPr>
            <w:r>
              <w:rPr>
                <w:rFonts w:ascii="Arial" w:cs="Arial" w:eastAsia="Arial" w:hAnsi="Arial"/>
                <w:sz w:val="17"/>
                <w:szCs w:val="17"/>
                <w:color w:val="0000FF"/>
              </w:rPr>
              <w:t>869</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ind w:left="12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28.18</w:t>
            </w:r>
            <w:r>
              <w:rPr>
                <w:rFonts w:ascii="Arial" w:cs="Arial" w:eastAsia="Arial" w:hAnsi="Arial"/>
                <w:sz w:val="22"/>
                <w:szCs w:val="22"/>
                <w:color w:val="008000"/>
                <w:w w:val="97"/>
                <w:vertAlign w:val="superscript"/>
              </w:rPr>
              <w:t>(3)</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1,209,849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by an automatic sale pursuant to a Rule 10b5-1 trading plan adopted by the Reporting Person on May 13, 2021.</w:t>
      </w:r>
    </w:p>
    <w:p>
      <w:pPr>
        <w:spacing w:after="0" w:line="50"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with the range of $27.10 to $28.07.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 shares were pooled and sold in multiple transactions at prices ranging from $28.11 to $28.27.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Leonard M. Greenstein,</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11/03/2021</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1249"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2021-11-03T18:02:35Z</dcterms:created>
  <dcterms:modified xsi:type="dcterms:W3CDTF">2021-11-03T18:02:35Z</dcterms:modified>
</cp:coreProperties>
</file>