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Mottiwala Aziz</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Tarsus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69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9" w:lineRule="exact"/>
        <w:rPr>
          <w:sz w:val="24"/>
          <w:szCs w:val="24"/>
          <w:color w:val="auto"/>
        </w:rPr>
      </w:pPr>
    </w:p>
    <w:p>
      <w:pPr>
        <w:sectPr>
          <w:pgSz w:w="11900" w:h="16838" w:orient="portrait"/>
          <w:cols w:equalWidth="0" w:num="3">
            <w:col w:w="3440" w:space="46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92618</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03/15/2023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4,790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54,940</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03/16/2023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336</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13.43</w:t>
            </w:r>
          </w:p>
        </w:tc>
        <w:tc>
          <w:tcPr>
            <w:tcW w:w="120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54,604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3"/>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4,790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03/15/2023</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4,790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14,370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421 shares acquired under the Issuer's employee stock purchase plan on December 31, 2022.</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granted on March 9, 2022, under the Tarsus Pharmaceuticals, Inc. 2020 Stock Plan. 25% of the RSUs will vest on March 15th of each of 2023, 2024, 2025, and 2026,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Leonard M. Greenstein,</w:t>
            </w:r>
          </w:p>
        </w:tc>
        <w:tc>
          <w:tcPr>
            <w:tcW w:w="3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03/17/2023</w:t>
            </w:r>
          </w:p>
        </w:tc>
        <w:tc>
          <w:tcPr>
            <w:tcW w:w="0" w:type="dxa"/>
            <w:vAlign w:val="bottom"/>
          </w:tcPr>
          <w:p>
            <w:pPr>
              <w:spacing w:after="0"/>
              <w:rPr>
                <w:sz w:val="1"/>
                <w:szCs w:val="1"/>
                <w:color w:val="auto"/>
              </w:rPr>
            </w:pPr>
          </w:p>
        </w:tc>
      </w:tr>
      <w:tr>
        <w:trPr>
          <w:trHeight w:val="89"/>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10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2023-03-17T19:45:59Z</dcterms:created>
  <dcterms:modified xsi:type="dcterms:W3CDTF">2023-03-17T19:45:59Z</dcterms:modified>
</cp:coreProperties>
</file>