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574675</wp:posOffset>
            </wp:positionV>
            <wp:extent cx="1663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201930</wp:posOffset>
            </wp:positionV>
            <wp:extent cx="1663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74295</wp:posOffset>
            </wp:positionV>
            <wp:extent cx="1663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1480" w:hanging="1364"/>
        <w:spacing w:after="0"/>
        <w:tabs>
          <w:tab w:leader="none" w:pos="1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6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30" w:lineRule="exact"/>
        <w:rPr>
          <w:sz w:val="24"/>
          <w:szCs w:val="24"/>
          <w:color w:val="auto"/>
        </w:rPr>
      </w:pPr>
    </w:p>
    <w:p>
      <w:pPr>
        <w:ind w:left="1440" w:hanging="1351"/>
        <w:spacing w:after="0"/>
        <w:tabs>
          <w:tab w:leader="none" w:pos="1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4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 to ____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4321810</wp:posOffset>
            </wp:positionH>
            <wp:positionV relativeFrom="paragraph">
              <wp:posOffset>-3175</wp:posOffset>
            </wp:positionV>
            <wp:extent cx="25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-3175</wp:posOffset>
            </wp:positionV>
            <wp:extent cx="26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001-39614</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TARSUS PHARMACEUTICALS,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210820</wp:posOffset>
            </wp:positionV>
            <wp:extent cx="16630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260" w:type="dxa"/>
            <w:vAlign w:val="bottom"/>
          </w:tcPr>
          <w:p>
            <w:pPr>
              <w:spacing w:after="0"/>
              <w:rPr>
                <w:sz w:val="18"/>
                <w:szCs w:val="18"/>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20" w:type="dxa"/>
            <w:vAlign w:val="bottom"/>
          </w:tcPr>
          <w:p>
            <w:pPr>
              <w:spacing w:after="0"/>
              <w:rPr>
                <w:sz w:val="18"/>
                <w:szCs w:val="18"/>
                <w:color w:val="auto"/>
              </w:rPr>
            </w:pPr>
          </w:p>
        </w:tc>
        <w:tc>
          <w:tcPr>
            <w:tcW w:w="374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3620" w:type="dxa"/>
            <w:vAlign w:val="bottom"/>
            <w:gridSpan w:val="2"/>
          </w:tcPr>
          <w:p>
            <w:pPr>
              <w:jc w:val="center"/>
              <w:ind w:right="160"/>
              <w:spacing w:after="0" w:line="168"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00" w:type="dxa"/>
            <w:vAlign w:val="bottom"/>
          </w:tcPr>
          <w:p>
            <w:pPr>
              <w:jc w:val="center"/>
              <w:ind w:right="403"/>
              <w:spacing w:after="0" w:line="168" w:lineRule="exact"/>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jc w:val="center"/>
              <w:ind w:right="403"/>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1260" w:type="dxa"/>
            <w:vAlign w:val="bottom"/>
          </w:tcPr>
          <w:p>
            <w:pPr>
              <w:spacing w:after="0"/>
              <w:rPr>
                <w:sz w:val="24"/>
                <w:szCs w:val="24"/>
                <w:color w:val="auto"/>
              </w:rPr>
            </w:pPr>
          </w:p>
        </w:tc>
        <w:tc>
          <w:tcPr>
            <w:tcW w:w="3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15440 Laguna Canyon Road, Suite 160</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Irvine, California</w:t>
            </w:r>
          </w:p>
        </w:tc>
        <w:tc>
          <w:tcPr>
            <w:tcW w:w="1420" w:type="dxa"/>
            <w:vAlign w:val="bottom"/>
          </w:tcPr>
          <w:p>
            <w:pPr>
              <w:spacing w:after="0"/>
              <w:rPr>
                <w:sz w:val="19"/>
                <w:szCs w:val="19"/>
                <w:color w:val="auto"/>
              </w:rPr>
            </w:pPr>
          </w:p>
        </w:tc>
        <w:tc>
          <w:tcPr>
            <w:tcW w:w="374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9"/>
              </w:rPr>
              <w:t>92618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jc w:val="center"/>
              <w:ind w:right="383"/>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0" w:type="dxa"/>
            <w:vAlign w:val="bottom"/>
          </w:tcPr>
          <w:p>
            <w:pPr>
              <w:spacing w:after="0"/>
              <w:rPr>
                <w:sz w:val="1"/>
                <w:szCs w:val="1"/>
                <w:color w:val="auto"/>
              </w:rPr>
            </w:pPr>
          </w:p>
        </w:tc>
      </w:tr>
      <w:tr>
        <w:trPr>
          <w:trHeight w:val="278"/>
        </w:trPr>
        <w:tc>
          <w:tcPr>
            <w:tcW w:w="1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(949) 409-9820</w:t>
            </w: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87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77"/>
        </w:trPr>
        <w:tc>
          <w:tcPr>
            <w:tcW w:w="1260" w:type="dxa"/>
            <w:vAlign w:val="bottom"/>
          </w:tcPr>
          <w:p>
            <w:pPr>
              <w:spacing w:after="0"/>
              <w:rPr>
                <w:sz w:val="6"/>
                <w:szCs w:val="6"/>
                <w:color w:val="auto"/>
              </w:rPr>
            </w:pPr>
          </w:p>
        </w:tc>
        <w:tc>
          <w:tcPr>
            <w:tcW w:w="306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1"/>
        </w:trPr>
        <w:tc>
          <w:tcPr>
            <w:tcW w:w="4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260" w:type="dxa"/>
            <w:vAlign w:val="bottom"/>
          </w:tcPr>
          <w:p>
            <w:pPr>
              <w:spacing w:after="0"/>
              <w:rPr>
                <w:sz w:val="5"/>
                <w:szCs w:val="5"/>
                <w:color w:val="auto"/>
              </w:rPr>
            </w:pPr>
          </w:p>
        </w:tc>
        <w:tc>
          <w:tcPr>
            <w:tcW w:w="3620" w:type="dxa"/>
            <w:vAlign w:val="bottom"/>
            <w:tcBorders>
              <w:bottom w:val="single" w:sz="8" w:color="auto"/>
            </w:tcBorders>
            <w:gridSpan w:val="2"/>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260" w:type="dxa"/>
            <w:vAlign w:val="bottom"/>
            <w:tcBorders>
              <w:right w:val="single" w:sz="8" w:color="auto"/>
            </w:tcBorders>
          </w:tcPr>
          <w:p>
            <w:pPr>
              <w:spacing w:after="0"/>
              <w:rPr>
                <w:sz w:val="16"/>
                <w:szCs w:val="16"/>
                <w:color w:val="auto"/>
              </w:rPr>
            </w:pPr>
          </w:p>
        </w:tc>
        <w:tc>
          <w:tcPr>
            <w:tcW w:w="362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Title of each class</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37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39"/>
        </w:trPr>
        <w:tc>
          <w:tcPr>
            <w:tcW w:w="1260" w:type="dxa"/>
            <w:vAlign w:val="bottom"/>
            <w:tcBorders>
              <w:right w:val="single" w:sz="8" w:color="auto"/>
            </w:tcBorders>
          </w:tcPr>
          <w:p>
            <w:pPr>
              <w:spacing w:after="0"/>
              <w:rPr>
                <w:sz w:val="12"/>
                <w:szCs w:val="12"/>
                <w:color w:val="auto"/>
              </w:rPr>
            </w:pPr>
          </w:p>
        </w:tc>
        <w:tc>
          <w:tcPr>
            <w:tcW w:w="362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TARS</w:t>
            </w:r>
          </w:p>
        </w:tc>
        <w:tc>
          <w:tcPr>
            <w:tcW w:w="640" w:type="dxa"/>
            <w:vAlign w:val="bottom"/>
          </w:tcPr>
          <w:p>
            <w:pPr>
              <w:spacing w:after="0"/>
              <w:rPr>
                <w:sz w:val="12"/>
                <w:szCs w:val="12"/>
                <w:color w:val="auto"/>
              </w:rPr>
            </w:pPr>
          </w:p>
        </w:tc>
        <w:tc>
          <w:tcPr>
            <w:tcW w:w="3100" w:type="dxa"/>
            <w:vAlign w:val="bottom"/>
            <w:tcBorders>
              <w:right w:val="single" w:sz="8" w:color="auto"/>
            </w:tcBorders>
          </w:tcPr>
          <w:p>
            <w:pPr>
              <w:jc w:val="center"/>
              <w:ind w:right="583"/>
              <w:spacing w:after="0" w:line="139" w:lineRule="exact"/>
              <w:rPr>
                <w:sz w:val="20"/>
                <w:szCs w:val="20"/>
                <w:color w:val="auto"/>
              </w:rPr>
            </w:pPr>
            <w:r>
              <w:rPr>
                <w:rFonts w:ascii="Times New Roman" w:cs="Times New Roman" w:eastAsia="Times New Roman" w:hAnsi="Times New Roman"/>
                <w:sz w:val="14"/>
                <w:szCs w:val="14"/>
                <w:color w:val="auto"/>
              </w:rPr>
              <w:t>The Nasdaq Global Market LLC</w:t>
            </w:r>
          </w:p>
        </w:tc>
        <w:tc>
          <w:tcPr>
            <w:tcW w:w="0" w:type="dxa"/>
            <w:vAlign w:val="bottom"/>
          </w:tcPr>
          <w:p>
            <w:pPr>
              <w:spacing w:after="0"/>
              <w:rPr>
                <w:sz w:val="1"/>
                <w:szCs w:val="1"/>
                <w:color w:val="auto"/>
              </w:rPr>
            </w:pPr>
          </w:p>
        </w:tc>
      </w:tr>
      <w:tr>
        <w:trPr>
          <w:trHeight w:val="193"/>
        </w:trPr>
        <w:tc>
          <w:tcPr>
            <w:tcW w:w="1260" w:type="dxa"/>
            <w:vAlign w:val="bottom"/>
            <w:tcBorders>
              <w:right w:val="single" w:sz="8" w:color="auto"/>
            </w:tcBorders>
          </w:tcPr>
          <w:p>
            <w:pPr>
              <w:spacing w:after="0"/>
              <w:rPr>
                <w:sz w:val="16"/>
                <w:szCs w:val="16"/>
                <w:color w:val="auto"/>
              </w:rPr>
            </w:pPr>
          </w:p>
        </w:tc>
        <w:tc>
          <w:tcPr>
            <w:tcW w:w="3620" w:type="dxa"/>
            <w:vAlign w:val="bottom"/>
            <w:tcBorders>
              <w:bottom w:val="single" w:sz="8" w:color="auto"/>
              <w:right w:val="single" w:sz="8" w:color="auto"/>
            </w:tcBorders>
            <w:gridSpan w:val="2"/>
            <w:vMerge w:val="continue"/>
          </w:tcPr>
          <w:p>
            <w:pPr>
              <w:spacing w:after="0"/>
              <w:rPr>
                <w:sz w:val="16"/>
                <w:szCs w:val="16"/>
                <w:color w:val="auto"/>
              </w:rPr>
            </w:pPr>
          </w:p>
        </w:tc>
        <w:tc>
          <w:tcPr>
            <w:tcW w:w="142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100" w:type="dxa"/>
            <w:vAlign w:val="bottom"/>
            <w:tcBorders>
              <w:bottom w:val="single" w:sz="8" w:color="auto"/>
              <w:right w:val="single" w:sz="8" w:color="auto"/>
            </w:tcBorders>
          </w:tcPr>
          <w:p>
            <w:pPr>
              <w:jc w:val="center"/>
              <w:ind w:right="583"/>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369" w:lineRule="exact"/>
        <w:rPr>
          <w:sz w:val="24"/>
          <w:szCs w:val="24"/>
          <w:color w:val="auto"/>
        </w:rPr>
      </w:pPr>
    </w:p>
    <w:p>
      <w:pPr>
        <w:ind w:right="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7"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47" w:lineRule="exact"/>
        <w:rPr>
          <w:sz w:val="24"/>
          <w:szCs w:val="24"/>
          <w:color w:val="auto"/>
        </w:rPr>
      </w:pPr>
    </w:p>
    <w:p>
      <w:pPr>
        <w:ind w:right="440"/>
        <w:spacing w:after="0" w:line="27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5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30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8" w:lineRule="exact"/>
        <w:rPr>
          <w:sz w:val="24"/>
          <w:szCs w:val="24"/>
          <w:color w:val="auto"/>
        </w:rPr>
      </w:pPr>
    </w:p>
    <w:p>
      <w:pPr>
        <w:ind w:right="560"/>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26,672,188 shares of common stock, $0.0001 par value, outstanding as of November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60" w:type="dxa"/>
            <w:vAlign w:val="bottom"/>
          </w:tcPr>
          <w:p>
            <w:pPr>
              <w:spacing w:after="0"/>
              <w:rPr>
                <w:sz w:val="17"/>
                <w:szCs w:val="17"/>
                <w:color w:val="auto"/>
              </w:rPr>
            </w:pPr>
          </w:p>
        </w:tc>
      </w:tr>
      <w:tr>
        <w:trPr>
          <w:trHeight w:val="790"/>
        </w:trPr>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4"/>
          </w:tcPr>
          <w:p>
            <w:pPr>
              <w:ind w:left="1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60" w:type="dxa"/>
            <w:vAlign w:val="bottom"/>
          </w:tcPr>
          <w:p>
            <w:pPr>
              <w:spacing w:after="0"/>
              <w:rPr>
                <w:sz w:val="24"/>
                <w:szCs w:val="24"/>
                <w:color w:val="auto"/>
              </w:rPr>
            </w:pPr>
          </w:p>
        </w:tc>
      </w:tr>
      <w:tr>
        <w:trPr>
          <w:trHeight w:val="310"/>
        </w:trPr>
        <w:tc>
          <w:tcPr>
            <w:tcW w:w="40" w:type="dxa"/>
            <w:vAlign w:val="bottom"/>
          </w:tcPr>
          <w:p>
            <w:pPr>
              <w:spacing w:after="0"/>
              <w:rPr>
                <w:sz w:val="24"/>
                <w:szCs w:val="24"/>
                <w:color w:val="auto"/>
              </w:rPr>
            </w:pPr>
          </w:p>
        </w:tc>
        <w:tc>
          <w:tcPr>
            <w:tcW w:w="8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060" w:type="dxa"/>
            <w:vAlign w:val="bottom"/>
            <w:tcBorders>
              <w:top w:val="single" w:sz="8" w:color="0000FF"/>
            </w:tcBorders>
          </w:tcPr>
          <w:p>
            <w:pPr>
              <w:spacing w:after="0"/>
              <w:rPr>
                <w:sz w:val="18"/>
                <w:szCs w:val="18"/>
                <w:color w:val="auto"/>
              </w:rPr>
            </w:pPr>
          </w:p>
        </w:tc>
        <w:tc>
          <w:tcPr>
            <w:tcW w:w="1740" w:type="dxa"/>
            <w:vAlign w:val="bottom"/>
          </w:tcPr>
          <w:p>
            <w:pPr>
              <w:spacing w:after="0"/>
              <w:rPr>
                <w:sz w:val="18"/>
                <w:szCs w:val="18"/>
                <w:color w:val="auto"/>
              </w:rPr>
            </w:pP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6400" w:type="dxa"/>
            <w:vAlign w:val="bottom"/>
            <w:gridSpan w:val="6"/>
          </w:tcPr>
          <w:p>
            <w:pPr>
              <w:spacing w:after="0"/>
              <w:rPr>
                <w:sz w:val="18"/>
                <w:szCs w:val="18"/>
                <w:color w:val="auto"/>
              </w:rPr>
            </w:pP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40" w:type="dxa"/>
            <w:vAlign w:val="bottom"/>
          </w:tcPr>
          <w:p>
            <w:pPr>
              <w:spacing w:after="0"/>
              <w:rPr>
                <w:sz w:val="18"/>
                <w:szCs w:val="18"/>
                <w:color w:val="auto"/>
              </w:rPr>
            </w:pPr>
          </w:p>
        </w:tc>
        <w:tc>
          <w:tcPr>
            <w:tcW w:w="8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6820" w:type="dxa"/>
            <w:vAlign w:val="bottom"/>
            <w:gridSpan w:val="7"/>
          </w:tcPr>
          <w:p>
            <w:pPr>
              <w:spacing w:after="0"/>
              <w:rPr>
                <w:sz w:val="18"/>
                <w:szCs w:val="18"/>
                <w:color w:val="auto"/>
              </w:rPr>
            </w:pP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820" w:type="dxa"/>
            <w:vAlign w:val="bottom"/>
            <w:gridSpan w:val="3"/>
          </w:tcPr>
          <w:p>
            <w:pPr>
              <w:spacing w:after="0"/>
              <w:rPr>
                <w:sz w:val="18"/>
                <w:szCs w:val="18"/>
                <w:color w:val="auto"/>
              </w:rPr>
            </w:pP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82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39</w:t>
            </w: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800" w:type="dxa"/>
            <w:vAlign w:val="bottom"/>
            <w:tcBorders>
              <w:top w:val="single" w:sz="8" w:color="0000FF"/>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18"/>
                <w:szCs w:val="18"/>
                <w:color w:val="auto"/>
              </w:rPr>
            </w:pPr>
          </w:p>
        </w:tc>
        <w:tc>
          <w:tcPr>
            <w:tcW w:w="5860" w:type="dxa"/>
            <w:vAlign w:val="bottom"/>
            <w:gridSpan w:val="5"/>
          </w:tcPr>
          <w:p>
            <w:pPr>
              <w:spacing w:after="0"/>
              <w:rPr>
                <w:sz w:val="18"/>
                <w:szCs w:val="18"/>
                <w:color w:val="auto"/>
              </w:rPr>
            </w:pP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3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6860" w:type="dxa"/>
            <w:vAlign w:val="bottom"/>
            <w:gridSpan w:val="8"/>
          </w:tcPr>
          <w:p>
            <w:pPr>
              <w:spacing w:after="0"/>
              <w:rPr>
                <w:sz w:val="18"/>
                <w:szCs w:val="18"/>
                <w:color w:val="auto"/>
              </w:rPr>
            </w:pP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39</w:t>
            </w: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82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8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41</w:t>
            </w:r>
          </w:p>
        </w:tc>
      </w:tr>
      <w:tr>
        <w:trPr>
          <w:trHeight w:val="1445"/>
        </w:trPr>
        <w:tc>
          <w:tcPr>
            <w:tcW w:w="4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I. Financial Statements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THE FINANCIAL STATEMENTS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Pages</w:t>
            </w:r>
          </w:p>
        </w:tc>
        <w:tc>
          <w:tcPr>
            <w:tcW w:w="0" w:type="dxa"/>
            <w:vAlign w:val="bottom"/>
          </w:tcPr>
          <w:p>
            <w:pPr>
              <w:spacing w:after="0"/>
              <w:rPr>
                <w:sz w:val="1"/>
                <w:szCs w:val="1"/>
                <w:color w:val="auto"/>
              </w:rPr>
            </w:pPr>
          </w:p>
        </w:tc>
      </w:tr>
      <w:tr>
        <w:trPr>
          <w:trHeight w:val="23"/>
        </w:trPr>
        <w:tc>
          <w:tcPr>
            <w:tcW w:w="1940" w:type="dxa"/>
            <w:vAlign w:val="bottom"/>
            <w:vMerge w:val="restart"/>
          </w:tcPr>
          <w:p>
            <w:pPr>
              <w:spacing w:after="0" w:line="193" w:lineRule="exact"/>
              <w:rPr>
                <w:sz w:val="20"/>
                <w:szCs w:val="20"/>
                <w:color w:val="auto"/>
              </w:rPr>
            </w:pPr>
            <w:r>
              <w:rPr>
                <w:rFonts w:ascii="Times New Roman" w:cs="Times New Roman" w:eastAsia="Times New Roman" w:hAnsi="Times New Roman"/>
                <w:sz w:val="18"/>
                <w:szCs w:val="18"/>
                <w:color w:val="0000FF"/>
                <w:w w:val="98"/>
              </w:rPr>
              <w:t>Condensed Balance Sheets</w:t>
            </w:r>
          </w:p>
        </w:tc>
        <w:tc>
          <w:tcPr>
            <w:tcW w:w="8660" w:type="dxa"/>
            <w:vAlign w:val="bottom"/>
            <w:gridSpan w:val="5"/>
            <w:vMerge w:val="restart"/>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940" w:type="dxa"/>
            <w:vAlign w:val="bottom"/>
            <w:tcBorders>
              <w:bottom w:val="single" w:sz="8" w:color="0000FF"/>
            </w:tcBorders>
            <w:vMerge w:val="continue"/>
          </w:tcPr>
          <w:p>
            <w:pPr>
              <w:spacing w:after="0"/>
              <w:rPr>
                <w:sz w:val="14"/>
                <w:szCs w:val="14"/>
                <w:color w:val="auto"/>
              </w:rPr>
            </w:pPr>
          </w:p>
        </w:tc>
        <w:tc>
          <w:tcPr>
            <w:tcW w:w="8660" w:type="dxa"/>
            <w:vAlign w:val="bottom"/>
            <w:gridSpan w:val="5"/>
            <w:vMerge w:val="continue"/>
          </w:tcPr>
          <w:p>
            <w:pPr>
              <w:spacing w:after="0"/>
              <w:rPr>
                <w:sz w:val="14"/>
                <w:szCs w:val="14"/>
                <w:color w:val="auto"/>
              </w:rPr>
            </w:pPr>
          </w:p>
        </w:tc>
        <w:tc>
          <w:tcPr>
            <w:tcW w:w="5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Condensed Statements of Operations and Comprehensive (Loss) Income</w:t>
            </w:r>
          </w:p>
        </w:tc>
        <w:tc>
          <w:tcPr>
            <w:tcW w:w="536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09"/>
        </w:trPr>
        <w:tc>
          <w:tcPr>
            <w:tcW w:w="3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Condensed Statements of Stockholders’ Equity</w:t>
            </w:r>
          </w:p>
        </w:tc>
        <w:tc>
          <w:tcPr>
            <w:tcW w:w="7200" w:type="dxa"/>
            <w:vAlign w:val="bottom"/>
            <w:gridSpan w:val="2"/>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10"/>
        </w:trPr>
        <w:tc>
          <w:tcPr>
            <w:tcW w:w="2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w:t>
            </w:r>
          </w:p>
        </w:tc>
        <w:tc>
          <w:tcPr>
            <w:tcW w:w="7880" w:type="dxa"/>
            <w:vAlign w:val="bottom"/>
            <w:gridSpan w:val="4"/>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Condensed Financial Statements</w:t>
            </w:r>
          </w:p>
        </w:tc>
        <w:tc>
          <w:tcPr>
            <w:tcW w:w="7600" w:type="dxa"/>
            <w:vAlign w:val="bottom"/>
            <w:gridSpan w:val="3"/>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18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14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84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169,489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171,332</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57,083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0" w:type="dxa"/>
            <w:vAlign w:val="bottom"/>
          </w:tcPr>
          <w:p>
            <w:pPr>
              <w:spacing w:after="0"/>
              <w:rPr>
                <w:sz w:val="1"/>
                <w:szCs w:val="1"/>
                <w:color w:val="auto"/>
              </w:rPr>
            </w:pPr>
          </w:p>
        </w:tc>
      </w:tr>
      <w:tr>
        <w:trPr>
          <w:trHeight w:val="207"/>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234,078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175,952</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0" w:type="dxa"/>
            <w:vAlign w:val="bottom"/>
          </w:tcPr>
          <w:p>
            <w:pPr>
              <w:spacing w:after="0"/>
              <w:rPr>
                <w:sz w:val="1"/>
                <w:szCs w:val="1"/>
                <w:color w:val="auto"/>
              </w:rPr>
            </w:pPr>
          </w:p>
        </w:tc>
      </w:tr>
      <w:tr>
        <w:trPr>
          <w:trHeight w:val="23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236,465</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178,907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10,181</w:t>
            </w:r>
          </w:p>
        </w:tc>
        <w:tc>
          <w:tcPr>
            <w:tcW w:w="12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0" w:type="dxa"/>
            <w:vAlign w:val="bottom"/>
          </w:tcPr>
          <w:p>
            <w:pPr>
              <w:spacing w:after="0"/>
              <w:rPr>
                <w:sz w:val="1"/>
                <w:szCs w:val="1"/>
                <w:color w:val="auto"/>
              </w:rPr>
            </w:pPr>
          </w:p>
        </w:tc>
      </w:tr>
      <w:tr>
        <w:trPr>
          <w:trHeight w:val="207"/>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11,478</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12,177</w:t>
            </w: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w:t>
            </w:r>
            <w:r>
              <w:rPr>
                <w:rFonts w:ascii="Times New Roman" w:cs="Times New Roman" w:eastAsia="Times New Roman" w:hAnsi="Times New Roman"/>
                <w:sz w:val="16"/>
                <w:szCs w:val="16"/>
                <w:b w:val="1"/>
                <w:bCs w:val="1"/>
                <w:i w:val="1"/>
                <w:iCs w:val="1"/>
                <w:color w:val="auto"/>
              </w:rPr>
              <w:t>Note 8</w:t>
            </w: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$0.0001 par value; 10,000,000 authorized; no shares issued and outstanding</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$0.0001 par value; 200,000,000 shares authorized; 26,671,812 shares issued and outstanding at September 30,</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2022 (unaudited); 20,726,580 shares issued and 20,698,737 outstanding, which excludes 27,840 shares subject to repurchase at</w:t>
            </w: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297,796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213,398</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(95,164)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(46,672)</w:t>
            </w:r>
          </w:p>
        </w:tc>
        <w:tc>
          <w:tcPr>
            <w:tcW w:w="0" w:type="dxa"/>
            <w:vAlign w:val="bottom"/>
          </w:tcPr>
          <w:p>
            <w:pPr>
              <w:spacing w:after="0"/>
              <w:rPr>
                <w:sz w:val="1"/>
                <w:szCs w:val="1"/>
                <w:color w:val="auto"/>
              </w:rPr>
            </w:pPr>
          </w:p>
        </w:tc>
      </w:tr>
      <w:tr>
        <w:trPr>
          <w:trHeight w:val="235"/>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202,627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166,730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236,465</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178,907</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unaudited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License fees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13,893</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53,067</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Collaboration revenue</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0" w:type="dxa"/>
            <w:vAlign w:val="bottom"/>
          </w:tcPr>
          <w:p>
            <w:pPr>
              <w:spacing w:after="0"/>
              <w:rPr>
                <w:sz w:val="1"/>
                <w:szCs w:val="1"/>
                <w:color w:val="auto"/>
              </w:rPr>
            </w:pPr>
          </w:p>
        </w:tc>
      </w:tr>
      <w:tr>
        <w:trPr>
          <w:trHeight w:val="207"/>
        </w:trPr>
        <w:tc>
          <w:tcPr>
            <w:tcW w:w="56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15,816</w:t>
            </w:r>
          </w:p>
        </w:tc>
        <w:tc>
          <w:tcPr>
            <w:tcW w:w="12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56,689</w:t>
            </w: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Cost of license fees and collaboration revenue</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33,674</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30,316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18,625</w:t>
            </w: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63,467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54,398</w:t>
            </w:r>
          </w:p>
        </w:tc>
        <w:tc>
          <w:tcPr>
            <w:tcW w:w="0" w:type="dxa"/>
            <w:vAlign w:val="bottom"/>
          </w:tcPr>
          <w:p>
            <w:pPr>
              <w:spacing w:after="0"/>
              <w:rPr>
                <w:sz w:val="1"/>
                <w:szCs w:val="1"/>
                <w:color w:val="auto"/>
              </w:rPr>
            </w:pPr>
          </w:p>
        </w:tc>
      </w:tr>
      <w:tr>
        <w:trPr>
          <w:trHeight w:val="207"/>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income from operations before other income (expense) and income taxes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(22,906)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(47,651)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loss on equity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Change in fair value of equity warrants issued by licensee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07"/>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marketable securities and cash equivalents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per share, basic</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income per share,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2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basic</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26,662,374</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20,641,285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23,923,512</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20,511,973</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diluted</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26,662,374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20,641,285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23,923,512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22,032,487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unaudited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2"/>
                <w:szCs w:val="12"/>
                <w:color w:val="auto"/>
              </w:rPr>
            </w:pPr>
          </w:p>
        </w:tc>
        <w:tc>
          <w:tcPr>
            <w:tcW w:w="1620" w:type="dxa"/>
            <w:vAlign w:val="bottom"/>
            <w:gridSpan w:val="4"/>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0" w:type="dxa"/>
            <w:vAlign w:val="bottom"/>
            <w:vMerge w:val="restart"/>
          </w:tcPr>
          <w:p>
            <w:pPr>
              <w:spacing w:after="0"/>
              <w:rPr>
                <w:sz w:val="12"/>
                <w:szCs w:val="12"/>
                <w:color w:val="auto"/>
              </w:rPr>
            </w:pPr>
          </w:p>
        </w:tc>
        <w:tc>
          <w:tcPr>
            <w:tcW w:w="1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02"/>
        </w:trPr>
        <w:tc>
          <w:tcPr>
            <w:tcW w:w="2780" w:type="dxa"/>
            <w:vAlign w:val="bottom"/>
          </w:tcPr>
          <w:p>
            <w:pPr>
              <w:spacing w:after="0"/>
              <w:rPr>
                <w:sz w:val="8"/>
                <w:szCs w:val="8"/>
                <w:color w:val="auto"/>
              </w:rPr>
            </w:pPr>
          </w:p>
        </w:tc>
        <w:tc>
          <w:tcPr>
            <w:tcW w:w="162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80" w:type="dxa"/>
            <w:vAlign w:val="bottom"/>
            <w:tcBorders>
              <w:bottom w:val="single" w:sz="8" w:color="auto"/>
            </w:tcBorders>
            <w:gridSpan w:val="3"/>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8"/>
                <w:szCs w:val="8"/>
                <w:color w:val="auto"/>
              </w:rPr>
            </w:pPr>
          </w:p>
        </w:tc>
        <w:tc>
          <w:tcPr>
            <w:tcW w:w="116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8"/>
                <w:szCs w:val="8"/>
                <w:color w:val="auto"/>
              </w:rPr>
            </w:pPr>
          </w:p>
        </w:tc>
        <w:tc>
          <w:tcPr>
            <w:tcW w:w="104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8"/>
                <w:szCs w:val="8"/>
                <w:color w:val="auto"/>
              </w:rPr>
            </w:pPr>
          </w:p>
        </w:tc>
        <w:tc>
          <w:tcPr>
            <w:tcW w:w="960" w:type="dxa"/>
            <w:vAlign w:val="bottom"/>
          </w:tcPr>
          <w:p>
            <w:pPr>
              <w:jc w:val="center"/>
              <w:ind w:right="41"/>
              <w:spacing w:after="0" w:line="102"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97"/>
        </w:trPr>
        <w:tc>
          <w:tcPr>
            <w:tcW w:w="2780" w:type="dxa"/>
            <w:vAlign w:val="bottom"/>
          </w:tcPr>
          <w:p>
            <w:pPr>
              <w:spacing w:after="0"/>
              <w:rPr>
                <w:sz w:val="17"/>
                <w:szCs w:val="17"/>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7"/>
                <w:szCs w:val="17"/>
                <w:color w:val="auto"/>
              </w:rPr>
            </w:pPr>
          </w:p>
        </w:tc>
        <w:tc>
          <w:tcPr>
            <w:tcW w:w="960" w:type="dxa"/>
            <w:vAlign w:val="bottom"/>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5"/>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20,698,737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213,398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166,730</w:t>
            </w:r>
          </w:p>
        </w:tc>
        <w:tc>
          <w:tcPr>
            <w:tcW w:w="0" w:type="dxa"/>
            <w:vAlign w:val="bottom"/>
          </w:tcPr>
          <w:p>
            <w:pPr>
              <w:spacing w:after="0"/>
              <w:rPr>
                <w:sz w:val="1"/>
                <w:szCs w:val="1"/>
                <w:color w:val="auto"/>
              </w:rPr>
            </w:pPr>
          </w:p>
        </w:tc>
      </w:tr>
      <w:tr>
        <w:trPr>
          <w:trHeight w:val="207"/>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(20,238)</w:t>
            </w: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Recognition of stock-based compensation</w:t>
            </w: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vested stock options</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center"/>
              <w:ind w:left="60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the</w:t>
            </w: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Lapse of repurchase obligation for stock</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left="60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10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 exercises, prior to vesting</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2022</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20,718,528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149,197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80" w:type="dxa"/>
            <w:vAlign w:val="bottom"/>
            <w:tcBorders>
              <w:top w:val="single" w:sz="8" w:color="CCEEFF"/>
            </w:tcBorders>
            <w:vMerge w:val="continue"/>
          </w:tcPr>
          <w:p>
            <w:pPr>
              <w:spacing w:after="0"/>
              <w:rPr>
                <w:sz w:val="16"/>
                <w:szCs w:val="16"/>
                <w:color w:val="auto"/>
              </w:rPr>
            </w:pPr>
          </w:p>
        </w:tc>
        <w:tc>
          <w:tcPr>
            <w:tcW w:w="7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Recognition of stock-based compensation</w:t>
            </w: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follow-</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on public offering, net of issuance costs</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5,889,832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74,266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left="60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10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74,267</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$5,246</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Shares issued in connection with the</w:t>
            </w: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vested stock options</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left="60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the</w:t>
            </w: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Lapse of repurchase obligation for stock</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left="60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10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 exercises, prior to vesting</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2022</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26,644,252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221,505</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80" w:type="dxa"/>
            <w:vAlign w:val="bottom"/>
            <w:tcBorders>
              <w:top w:val="single" w:sz="8" w:color="CCEEFF"/>
            </w:tcBorders>
            <w:vMerge w:val="continue"/>
          </w:tcPr>
          <w:p>
            <w:pPr>
              <w:spacing w:after="0"/>
              <w:rPr>
                <w:sz w:val="16"/>
                <w:szCs w:val="16"/>
                <w:color w:val="auto"/>
              </w:rPr>
            </w:pPr>
          </w:p>
        </w:tc>
        <w:tc>
          <w:tcPr>
            <w:tcW w:w="7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(22,511)</w:t>
            </w: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Recognition of stock-based compensation</w:t>
            </w: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Lapse of repurchase obligation for stock</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left="60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10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 exercises, prior to vesting</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vested stock options</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costs related to follow-on public</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left="60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10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offering</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Unrealized loss on marketable securities</w:t>
            </w: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left="661"/>
              <w:spacing w:after="0"/>
              <w:rPr>
                <w:sz w:val="20"/>
                <w:szCs w:val="20"/>
                <w:color w:val="auto"/>
              </w:rPr>
            </w:pPr>
            <w:r>
              <w:rPr>
                <w:rFonts w:ascii="Times New Roman" w:cs="Times New Roman" w:eastAsia="Times New Roman" w:hAnsi="Times New Roman"/>
                <w:sz w:val="16"/>
                <w:szCs w:val="16"/>
                <w:color w:val="auto"/>
                <w:w w:val="97"/>
              </w:rPr>
              <w:t>(10)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cash equivalents</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2022</w:t>
            </w: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26,671,812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297,796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center"/>
              <w:ind w:left="661"/>
              <w:spacing w:after="0"/>
              <w:rPr>
                <w:sz w:val="20"/>
                <w:szCs w:val="20"/>
                <w:color w:val="auto"/>
              </w:rPr>
            </w:pPr>
            <w:r>
              <w:rPr>
                <w:rFonts w:ascii="Times New Roman" w:cs="Times New Roman" w:eastAsia="Times New Roman" w:hAnsi="Times New Roman"/>
                <w:sz w:val="16"/>
                <w:szCs w:val="16"/>
                <w:color w:val="auto"/>
                <w:w w:val="97"/>
              </w:rPr>
              <w:t>(10)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(95,164)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202,627</w:t>
            </w: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92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3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3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5"/>
                <w:szCs w:val="5"/>
                <w:color w:val="auto"/>
              </w:rPr>
            </w:pPr>
          </w:p>
        </w:tc>
        <w:tc>
          <w:tcPr>
            <w:tcW w:w="112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5"/>
                <w:szCs w:val="5"/>
                <w:color w:val="auto"/>
              </w:rPr>
            </w:pPr>
          </w:p>
        </w:tc>
        <w:tc>
          <w:tcPr>
            <w:tcW w:w="1060" w:type="dxa"/>
            <w:vAlign w:val="bottom"/>
            <w:vMerge w:val="restart"/>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360" w:type="dxa"/>
            <w:vAlign w:val="bottom"/>
          </w:tcPr>
          <w:p>
            <w:pPr>
              <w:spacing w:after="0"/>
              <w:rPr>
                <w:sz w:val="4"/>
                <w:szCs w:val="4"/>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4"/>
                <w:szCs w:val="4"/>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3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0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20,323,201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165,980</w:t>
            </w:r>
          </w:p>
        </w:tc>
        <w:tc>
          <w:tcPr>
            <w:tcW w:w="0" w:type="dxa"/>
            <w:vAlign w:val="bottom"/>
          </w:tcPr>
          <w:p>
            <w:pPr>
              <w:spacing w:after="0"/>
              <w:rPr>
                <w:sz w:val="1"/>
                <w:szCs w:val="1"/>
                <w:color w:val="auto"/>
              </w:rPr>
            </w:pPr>
          </w:p>
        </w:tc>
      </w:tr>
      <w:tr>
        <w:trPr>
          <w:trHeight w:val="20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10,376</w:t>
            </w:r>
          </w:p>
        </w:tc>
        <w:tc>
          <w:tcPr>
            <w:tcW w:w="0" w:type="dxa"/>
            <w:vAlign w:val="bottom"/>
          </w:tcPr>
          <w:p>
            <w:pPr>
              <w:spacing w:after="0"/>
              <w:rPr>
                <w:sz w:val="1"/>
                <w:szCs w:val="1"/>
                <w:color w:val="auto"/>
              </w:rPr>
            </w:pPr>
          </w:p>
        </w:tc>
      </w:tr>
      <w:tr>
        <w:trPr>
          <w:trHeight w:val="21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Recognition of stock-based compensation expense</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0" w:type="dxa"/>
            <w:vAlign w:val="bottom"/>
          </w:tcPr>
          <w:p>
            <w:pPr>
              <w:spacing w:after="0"/>
              <w:rPr>
                <w:sz w:val="1"/>
                <w:szCs w:val="1"/>
                <w:color w:val="auto"/>
              </w:rPr>
            </w:pPr>
          </w:p>
        </w:tc>
      </w:tr>
      <w:tr>
        <w:trPr>
          <w:trHeight w:val="21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 of vested stock options</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as consideration for in-license rights</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0" w:type="dxa"/>
            <w:vAlign w:val="bottom"/>
          </w:tcPr>
          <w:p>
            <w:pPr>
              <w:spacing w:after="0"/>
              <w:rPr>
                <w:sz w:val="1"/>
                <w:szCs w:val="1"/>
                <w:color w:val="auto"/>
              </w:rPr>
            </w:pPr>
          </w:p>
        </w:tc>
      </w:tr>
      <w:tr>
        <w:trPr>
          <w:trHeight w:val="20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2021</w:t>
            </w:r>
          </w:p>
        </w:tc>
        <w:tc>
          <w:tcPr>
            <w:tcW w:w="7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20,524,474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205,697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(22,469)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183,232</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6,345</w:t>
            </w:r>
          </w:p>
        </w:tc>
        <w:tc>
          <w:tcPr>
            <w:tcW w:w="0" w:type="dxa"/>
            <w:vAlign w:val="bottom"/>
          </w:tcPr>
          <w:p>
            <w:pPr>
              <w:spacing w:after="0"/>
              <w:rPr>
                <w:sz w:val="1"/>
                <w:szCs w:val="1"/>
                <w:color w:val="auto"/>
              </w:rPr>
            </w:pPr>
          </w:p>
        </w:tc>
      </w:tr>
      <w:tr>
        <w:trPr>
          <w:trHeight w:val="21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Recognition of stock-based compensation expense</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0" w:type="dxa"/>
            <w:vAlign w:val="bottom"/>
          </w:tcPr>
          <w:p>
            <w:pPr>
              <w:spacing w:after="0"/>
              <w:rPr>
                <w:sz w:val="1"/>
                <w:szCs w:val="1"/>
                <w:color w:val="auto"/>
              </w:rPr>
            </w:pPr>
          </w:p>
        </w:tc>
      </w:tr>
      <w:tr>
        <w:trPr>
          <w:trHeight w:val="165"/>
        </w:trPr>
        <w:tc>
          <w:tcPr>
            <w:tcW w:w="406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Lapse of repurchase obligation for stock option</w:t>
            </w: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exercises, prior to vesting</w:t>
            </w:r>
          </w:p>
        </w:tc>
        <w:tc>
          <w:tcPr>
            <w:tcW w:w="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 of vested stock options</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5"/>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2021</w:t>
            </w:r>
          </w:p>
        </w:tc>
        <w:tc>
          <w:tcPr>
            <w:tcW w:w="70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20,573,951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192,471</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60" w:type="dxa"/>
            <w:vAlign w:val="bottom"/>
            <w:tcBorders>
              <w:top w:val="single" w:sz="8" w:color="CCEEFF"/>
            </w:tcBorders>
            <w:vMerge w:val="continue"/>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0" w:type="dxa"/>
            <w:vAlign w:val="bottom"/>
          </w:tcPr>
          <w:p>
            <w:pPr>
              <w:spacing w:after="0"/>
              <w:rPr>
                <w:sz w:val="1"/>
                <w:szCs w:val="1"/>
                <w:color w:val="auto"/>
              </w:rPr>
            </w:pPr>
          </w:p>
        </w:tc>
      </w:tr>
      <w:tr>
        <w:trPr>
          <w:trHeight w:val="21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Recognition of stock-based compensation expense</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0" w:type="dxa"/>
            <w:vAlign w:val="bottom"/>
          </w:tcPr>
          <w:p>
            <w:pPr>
              <w:spacing w:after="0"/>
              <w:rPr>
                <w:sz w:val="1"/>
                <w:szCs w:val="1"/>
                <w:color w:val="auto"/>
              </w:rPr>
            </w:pPr>
          </w:p>
        </w:tc>
      </w:tr>
      <w:tr>
        <w:trPr>
          <w:trHeight w:val="162"/>
        </w:trPr>
        <w:tc>
          <w:tcPr>
            <w:tcW w:w="40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Lapse of repurchase obligation for stock option</w:t>
            </w: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87,004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exercises, prior to vesting</w:t>
            </w:r>
          </w:p>
        </w:tc>
        <w:tc>
          <w:tcPr>
            <w:tcW w:w="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vested stock options</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2021</w:t>
            </w:r>
          </w:p>
        </w:tc>
        <w:tc>
          <w:tcPr>
            <w:tcW w:w="7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20,671,079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210,959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(31,821)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179,142</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these unaudited condensed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TARSUS PHARMACEUTICALS, INC.</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CONDENSED STATEMENTS OF CASH FLOWS</w:t>
      </w:r>
    </w:p>
    <w:p>
      <w:pPr>
        <w:spacing w:after="0" w:line="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11"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r>
      <w:tr>
        <w:trPr>
          <w:trHeight w:val="21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provided by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1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Accretion of term loan-related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6,276</w:t>
            </w:r>
          </w:p>
        </w:tc>
      </w:tr>
      <w:tr>
        <w:trPr>
          <w:trHeight w:val="21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lease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13"/>
        </w:trPr>
        <w:tc>
          <w:tcPr>
            <w:tcW w:w="8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lease termination</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8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loss on equity investment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discount on available-for-sale debt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 value of equity warrants issued by licensee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w:t>
            </w:r>
          </w:p>
        </w:tc>
      </w:tr>
      <w:tr>
        <w:trPr>
          <w:trHeight w:val="21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gain from transactions denominated in a foreign currency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8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Issuance of common stock upon in-license agreement milestone achievement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w:t>
            </w:r>
          </w:p>
        </w:tc>
      </w:tr>
      <w:tr>
        <w:trPr>
          <w:trHeight w:val="21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receivables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3"/>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19"/>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non-current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w:t>
            </w:r>
          </w:p>
        </w:tc>
      </w:tr>
      <w:tr>
        <w:trPr>
          <w:trHeight w:val="213"/>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w:t>
            </w:r>
          </w:p>
        </w:tc>
      </w:tr>
      <w:tr>
        <w:trPr>
          <w:trHeight w:val="219"/>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r>
      <w:tr>
        <w:trPr>
          <w:trHeight w:val="213"/>
        </w:trPr>
        <w:tc>
          <w:tcPr>
            <w:tcW w:w="8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2"/>
        </w:trPr>
        <w:tc>
          <w:tcPr>
            <w:tcW w:w="8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15,869</w:t>
            </w:r>
          </w:p>
        </w:tc>
      </w:tr>
      <w:tr>
        <w:trPr>
          <w:trHeight w:val="194"/>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8"/>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12"/>
        </w:trPr>
        <w:tc>
          <w:tcPr>
            <w:tcW w:w="8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194"/>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8"/>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Proceeds from issuance of common stock upon follow-on public offering, net of paid issuance costs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Proceeds from sale of common stock under employee stock purchase plan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Proceeds from exercise of vested stock options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Proceeds from term loan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Payment of term loan issuance costs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3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7"/>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15,652</w:t>
            </w:r>
          </w:p>
        </w:tc>
      </w:tr>
      <w:tr>
        <w:trPr>
          <w:trHeight w:val="21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168,149</w:t>
            </w:r>
          </w:p>
        </w:tc>
      </w:tr>
      <w:tr>
        <w:trPr>
          <w:trHeight w:val="183"/>
        </w:trPr>
        <w:tc>
          <w:tcPr>
            <w:tcW w:w="83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Cash and cash equivalents — end of period</w:t>
            </w:r>
          </w:p>
        </w:tc>
        <w:tc>
          <w:tcPr>
            <w:tcW w:w="320" w:type="dxa"/>
            <w:vAlign w:val="bottom"/>
            <w:tcBorders>
              <w:bottom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169,489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5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183,801</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Noncash Investing and Financing Activities: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6"/>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"Operating lease right-of-use asset" obtained in exchange for operating lease liability</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5"/>
        </w:trPr>
        <w:tc>
          <w:tcPr>
            <w:tcW w:w="83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expense" paid in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Additions of "property and equipment, net" included within "accounts payable and other accrued liabilities"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5"/>
        </w:trPr>
        <w:tc>
          <w:tcPr>
            <w:tcW w:w="83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Expensing of "operating lease right-of-use assets" upon lease termination</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190"/>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 issued for in-license agreements included within "research and development" expense</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5,494</w:t>
            </w:r>
          </w:p>
        </w:tc>
      </w:tr>
      <w:tr>
        <w:trPr>
          <w:trHeight w:val="21"/>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unaudited condensed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PRESENTATION OF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Description of Business</w:t>
      </w:r>
    </w:p>
    <w:p>
      <w:pPr>
        <w:spacing w:after="0" w:line="256"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Tarsus Pharmaceuticals, Inc. (“Tarsus” or the “Company”) is a biopharmaceutical company focused on the development and commercialization of therapeutics, starting with eye care.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Liquidity Risk Overview</w:t>
      </w:r>
    </w:p>
    <w:p>
      <w:pPr>
        <w:spacing w:after="0" w:line="216" w:lineRule="exact"/>
        <w:rPr>
          <w:sz w:val="20"/>
          <w:szCs w:val="20"/>
          <w:color w:val="auto"/>
        </w:rPr>
      </w:pPr>
    </w:p>
    <w:p>
      <w:pPr>
        <w:ind w:right="160" w:firstLine="891"/>
        <w:spacing w:after="0" w:line="250" w:lineRule="auto"/>
        <w:rPr>
          <w:sz w:val="20"/>
          <w:szCs w:val="20"/>
          <w:color w:val="auto"/>
        </w:rPr>
      </w:pPr>
      <w:r>
        <w:rPr>
          <w:rFonts w:ascii="Times New Roman" w:cs="Times New Roman" w:eastAsia="Times New Roman" w:hAnsi="Times New Roman"/>
          <w:sz w:val="18"/>
          <w:szCs w:val="18"/>
          <w:color w:val="auto"/>
        </w:rPr>
        <w:t>The Company has no product sales and has accumulated losses and negative cash flows from operations since inception. The Company has funded its inception-to-date operations through equity capital raises, proceeds from its out-license agreement, and a draw on its credit facility. The Company estimates its existing capital resources will be sufficient to meet projected operating expense requirements for at least 12 months from the filing date of the accompanying Condensed Financial Statements in this Form 10-Q; accordingly, these financial statements have been prepared on a "going-concern" basis.</w:t>
      </w:r>
    </w:p>
    <w:p>
      <w:pPr>
        <w:spacing w:after="0" w:line="177"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 xml:space="preserve">The Company’s operations currently consist of its preclinical and clinical studies, corporate administration build-out to support its planned business growth, commercial leadership build-out in anticipation of the potential approval of TP-03 by the FDA in 2023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and in/out-licensing activities. The Company faces the clinical, business, and liquidity risks that are typically associated with biopharma companies. It must significantly invest in and conduct research and development activities with inherently uncertain outcomes, recruit and retain skilled personnel (including executive management), and expand and defend its intellectual property rights.</w:t>
      </w:r>
    </w:p>
    <w:p>
      <w:pPr>
        <w:spacing w:after="0" w:line="183" w:lineRule="exact"/>
        <w:rPr>
          <w:sz w:val="20"/>
          <w:szCs w:val="20"/>
          <w:color w:val="auto"/>
        </w:rPr>
      </w:pPr>
    </w:p>
    <w:p>
      <w:pPr>
        <w:ind w:right="40" w:firstLine="891"/>
        <w:spacing w:after="0" w:line="253" w:lineRule="auto"/>
        <w:rPr>
          <w:sz w:val="20"/>
          <w:szCs w:val="20"/>
          <w:color w:val="auto"/>
        </w:rPr>
      </w:pPr>
      <w:r>
        <w:rPr>
          <w:rFonts w:ascii="Times New Roman" w:cs="Times New Roman" w:eastAsia="Times New Roman" w:hAnsi="Times New Roman"/>
          <w:sz w:val="18"/>
          <w:szCs w:val="18"/>
          <w:color w:val="auto"/>
        </w:rPr>
        <w:t>Management expects the Company to continue to incur operating losses for the foreseeable future and may be required to raise additional capital to fund its ongoing operations. However, no assurance can be given as to whether financing will be available on terms acceptable to the Company, or at all. If the Company raises additional funds by issuing equity securities, its stockholders may experience significant dilution. The Company's credit facility imposes certain covenants that limit its ability to incur liens or secure additional debt financing, pay dividends, repurchase common stock, make certain investments, or engage in certain merger or asset sale transactions. Any new debt financing or additional equity raise may contain additional terms that are not favorable to the Company or its stockholders. The Company’s potential inability to raise capital when needed could have a negative impact on its financial condition and ability to pursue planned business strategies. If the Company is unable to raise additional funds as required, it may need to delay, reduce, or terminate some or all of its development programs and clinical trials. The Company may also be required to sell or license its rights to product candidates in certain territories or indications that it would otherwise prefer to develop and commercialize on its own and/or enter into collaborations and other arrangements to address its liquidity needs which could materially and adversely affect its business and financial prospects, or even its ability to remain a going concern.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Operating Segment</w:t>
      </w:r>
    </w:p>
    <w:p>
      <w:pPr>
        <w:spacing w:after="0" w:line="229"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To date, the Company has operated and managed its business and financial information on an aggregate basis based on its organizational structure, for the purposes of evaluating financial performance and the allocation of capital and personnel resources, consistent with the way operations and investments are centrally managed and evaluated. Accordingly, the Company’s management determined that it operates one reportable operating segment. This single segment is focused exclusively on developing pharmaceutical products for eventual commercialization.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Emerging Growth Company Status</w:t>
      </w:r>
    </w:p>
    <w:p>
      <w:pPr>
        <w:spacing w:after="0" w:line="229" w:lineRule="exact"/>
        <w:rPr>
          <w:sz w:val="20"/>
          <w:szCs w:val="20"/>
          <w:color w:val="auto"/>
        </w:rPr>
      </w:pPr>
    </w:p>
    <w:p>
      <w:pPr>
        <w:ind w:right="120" w:firstLine="891"/>
        <w:spacing w:after="0" w:line="258"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As a result, it will adopt new or revised accounting standards on the relevant effective dates on which adoption of such standards is required for other public companies that are not emerging growth companies.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USE OF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Basis of Presentation</w:t>
      </w:r>
    </w:p>
    <w:p>
      <w:pPr>
        <w:spacing w:after="0" w:line="229"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The Company’s Condensed Financial Statements have been prepared in conformity with generally accepted accounting principles ("GAAP") in the United States ("U.S.") for interim financial information and pursuant to Form 10-Q and with the rules and regulations of the Securities and Exchange Commission ("SEC"). Accordingly, the accompanying Condensed Financial Statements do not include all of the information and footnotes required by GAAP for complete financial statements and should be read in conjunction with the audited financial statements and the related notes thereto in the Company’s Annual Report on Form 10-K for the year ended December 31, 2021, as filed with the SEC on March 14, 2022.</w:t>
      </w:r>
    </w:p>
    <w:p>
      <w:pPr>
        <w:spacing w:after="0" w:line="183"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The interim Condensed Balance Sheet as of September 30, 2022, the interim Condensed Statements of Operations and Comprehensive (Loss) Income, and the interim Condensed Statements of Stockholders’ Equity for the three and nine months ended September 30, 2022 and 2021, and the interim Condensed Statements of Cash Flows for the nine months ended September 30, 2022 and 2021 are unaudited. These unaudited interim financial statements have been prepared on the same basis as the Company’s annual financial statements and, in the opinion of management, reflect all adjustments, which consist of only normal and recurring adjustments for the fair presentation of its financial information.</w:t>
      </w:r>
    </w:p>
    <w:p>
      <w:pPr>
        <w:spacing w:after="0" w:line="183" w:lineRule="exact"/>
        <w:rPr>
          <w:sz w:val="20"/>
          <w:szCs w:val="20"/>
          <w:color w:val="auto"/>
        </w:rPr>
      </w:pPr>
    </w:p>
    <w:p>
      <w:pPr>
        <w:ind w:right="100" w:firstLine="891"/>
        <w:spacing w:after="0" w:line="261" w:lineRule="auto"/>
        <w:rPr>
          <w:sz w:val="20"/>
          <w:szCs w:val="20"/>
          <w:color w:val="auto"/>
        </w:rPr>
      </w:pPr>
      <w:r>
        <w:rPr>
          <w:rFonts w:ascii="Times New Roman" w:cs="Times New Roman" w:eastAsia="Times New Roman" w:hAnsi="Times New Roman"/>
          <w:sz w:val="18"/>
          <w:szCs w:val="18"/>
          <w:color w:val="auto"/>
        </w:rPr>
        <w:t>The financial data and other information disclosed in these notes related to the three and nine-month periods are also unaudited. The Condensed Balance Sheet as of December 31, 2021 has been derived from the audited financial statements at that date but does not include all information and footnotes required by GAAP for annual financial statements. The condensed interim operating results for three and nine months ended September 30, 2022 are not necessarily indicative of results to be expected for the year ending December 31, 2022 or any other interim or annual period.</w:t>
      </w:r>
    </w:p>
    <w:p>
      <w:pPr>
        <w:spacing w:after="0" w:line="180"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and with the rules and regulations of the SEC requires management to make informed estimates and assumptions that affect the amounts reported in these financial statements and accompanying notes. These estimates and assumptions involve judgments with respect to numerous factors that are difficult to forecast and may materially differ from the amounts ultimately realized and reported due to the inherent uncertainty of any estimate or assumption.</w:t>
      </w:r>
    </w:p>
    <w:p>
      <w:pPr>
        <w:spacing w:after="0" w:line="193" w:lineRule="exact"/>
        <w:rPr>
          <w:sz w:val="20"/>
          <w:szCs w:val="20"/>
          <w:color w:val="auto"/>
        </w:rPr>
      </w:pPr>
    </w:p>
    <w:p>
      <w:pPr>
        <w:ind w:right="240" w:firstLine="891"/>
        <w:spacing w:after="0" w:line="245" w:lineRule="auto"/>
        <w:rPr>
          <w:sz w:val="20"/>
          <w:szCs w:val="20"/>
          <w:color w:val="auto"/>
        </w:rPr>
      </w:pPr>
      <w:r>
        <w:rPr>
          <w:rFonts w:ascii="Times New Roman" w:cs="Times New Roman" w:eastAsia="Times New Roman" w:hAnsi="Times New Roman"/>
          <w:sz w:val="18"/>
          <w:szCs w:val="18"/>
          <w:color w:val="auto"/>
        </w:rPr>
        <w:t>There have been no significant changes in the Company’s significant accounting policies during the three and nine months ended September 30, 2022, as compared with those disclosed in its Annual Report on Form 10-K for the year ended December 31, 2021, filed with the SEC on March 14, 2022, except as discussed below. The accounting policies and estimates that most significantly impact the presented amounts within the accompanying Condensed Financial Statements are further described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Cash and Cash Equivalents</w:t>
      </w:r>
    </w:p>
    <w:p>
      <w:pPr>
        <w:spacing w:after="0" w:line="229" w:lineRule="exact"/>
        <w:rPr>
          <w:sz w:val="20"/>
          <w:szCs w:val="20"/>
          <w:color w:val="auto"/>
        </w:rPr>
      </w:pPr>
    </w:p>
    <w:p>
      <w:pPr>
        <w:ind w:right="440" w:firstLine="891"/>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bank deposits and highly liquid investments, including money market fund accounts, that are readily convertible into cash without penalty, with original maturities of three months or less from the purchase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(iii) Marketable Securities and Long-Term Investments</w:t>
      </w:r>
    </w:p>
    <w:p>
      <w:pPr>
        <w:spacing w:after="0" w:line="229"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2022, marketable securities consist of short term fixed income investments that have been classified as available-for-sale and are carried at estimated fair value as determined based upon quoted market prices or pricing models for similar securities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Management determines the appropriate classification of its investments in fixed income securities at the time of purchase. Available-for-sale securities are classified as current assets on the accompanying Condensed Balance Sheets due to their highly liquid nature and availability for use in current operations.</w:t>
      </w:r>
    </w:p>
    <w:p>
      <w:pPr>
        <w:spacing w:after="0" w:line="180"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Marketable securities are recorded at fair value with unrealized losses and gains reported as a component of "accumulated other comprehensive loss" within the Condensed Statements of Stockholders' Equity until realized. 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occurs. Additionally, the Company assesses whether it has plans to sell the security or it is more likely than not it will be required to sell any available-for-sale securities before recovery of its amortized cost basis. The cost of debt securities is adjusted for amortization of premiums and accretion of discounts to maturity. Such amortization and accretion, as well as interest and dividends, are included in interest income. Realized losses and gains as well as credit losses, if any, on marketable securities identified on a specific identification basis and are included in "other income (expense), net" on the accompanying Condensed Statement of Operations. The Company evaluated the underlying credit quality and credit ratings of the issuers during the period. To date, the Company has not identified any other than temporary declines in fair value of its investments and no credit losses have occurred or have been recorded. Interest earned on marketable securities is included in "interest income" within the accompanying Condensed Statement of Operations.</w:t>
      </w:r>
    </w:p>
    <w:p>
      <w:pPr>
        <w:spacing w:after="0" w:line="189"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As of December 31, 2021, marketable securities consisted of holdings of LianBio common stock. These shares are reported within "long-term investments" on the accompanying Condensed Balance Sheet as of September 30, 2022, reflecting the intent to hold these shares for at least one year from the balance sheet date. These equity securities are designated as "available-for-sale" with associated gains or losses reported in "other income (expense), net" within the Condensed Statements of Operations and Comprehensive (Loss) Income for each reported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(iv) Concentration of Credit Risk and Other Risks and Uncertainties</w:t>
      </w:r>
    </w:p>
    <w:p>
      <w:pPr>
        <w:spacing w:after="0" w:line="229" w:lineRule="exact"/>
        <w:rPr>
          <w:sz w:val="20"/>
          <w:szCs w:val="20"/>
          <w:color w:val="auto"/>
        </w:rPr>
      </w:pPr>
    </w:p>
    <w:p>
      <w:pPr>
        <w:ind w:right="380" w:firstLine="891"/>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Management believes the Company is not exposed to significant credit risk due to the financial position of the depository institutions in which those deposits are held.</w:t>
      </w:r>
    </w:p>
    <w:p>
      <w:pPr>
        <w:spacing w:after="0" w:line="180"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The Company’s results of operations involve numerous risks and uncertainties. Factors that could adversely impact the Company’s operating results and business objectives include, but are not limited to, (1) uncertainty of results of clinical trials, (2) uncertainty of regulatory approval of the Company’s potential product candidates, (3) uncertainty of market acceptance of its product candidates, (4) competition from substitute products and other companies, (5) securing and protecting proprietary technology and strategic relationships, and (6) dependence on key individuals and sole source suppliers.</w:t>
      </w:r>
    </w:p>
    <w:p>
      <w:pPr>
        <w:spacing w:after="0" w:line="180"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is denied approval, approval is delayed, or the Company is unable to maintain approval for any product candidate, it could have a materially adverse impact on its business.</w:t>
      </w:r>
    </w:p>
    <w:p>
      <w:pPr>
        <w:spacing w:after="0" w:line="176" w:lineRule="exact"/>
        <w:rPr>
          <w:sz w:val="20"/>
          <w:szCs w:val="20"/>
          <w:color w:val="auto"/>
        </w:rPr>
      </w:pPr>
    </w:p>
    <w:p>
      <w:pPr>
        <w:ind w:left="660" w:right="7040" w:hanging="652"/>
        <w:spacing w:after="0" w:line="518" w:lineRule="auto"/>
        <w:tabs>
          <w:tab w:leader="none" w:pos="257"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 for Out-License Arrangements Overview</w:t>
      </w:r>
    </w:p>
    <w:p>
      <w:pPr>
        <w:spacing w:after="0" w:line="2"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 xml:space="preserve">The Company currently has no product revenue. Reported revenue in the accompanying Statements of Operations and Comprehensive (Loss) Income is associated with one out-license agreement (the "China Out-License") that allows the third-party licensee to market the Company's TP-03 product candidate (representing "functional intellectual property") in the People's Republic of China, Hong Kong, Macau, and Taiwan (the "China territory") -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The accounting and reporting of revenue for out-license arrangements requires significant judgment for: (a) identification of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spacing w:after="0" w:line="214"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The China Out-License was analyzed under GAAP to determine whether the promised goods or services are distinct, or in the alternative,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considered to not be distinct, the license is combined with other promised goods or services as a combined performance obligation for revenue recognition.</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China Out-License includes the following forms of consideration: (i) non-refundable upfront license payments, (ii) equity securities and warrants, (iii) sales-based royalties, (iv) sales threshold milestones, (v) development milestone payments, and (vi) regulatory milestone payments. Revenue is recognized in proportion to the allocated transaction price when (or as) the respective performance obligation is satisfied. The Company evaluates the progress related to each milestone at each reporting period and, if necessary, also adjusts the probability of achievement and related revenue recognition. The measure of progress, and thereby periods over which revenue is recognized, is subject to estimates by management and may change over the course of the respective agreement.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Contractual Terms for Receipt of Payments</w:t>
      </w:r>
    </w:p>
    <w:p>
      <w:pPr>
        <w:spacing w:after="0" w:line="25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contractual terms that establish the Company’s right to collect specified amounts from its customers and that require contemporaneous evaluation and documentation under GAAP for the corresponding timing and amount of revenue recognition, are as follows:</w:t>
      </w:r>
    </w:p>
    <w:p>
      <w:pPr>
        <w:spacing w:after="0" w:line="171" w:lineRule="exact"/>
        <w:rPr>
          <w:sz w:val="20"/>
          <w:szCs w:val="20"/>
          <w:color w:val="auto"/>
        </w:rPr>
      </w:pPr>
    </w:p>
    <w:p>
      <w:pPr>
        <w:ind w:firstLine="656"/>
        <w:spacing w:after="0" w:line="242"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Upfront License Fees: </w:t>
      </w:r>
      <w:r>
        <w:rPr>
          <w:rFonts w:ascii="Times New Roman" w:cs="Times New Roman" w:eastAsia="Times New Roman" w:hAnsi="Times New Roman"/>
          <w:sz w:val="18"/>
          <w:szCs w:val="18"/>
          <w:color w:val="auto"/>
        </w:rPr>
        <w:t>The Company determines whether non-refundable license fee consideration is recognized at the time of contract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execution (i.e., when the license is transferred to the customer and the customer is able to use and benefit from the license) or over the actual (or implied) contractual period of the China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the Company performs obligations under these arrangements.</w:t>
      </w:r>
    </w:p>
    <w:p>
      <w:pPr>
        <w:spacing w:after="0" w:line="205" w:lineRule="exact"/>
        <w:rPr>
          <w:rFonts w:ascii="Times New Roman" w:cs="Times New Roman" w:eastAsia="Times New Roman" w:hAnsi="Times New Roman"/>
          <w:sz w:val="18"/>
          <w:szCs w:val="18"/>
          <w:color w:val="auto"/>
        </w:rPr>
      </w:pPr>
    </w:p>
    <w:p>
      <w:pPr>
        <w:ind w:firstLine="656"/>
        <w:spacing w:after="0" w:line="238"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Milestones: </w:t>
      </w:r>
      <w:r>
        <w:rPr>
          <w:rFonts w:ascii="Times New Roman" w:cs="Times New Roman" w:eastAsia="Times New Roman" w:hAnsi="Times New Roman"/>
          <w:sz w:val="18"/>
          <w:szCs w:val="18"/>
          <w:color w:val="auto"/>
        </w:rPr>
        <w:t>The Company utilizes the “most likely amount” method to estimate the amount of consideration to which it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entitled for achievement of development 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w:t>
      </w:r>
    </w:p>
    <w:p>
      <w:pPr>
        <w:spacing w:after="0" w:line="223" w:lineRule="exact"/>
        <w:rPr>
          <w:rFonts w:ascii="Times New Roman" w:cs="Times New Roman" w:eastAsia="Times New Roman" w:hAnsi="Times New Roman"/>
          <w:sz w:val="18"/>
          <w:szCs w:val="18"/>
          <w:color w:val="auto"/>
        </w:rPr>
      </w:pPr>
    </w:p>
    <w:p>
      <w:pPr>
        <w:ind w:firstLine="656"/>
        <w:spacing w:after="0" w:line="257"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Milestones: </w:t>
      </w:r>
      <w:r>
        <w:rPr>
          <w:rFonts w:ascii="Times New Roman" w:cs="Times New Roman" w:eastAsia="Times New Roman" w:hAnsi="Times New Roman"/>
          <w:sz w:val="18"/>
          <w:szCs w:val="18"/>
          <w:color w:val="auto"/>
        </w:rPr>
        <w:t>The Company utilizes the “most likely amount” method to estimate the consideration to which it will be entitled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recognizes 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spacing w:after="0" w:line="209" w:lineRule="exact"/>
        <w:rPr>
          <w:rFonts w:ascii="Times New Roman" w:cs="Times New Roman" w:eastAsia="Times New Roman" w:hAnsi="Times New Roman"/>
          <w:sz w:val="18"/>
          <w:szCs w:val="18"/>
          <w:color w:val="auto"/>
        </w:rPr>
      </w:pPr>
    </w:p>
    <w:p>
      <w:pPr>
        <w:ind w:right="300" w:firstLine="656"/>
        <w:spacing w:after="0" w:line="262"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Royalties: </w:t>
      </w:r>
      <w:r>
        <w:rPr>
          <w:rFonts w:ascii="Times New Roman" w:cs="Times New Roman" w:eastAsia="Times New Roman" w:hAnsi="Times New Roman"/>
          <w:sz w:val="18"/>
          <w:szCs w:val="18"/>
          <w:color w:val="auto"/>
        </w:rPr>
        <w:t>Under the "sales-or-usage-based royalty exception" the Company recognizes revenue based on the contractual percentage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licensee’s sale 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its out-licensing arrangement.</w:t>
      </w:r>
    </w:p>
    <w:p>
      <w:pPr>
        <w:spacing w:after="0" w:line="203" w:lineRule="exact"/>
        <w:rPr>
          <w:rFonts w:ascii="Times New Roman" w:cs="Times New Roman" w:eastAsia="Times New Roman" w:hAnsi="Times New Roman"/>
          <w:sz w:val="18"/>
          <w:szCs w:val="18"/>
          <w:color w:val="auto"/>
        </w:rPr>
      </w:pPr>
    </w:p>
    <w:p>
      <w:pPr>
        <w:ind w:right="100" w:firstLine="656"/>
        <w:spacing w:after="0" w:line="259"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Sales Threshold Milestones: </w:t>
      </w:r>
      <w:r>
        <w:rPr>
          <w:rFonts w:ascii="Times New Roman" w:cs="Times New Roman" w:eastAsia="Times New Roman" w:hAnsi="Times New Roman"/>
          <w:sz w:val="18"/>
          <w:szCs w:val="18"/>
          <w:color w:val="auto"/>
        </w:rPr>
        <w:t>Similar to royalties, applying the "sales-or-usage-based royalty exception", the Company recognizes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sales 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the out-licensing arrangement.</w:t>
      </w:r>
    </w:p>
    <w:p>
      <w:pPr>
        <w:spacing w:after="0" w:line="21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re-evaluates the measure of progress to each performance obligation in each reporting period as uncertain events are resolved and other changes in circumstances occur. A "performance obligation" is a promise in a contract</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 Research and Development Costs</w:t>
      </w:r>
    </w:p>
    <w:p>
      <w:pPr>
        <w:spacing w:after="0" w:line="229" w:lineRule="exact"/>
        <w:rPr>
          <w:sz w:val="20"/>
          <w:szCs w:val="20"/>
          <w:color w:val="auto"/>
        </w:rPr>
      </w:pPr>
    </w:p>
    <w:p>
      <w:pPr>
        <w:ind w:right="100" w:firstLine="891"/>
        <w:spacing w:after="0" w:line="255" w:lineRule="auto"/>
        <w:rPr>
          <w:sz w:val="20"/>
          <w:szCs w:val="20"/>
          <w:color w:val="auto"/>
        </w:rPr>
      </w:pPr>
      <w:r>
        <w:rPr>
          <w:rFonts w:ascii="Times New Roman" w:cs="Times New Roman" w:eastAsia="Times New Roman" w:hAnsi="Times New Roman"/>
          <w:sz w:val="18"/>
          <w:szCs w:val="18"/>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expenses, manufacturing costs for drug products before FDA approval, and the costs of various research and development contractors. Expenses for pre-clinical studies and clinical trial activities that are performed by third parties on behalf of the Company are typically based upon estimates of the proportion of work completed over the term of the individual study or trial, as well as patient enrollment and dosing events. These costs are in accordance with the agreements established with the contracted clinical research organizations and associated trial sites.</w:t>
      </w:r>
    </w:p>
    <w:p>
      <w:pPr>
        <w:spacing w:after="0" w:line="189"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entered, and may continue to enter into, license agreements to access and utilize intellectual property for drug development. In each case, the Company evaluates if the assets acquired in a transaction represent the acquisition of an "asset" or a "business" as defined under applicable GAAP. The Company’s executed in-license agreements (see </w:t>
      </w:r>
      <w:r>
        <w:rPr>
          <w:rFonts w:ascii="Times New Roman" w:cs="Times New Roman" w:eastAsia="Times New Roman" w:hAnsi="Times New Roman"/>
          <w:sz w:val="18"/>
          <w:szCs w:val="18"/>
          <w:i w:val="1"/>
          <w:iCs w:val="1"/>
          <w:color w:val="auto"/>
        </w:rPr>
        <w:t>Note 8(b)</w:t>
      </w:r>
      <w:r>
        <w:rPr>
          <w:rFonts w:ascii="Times New Roman" w:cs="Times New Roman" w:eastAsia="Times New Roman" w:hAnsi="Times New Roman"/>
          <w:sz w:val="18"/>
          <w:szCs w:val="18"/>
          <w:color w:val="auto"/>
        </w:rPr>
        <w:t>) were evaluated and determined to represent "asset" acquisitions. Because these assets have not yet received regulatory approval and have no alternative future use, the purchase price for each was immediately recognized as "research and development" expense in the accompanying financial statements. In addition, any future milestone payments (whether in the form of cash or stock) made before product regulatory approval (that do not meet the definition of a "derivative") will also be immediately recognized as "research and development" expense when it becomes payable, provided there is no alternative future use in other research and development projects for its capitalization.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(vii) Stock-Based Compensation</w:t>
      </w:r>
    </w:p>
    <w:p>
      <w:pPr>
        <w:spacing w:after="0" w:line="229"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equity awards granted to employees, consultants, and members of its Board of Directors. The Black-Scholes pricing model is used to estimate the fair value of stock option awards as of the date of grant. The fair value of restricted stock units is representative of the closing share price preceding the date of grant.</w:t>
      </w:r>
    </w:p>
    <w:p>
      <w:pPr>
        <w:spacing w:after="0" w:line="176" w:lineRule="exact"/>
        <w:rPr>
          <w:sz w:val="20"/>
          <w:szCs w:val="20"/>
          <w:color w:val="auto"/>
        </w:rPr>
      </w:pPr>
    </w:p>
    <w:p>
      <w:pPr>
        <w:ind w:right="200" w:firstLine="891"/>
        <w:spacing w:after="0" w:line="261" w:lineRule="auto"/>
        <w:rPr>
          <w:sz w:val="20"/>
          <w:szCs w:val="20"/>
          <w:color w:val="auto"/>
        </w:rPr>
      </w:pPr>
      <w:r>
        <w:rPr>
          <w:rFonts w:ascii="Times New Roman" w:cs="Times New Roman" w:eastAsia="Times New Roman" w:hAnsi="Times New Roman"/>
          <w:sz w:val="18"/>
          <w:szCs w:val="18"/>
          <w:color w:val="auto"/>
        </w:rPr>
        <w:t>For stock-based awards that vest subject to the satisfaction of a service requirement, the related expense is recognized on a straight-line basis over each award’s actual or implied vesting period. For stock-based awards that vest subject to a performance condition, the Company recognizes related expense on an accelerated attribution method, if and when it concludes that it is highly probable that the performance condition will be achieved. As applicable, the Company reverses previously recognized expense for unvested awards in the same period of forfeiture.</w:t>
      </w:r>
    </w:p>
    <w:p>
      <w:pPr>
        <w:spacing w:after="0" w:line="180" w:lineRule="exact"/>
        <w:rPr>
          <w:sz w:val="20"/>
          <w:szCs w:val="20"/>
          <w:color w:val="auto"/>
        </w:rPr>
      </w:pPr>
    </w:p>
    <w:p>
      <w:pPr>
        <w:ind w:right="100" w:firstLine="891"/>
        <w:spacing w:after="0" w:line="281" w:lineRule="auto"/>
        <w:rPr>
          <w:sz w:val="20"/>
          <w:szCs w:val="20"/>
          <w:color w:val="auto"/>
        </w:rPr>
      </w:pPr>
      <w:r>
        <w:rPr>
          <w:rFonts w:ascii="Times New Roman" w:cs="Times New Roman" w:eastAsia="Times New Roman" w:hAnsi="Times New Roman"/>
          <w:sz w:val="17"/>
          <w:szCs w:val="17"/>
          <w:color w:val="auto"/>
        </w:rPr>
        <w:t>The measurement of the fair value of stock option awards and recognition of stock-based compensation expense requires assumptions to be estimated by management that involve inherent uncertainties and the application of management’s judgment, including (a) the fair value of the Company’s common stock on the date of the option grant, (b) the expected term of the stock option until its exercise by the recipient, (c) stock price volatility over the expected term, (d) the prevailing risk-free interest rate over the expected term, and (e) expected dividend payments over the expected term.</w:t>
      </w:r>
    </w:p>
    <w:p>
      <w:pPr>
        <w:spacing w:after="0" w:line="164"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color w:val="auto"/>
        </w:rPr>
        <w:t>Management estimates the expected term of awarded stock options utilizing the “simplified method” for awards since the Company does not yet have sufficient exercise history since its November 2016 corporate formation and also lacks specific historical and implied stock volatility information. Accordingly, management estimates this expected volatility based on a designated peer-group of publicly-traded companies for a look-back period (from the date of grant) that corresponds with the expected term of the awarded stock option. The Company estimates the risk-free interest rate based upon the U.S. Department of the Treasury yield curve in effect at award grant for time period that corresponds with the expected term of the awarded stock option. The Company’s expected dividend yield is zero because it has never paid cash dividends and does not expect to for the foreseeable future. The fair value of the Company’s common stock is based on the closing quoted market price of its common stock as reported by the Nasdaq Global Select Market on the date of grant.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All stock-based compensation expense is reported in the accompanying Condensed Statements of Operations and Comprehensive (Loss) Income within "research and development" expense or "general and administrative" expense, based upon the assigned department of the award recipient.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(viii) Net (Loss) Income per Share</w:t>
      </w:r>
    </w:p>
    <w:p>
      <w:pPr>
        <w:spacing w:after="0" w:line="229" w:lineRule="exact"/>
        <w:rPr>
          <w:sz w:val="20"/>
          <w:szCs w:val="20"/>
          <w:color w:val="auto"/>
        </w:rPr>
      </w:pPr>
    </w:p>
    <w:p>
      <w:pPr>
        <w:ind w:right="160" w:firstLine="891"/>
        <w:spacing w:after="0" w:line="261" w:lineRule="auto"/>
        <w:rPr>
          <w:sz w:val="20"/>
          <w:szCs w:val="20"/>
          <w:color w:val="auto"/>
        </w:rPr>
      </w:pPr>
      <w:r>
        <w:rPr>
          <w:rFonts w:ascii="Times New Roman" w:cs="Times New Roman" w:eastAsia="Times New Roman" w:hAnsi="Times New Roman"/>
          <w:sz w:val="18"/>
          <w:szCs w:val="18"/>
          <w:color w:val="auto"/>
        </w:rPr>
        <w:t>Basic net (loss) income per share is calculated by dividing the net (loss) income by the weighted-average number of shares of common stock outstanding for the period, without consideration for potential dilutive shares of common stock. Diluted net (loss) income per share is computed by dividing the net (loss) income by the weighted-average number of common stock equivalents outstanding for the period determined using the "treasury-stock method" and "if-converted method" as applicable.</w:t>
      </w:r>
    </w:p>
    <w:p>
      <w:pPr>
        <w:spacing w:after="0" w:line="180" w:lineRule="exact"/>
        <w:rPr>
          <w:sz w:val="20"/>
          <w:szCs w:val="20"/>
          <w:color w:val="auto"/>
        </w:rPr>
      </w:pPr>
    </w:p>
    <w:p>
      <w:pPr>
        <w:ind w:right="40" w:firstLine="891"/>
        <w:spacing w:after="0" w:line="255" w:lineRule="auto"/>
        <w:rPr>
          <w:sz w:val="20"/>
          <w:szCs w:val="20"/>
          <w:color w:val="auto"/>
        </w:rPr>
      </w:pPr>
      <w:r>
        <w:rPr>
          <w:rFonts w:ascii="Times New Roman" w:cs="Times New Roman" w:eastAsia="Times New Roman" w:hAnsi="Times New Roman"/>
          <w:sz w:val="18"/>
          <w:szCs w:val="18"/>
          <w:color w:val="auto"/>
        </w:rPr>
        <w:t>The Company’s "participating securities" include unvested common stock awards issued upon early exercise of certain stock options, as early exercised unvested common stock awards have a non-forfeitable right to dividends. The Company’s participating securities do not have a contractual obligation to share in the Company’s losses, so in periods of net losses, the "two-class method" of calculating basic and diluted earnings per share is not required. In periods of net income, basic and diluted net loss per share attributable to common stockholders is presented in conformity with the two-class method required for participating securities. Also, net income is attributed to both common stockholders and participating security holders, and therefore, net income is allocated to shares of common stock and participating securities, as if all of the earnings for the period had been distributed. Diluted earnings per share under the two-class method is calculated using the more dilutive of the treasury stock or the two-class method.</w:t>
      </w:r>
    </w:p>
    <w:p>
      <w:pPr>
        <w:spacing w:after="0" w:line="216"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Due to a net loss for the three and nine months ended September 30, 2022, all otherwise potentially dilutive securities are antidilutive, and accordingly, the reported basic net loss per share equals the reported diluted net loss per share in this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(ix) Fair Value Measurements</w:t>
      </w:r>
    </w:p>
    <w:p>
      <w:pPr>
        <w:spacing w:after="0" w:line="229"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85" w:lineRule="exact"/>
        <w:rPr>
          <w:sz w:val="20"/>
          <w:szCs w:val="20"/>
          <w:color w:val="auto"/>
        </w:rPr>
      </w:pPr>
    </w:p>
    <w:p>
      <w:pPr>
        <w:ind w:left="1020" w:hanging="32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 that are publicly accessible at the measurement date.</w:t>
      </w:r>
    </w:p>
    <w:p>
      <w:pPr>
        <w:spacing w:after="0" w:line="225" w:lineRule="exact"/>
        <w:rPr>
          <w:rFonts w:ascii="Times New Roman" w:cs="Times New Roman" w:eastAsia="Times New Roman" w:hAnsi="Times New Roman"/>
          <w:sz w:val="18"/>
          <w:szCs w:val="18"/>
          <w:color w:val="auto"/>
        </w:rPr>
      </w:pPr>
    </w:p>
    <w:p>
      <w:pPr>
        <w:ind w:left="1020" w:right="60" w:hanging="324"/>
        <w:spacing w:after="0" w:line="284" w:lineRule="auto"/>
        <w:tabs>
          <w:tab w:leader="none" w:pos="10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prices that are based on inputs not quoted on active markets, but that are corroborated by market data. These inputs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quoted prices for similar assets or liabilities or quoted market prices in markets that are not active to the general public.</w:t>
      </w:r>
    </w:p>
    <w:p>
      <w:pPr>
        <w:spacing w:after="0" w:line="158" w:lineRule="exact"/>
        <w:rPr>
          <w:rFonts w:ascii="Times New Roman" w:cs="Times New Roman" w:eastAsia="Times New Roman" w:hAnsi="Times New Roman"/>
          <w:sz w:val="18"/>
          <w:szCs w:val="18"/>
          <w:color w:val="auto"/>
        </w:rPr>
      </w:pPr>
    </w:p>
    <w:p>
      <w:pPr>
        <w:ind w:left="1020" w:right="600" w:hanging="324"/>
        <w:spacing w:after="0" w:line="284" w:lineRule="auto"/>
        <w:tabs>
          <w:tab w:leader="none" w:pos="10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160" w:lineRule="exact"/>
        <w:rPr>
          <w:sz w:val="20"/>
          <w:szCs w:val="20"/>
          <w:color w:val="auto"/>
        </w:rPr>
      </w:pPr>
    </w:p>
    <w:p>
      <w:pPr>
        <w:jc w:val="both"/>
        <w:ind w:right="140" w:firstLine="891"/>
        <w:spacing w:after="0" w:line="266" w:lineRule="auto"/>
        <w:rPr>
          <w:sz w:val="20"/>
          <w:szCs w:val="20"/>
          <w:color w:val="auto"/>
        </w:rPr>
      </w:pPr>
      <w:r>
        <w:rPr>
          <w:rFonts w:ascii="Times New Roman" w:cs="Times New Roman" w:eastAsia="Times New Roman" w:hAnsi="Times New Roman"/>
          <w:sz w:val="18"/>
          <w:szCs w:val="18"/>
          <w:color w:val="auto"/>
        </w:rPr>
        <w:t xml:space="preserve">The carrying amounts for financial instruments consisting of cash and cash equivalents, accounts payable and accrued liabilities approximate fair value due to the short maturities for each. The Company's equity warrant holdings are carried at fair value based on unobservable market inputs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transfers of assets and liabilities between the levels of the fair value hierarchy during the years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Comprehensive (Loss) Income</w:t>
      </w:r>
    </w:p>
    <w:p>
      <w:pPr>
        <w:spacing w:after="0" w:line="229" w:lineRule="exact"/>
        <w:rPr>
          <w:sz w:val="20"/>
          <w:szCs w:val="20"/>
          <w:color w:val="auto"/>
        </w:rPr>
      </w:pPr>
    </w:p>
    <w:p>
      <w:pPr>
        <w:ind w:right="360" w:firstLine="891"/>
        <w:spacing w:after="0" w:line="282" w:lineRule="auto"/>
        <w:rPr>
          <w:sz w:val="20"/>
          <w:szCs w:val="20"/>
          <w:color w:val="auto"/>
        </w:rPr>
      </w:pPr>
      <w:r>
        <w:rPr>
          <w:rFonts w:ascii="Times New Roman" w:cs="Times New Roman" w:eastAsia="Times New Roman" w:hAnsi="Times New Roman"/>
          <w:sz w:val="18"/>
          <w:szCs w:val="18"/>
          <w:color w:val="auto"/>
        </w:rPr>
        <w:t>Comprehensive (loss) income represents (i) net loss or income for the periods presented, and (ii) unrealized gains or losses on our reported available-for-sale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 Recently Issued or Effective Accounting Standards</w:t>
      </w:r>
    </w:p>
    <w:p>
      <w:pPr>
        <w:spacing w:after="0" w:line="229"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Recently issued or effective accounting pronouncements that impact, or may have an impact, on the Company’s financial statements have been discussed within the footnote to which each relates. Other recent accounting pronouncements not disclosed in these Condensed Financial Statements have been determined by the Company’s management to have no impact, or an immaterial impact, on its current and expected future financial position,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ACCOUNT DETAIL</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composition of selected captions within the accompanying Condensed Balance Sheets are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Prepaid Expenses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“Prepaid expenses”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6"/>
                <w:szCs w:val="16"/>
                <w:color w:val="auto"/>
              </w:rPr>
            </w:pPr>
          </w:p>
        </w:tc>
        <w:tc>
          <w:tcPr>
            <w:tcW w:w="136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3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prepaid expenses</w:t>
            </w:r>
          </w:p>
        </w:tc>
        <w:tc>
          <w:tcPr>
            <w:tcW w:w="50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w:t>
            </w:r>
          </w:p>
        </w:tc>
      </w:tr>
      <w:tr>
        <w:trPr>
          <w:trHeight w:val="21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insurance</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50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Other Receivables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“Other receivables”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6"/>
                <w:szCs w:val="16"/>
                <w:color w:val="auto"/>
              </w:rPr>
            </w:pP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3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83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PDUFA Fee reimbursement </w:t>
            </w:r>
            <w:r>
              <w:rPr>
                <w:rFonts w:ascii="Times New Roman" w:cs="Times New Roman" w:eastAsia="Times New Roman" w:hAnsi="Times New Roman"/>
                <w:sz w:val="21"/>
                <w:szCs w:val="21"/>
                <w:color w:val="auto"/>
                <w:vertAlign w:val="superscript"/>
              </w:rPr>
              <w:t>(1)</w:t>
            </w:r>
          </w:p>
        </w:tc>
        <w:tc>
          <w:tcPr>
            <w:tcW w:w="50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R&amp;D payroll tax receivable</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Clinical receivables</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receivable</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5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34"/>
        </w:trPr>
        <w:tc>
          <w:tcPr>
            <w:tcW w:w="83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74" w:lineRule="exact"/>
        <w:rPr>
          <w:sz w:val="20"/>
          <w:szCs w:val="20"/>
          <w:color w:val="auto"/>
        </w:rPr>
      </w:pPr>
    </w:p>
    <w:p>
      <w:pPr>
        <w:ind w:left="660" w:right="100" w:hanging="652"/>
        <w:spacing w:after="0" w:line="302" w:lineRule="auto"/>
        <w:tabs>
          <w:tab w:leader="none" w:pos="32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represents the required FDA filing fee upon the Company's submission of its New Drug Application ("NDA") for TP-03 in the third quarter of 2022. This fee is expected to be refunded in full, based on the Company's status as a qualified "Small Business" as defined in the relevant Federal statute.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Property and Equipment, Net</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6"/>
                <w:szCs w:val="16"/>
                <w:color w:val="auto"/>
              </w:rPr>
            </w:pP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equipment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Laboratory equipment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at cost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r>
      <w:tr>
        <w:trPr>
          <w:trHeight w:val="213"/>
        </w:trPr>
        <w:tc>
          <w:tcPr>
            <w:tcW w:w="8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3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40" w:firstLine="891"/>
        <w:spacing w:after="0" w:line="266" w:lineRule="auto"/>
        <w:rPr>
          <w:sz w:val="20"/>
          <w:szCs w:val="20"/>
          <w:color w:val="auto"/>
        </w:rPr>
      </w:pPr>
      <w:r>
        <w:rPr>
          <w:rFonts w:ascii="Times New Roman" w:cs="Times New Roman" w:eastAsia="Times New Roman" w:hAnsi="Times New Roman"/>
          <w:sz w:val="18"/>
          <w:szCs w:val="18"/>
          <w:color w:val="auto"/>
        </w:rPr>
        <w:t>Depreciation expense (included within “total operating expenses” in the accompanying Condensed Statements of Operations and Comprehensive (Loss) Income) for the three months ended September 30, 2022 and 2021 was $0.1 million and $0.1 million, respectively, and for the nine months ended September 30, 2022 and 2021 was $0.2 million and $0.3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Other Assets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"Other assets"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6"/>
                <w:szCs w:val="16"/>
                <w:color w:val="auto"/>
              </w:rPr>
            </w:pP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warrants issued by licensee (</w:t>
            </w:r>
            <w:r>
              <w:rPr>
                <w:rFonts w:ascii="Times New Roman" w:cs="Times New Roman" w:eastAsia="Times New Roman" w:hAnsi="Times New Roman"/>
                <w:sz w:val="16"/>
                <w:szCs w:val="16"/>
                <w:i w:val="1"/>
                <w:iCs w:val="1"/>
                <w:color w:val="auto"/>
              </w:rPr>
              <w:t>Note 7</w:t>
            </w: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1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0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w:t>
            </w:r>
          </w:p>
        </w:tc>
      </w:tr>
      <w:tr>
        <w:trPr>
          <w:trHeight w:val="23"/>
        </w:trPr>
        <w:tc>
          <w:tcPr>
            <w:tcW w:w="8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Accounts Payable and Other Accrued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payable and other accrued liabilities”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6"/>
                <w:szCs w:val="16"/>
                <w:color w:val="auto"/>
              </w:rPr>
            </w:pP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payable and other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clinical studies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liability</w:t>
            </w:r>
          </w:p>
        </w:tc>
        <w:tc>
          <w:tcPr>
            <w:tcW w:w="1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current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stock option pre-vesting exercise liability</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0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8,680</w:t>
            </w:r>
          </w:p>
        </w:tc>
      </w:tr>
      <w:tr>
        <w:trPr>
          <w:trHeight w:val="23"/>
        </w:trPr>
        <w:tc>
          <w:tcPr>
            <w:tcW w:w="8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Other Long-Term Liabilities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“Other long-term liabilities”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6"/>
                <w:szCs w:val="16"/>
                <w:color w:val="auto"/>
              </w:rPr>
            </w:pP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Lotilaner licensor liability</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3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STOCKHOLDERS’ EQUITY AND EQUITY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Outstanding and Reserves for Future Issuance</w:t>
      </w:r>
    </w:p>
    <w:p>
      <w:pPr>
        <w:spacing w:after="0" w:line="229" w:lineRule="exact"/>
        <w:rPr>
          <w:sz w:val="20"/>
          <w:szCs w:val="20"/>
          <w:color w:val="auto"/>
        </w:rPr>
      </w:pPr>
    </w:p>
    <w:p>
      <w:pPr>
        <w:ind w:right="20" w:firstLine="891"/>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had 26.7 million common shares issued and outstanding. As of December 31, 2021, the Company had both issued and outstanding shares of 20.7 million. Each share of common stock is entitled to one vote.</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Company's outstanding equity awards and shares reserved for future issuance under its 2020 and 2016 Equity Incentive Plans and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Stock Purchase Plan is summarized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2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awards reserved for future issuance under 2020 and 2016 Equity Incentive Plans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8,482,877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9,266,200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awards reserved for future issuance under the 2020 Employee Stock Purchase Plan</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2,682,601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2,493,488</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issued and outstanding (unvested and vested) under 2020 and 2016 Equity Incentive Plans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3,839,077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2,759,830</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stock units issued and outstanding (unvested) under 2020 Equity Incentive Plan</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516,005</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17,251</w:t>
            </w:r>
          </w:p>
        </w:tc>
      </w:tr>
      <w:tr>
        <w:trPr>
          <w:trHeight w:val="23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shares of common stock reserved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15,520,560</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14,536,769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Public Offering</w:t>
      </w:r>
    </w:p>
    <w:p>
      <w:pPr>
        <w:spacing w:after="0" w:line="229" w:lineRule="exact"/>
        <w:rPr>
          <w:sz w:val="20"/>
          <w:szCs w:val="20"/>
          <w:color w:val="auto"/>
        </w:rPr>
      </w:pPr>
    </w:p>
    <w:p>
      <w:pPr>
        <w:ind w:right="100" w:firstLine="891"/>
        <w:spacing w:after="0" w:line="261" w:lineRule="auto"/>
        <w:rPr>
          <w:sz w:val="20"/>
          <w:szCs w:val="20"/>
          <w:color w:val="auto"/>
        </w:rPr>
      </w:pPr>
      <w:r>
        <w:rPr>
          <w:rFonts w:ascii="Times New Roman" w:cs="Times New Roman" w:eastAsia="Times New Roman" w:hAnsi="Times New Roman"/>
          <w:sz w:val="18"/>
          <w:szCs w:val="18"/>
          <w:color w:val="auto"/>
        </w:rPr>
        <w:t>In May 2022, the Company completed a follow-on public offering under its Shelf Registration Statement for an initial underwritten sale of 5.6 million shares of its common stock at a price of $13.50 per share. The Company also granted the underwriters a 30-day option to purchase up to 840,000 additional shares of its common stock at the public offering price. In June 2022, the underwriters partially exercised this option and the Company's sale of additional 289,832 shares at $13.50 per share was concurrently completed.</w:t>
      </w:r>
    </w:p>
    <w:p>
      <w:pPr>
        <w:spacing w:after="0" w:line="180" w:lineRule="exact"/>
        <w:rPr>
          <w:sz w:val="20"/>
          <w:szCs w:val="20"/>
          <w:color w:val="auto"/>
        </w:rPr>
      </w:pPr>
    </w:p>
    <w:p>
      <w:pPr>
        <w:ind w:right="760" w:firstLine="891"/>
        <w:spacing w:after="0" w:line="282" w:lineRule="auto"/>
        <w:rPr>
          <w:sz w:val="20"/>
          <w:szCs w:val="20"/>
          <w:color w:val="auto"/>
        </w:rPr>
      </w:pPr>
      <w:r>
        <w:rPr>
          <w:rFonts w:ascii="Times New Roman" w:cs="Times New Roman" w:eastAsia="Times New Roman" w:hAnsi="Times New Roman"/>
          <w:sz w:val="18"/>
          <w:szCs w:val="18"/>
          <w:color w:val="auto"/>
        </w:rPr>
        <w:t>Total gross proceeds from this offering were $79.5 million (before underwriting discounts, commissions and other estimated offering expenses), resulting in net proceeds of $74.3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Summary</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Stock-based compensation expense for the three and nine months ended September 30, 2022 and 2021 was reported in the accompanying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Statements of Operations and Comprehensive (Loss) Income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0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700" w:type="dxa"/>
            <w:vAlign w:val="bottom"/>
            <w:gridSpan w:val="4"/>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r>
      <w:tr>
        <w:trPr>
          <w:trHeight w:val="21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4,961</w:t>
            </w:r>
          </w:p>
        </w:tc>
      </w:tr>
      <w:tr>
        <w:trPr>
          <w:trHeight w:val="235"/>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NET (LOSS) INCOME PER SHARE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income per share: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30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4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EPS</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(22,511)</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10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undistributed income allocated to participating securities</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available to common shareholders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(22,511)</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(48,492)</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0"/>
        </w:trPr>
        <w:tc>
          <w:tcPr>
            <w:tcW w:w="4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Basic weighted average shares outstanding</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26,662,374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20,641,285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23,923,512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20,511,973</w:t>
            </w:r>
          </w:p>
        </w:tc>
      </w:tr>
      <w:tr>
        <w:trPr>
          <w:trHeight w:val="234"/>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per share—basic</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4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(22,511)</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10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undistributed income reallocated to participating securities</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available to common shareholders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(22,511)</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(48,492)</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0"/>
        </w:trPr>
        <w:tc>
          <w:tcPr>
            <w:tcW w:w="4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 average shares outstanding</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26,662,374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20,641,285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23,923,512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20,511,973</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options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1,520,514</w:t>
            </w:r>
          </w:p>
        </w:tc>
      </w:tr>
      <w:tr>
        <w:trPr>
          <w:trHeight w:val="212"/>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26,662,374</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20,641,285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23,923,512</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22,032,487</w:t>
            </w: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per share—diluted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3"/>
        </w:trPr>
        <w:tc>
          <w:tcPr>
            <w:tcW w:w="4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ind w:right="400" w:firstLine="891"/>
        <w:spacing w:after="0" w:line="282" w:lineRule="auto"/>
        <w:rPr>
          <w:sz w:val="20"/>
          <w:szCs w:val="20"/>
          <w:color w:val="auto"/>
        </w:rPr>
      </w:pPr>
      <w:r>
        <w:rPr>
          <w:rFonts w:ascii="Times New Roman" w:cs="Times New Roman" w:eastAsia="Times New Roman" w:hAnsi="Times New Roman"/>
          <w:sz w:val="18"/>
          <w:szCs w:val="18"/>
          <w:color w:val="auto"/>
        </w:rPr>
        <w:t>The following outstanding and potentially dilutive securities were excluded from the calculation of diluted net loss per share because their impact under the “treasury stock method” and “if-converted method” would have been anti-dilutive for each period presented: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2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160" w:type="dxa"/>
            <w:vAlign w:val="bottom"/>
            <w:gridSpan w:val="3"/>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48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unexercised—vested and unvested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3,839,077</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2,663,356</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3,839,077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902,981</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 exercised prior to vesting— remaining unvested</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43,149</w:t>
            </w:r>
          </w:p>
        </w:tc>
        <w:tc>
          <w:tcPr>
            <w:tcW w:w="1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43,149</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units—unvested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516,005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516,005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w:t>
            </w:r>
          </w:p>
        </w:tc>
      </w:tr>
      <w:tr>
        <w:trPr>
          <w:trHeight w:val="20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4,355,082</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2,710,762</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4,355,082</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950,387</w:t>
            </w:r>
          </w:p>
        </w:tc>
      </w:tr>
      <w:tr>
        <w:trPr>
          <w:trHeight w:val="23"/>
        </w:trPr>
        <w:tc>
          <w:tcPr>
            <w:tcW w:w="48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jc w:val="both"/>
        <w:ind w:firstLine="891"/>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summarizes certain financial instruments measured at fair value that are included within the accompanying balance sheets, and their designation among the three fair value measurement categories (see </w:t>
      </w:r>
      <w:r>
        <w:rPr>
          <w:rFonts w:ascii="Times New Roman" w:cs="Times New Roman" w:eastAsia="Times New Roman" w:hAnsi="Times New Roman"/>
          <w:sz w:val="18"/>
          <w:szCs w:val="18"/>
          <w:i w:val="1"/>
          <w:iCs w:val="1"/>
          <w:color w:val="auto"/>
        </w:rPr>
        <w:t>Note 2(ix)</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 Fair Value Measurements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3"/>
        </w:trPr>
        <w:tc>
          <w:tcPr>
            <w:tcW w:w="5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Money market funds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159,552</w:t>
            </w:r>
          </w:p>
        </w:tc>
        <w:tc>
          <w:tcPr>
            <w:tcW w:w="12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159,552</w:t>
            </w:r>
          </w:p>
        </w:tc>
      </w:tr>
      <w:tr>
        <w:trPr>
          <w:trHeight w:val="219"/>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U.S. Treasury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34,482</w:t>
            </w:r>
          </w:p>
        </w:tc>
      </w:tr>
      <w:tr>
        <w:trPr>
          <w:trHeight w:val="213"/>
        </w:trPr>
        <w:tc>
          <w:tcPr>
            <w:tcW w:w="5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Commercial paper</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27,377</w:t>
            </w:r>
          </w:p>
        </w:tc>
      </w:tr>
      <w:tr>
        <w:trPr>
          <w:trHeight w:val="219"/>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w:t>
            </w:r>
          </w:p>
        </w:tc>
      </w:tr>
      <w:tr>
        <w:trPr>
          <w:trHeight w:val="213"/>
        </w:trPr>
        <w:tc>
          <w:tcPr>
            <w:tcW w:w="5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(LianBio shares included in "long-term investments")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9"/>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Equity warrants (for LianBio shares included in "other assets")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07"/>
        </w:trPr>
        <w:tc>
          <w:tcPr>
            <w:tcW w:w="51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194,191</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32,538</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226,975</w:t>
            </w:r>
          </w:p>
        </w:tc>
      </w:tr>
      <w:tr>
        <w:trPr>
          <w:trHeight w:val="23"/>
        </w:trPr>
        <w:tc>
          <w:tcPr>
            <w:tcW w:w="5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29"/>
        </w:trPr>
        <w:tc>
          <w:tcPr>
            <w:tcW w:w="5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 Fair Value Measurements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
        </w:trPr>
        <w:tc>
          <w:tcPr>
            <w:tcW w:w="5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3"/>
        </w:trPr>
        <w:tc>
          <w:tcPr>
            <w:tcW w:w="5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Money market funds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171,332</w:t>
            </w:r>
          </w:p>
        </w:tc>
        <w:tc>
          <w:tcPr>
            <w:tcW w:w="12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171,332</w:t>
            </w:r>
          </w:p>
        </w:tc>
      </w:tr>
      <w:tr>
        <w:trPr>
          <w:trHeight w:val="219"/>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 (LianBio shares included in "marketable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13"/>
        </w:trPr>
        <w:tc>
          <w:tcPr>
            <w:tcW w:w="5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 warrants (for LianBio shares included in "other assets")</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34"/>
        </w:trPr>
        <w:tc>
          <w:tcPr>
            <w:tcW w:w="51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172,478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Money Market Funds and U.S. Treasury Securities</w:t>
      </w:r>
    </w:p>
    <w:p>
      <w:pPr>
        <w:spacing w:after="0" w:line="229" w:lineRule="exact"/>
        <w:rPr>
          <w:sz w:val="20"/>
          <w:szCs w:val="20"/>
          <w:color w:val="auto"/>
        </w:rPr>
      </w:pPr>
    </w:p>
    <w:p>
      <w:pPr>
        <w:ind w:right="360" w:firstLine="891"/>
        <w:spacing w:after="0" w:line="282" w:lineRule="auto"/>
        <w:rPr>
          <w:sz w:val="20"/>
          <w:szCs w:val="20"/>
          <w:color w:val="auto"/>
        </w:rPr>
      </w:pPr>
      <w:r>
        <w:rPr>
          <w:rFonts w:ascii="Times New Roman" w:cs="Times New Roman" w:eastAsia="Times New Roman" w:hAnsi="Times New Roman"/>
          <w:sz w:val="18"/>
          <w:szCs w:val="18"/>
          <w:color w:val="auto"/>
        </w:rPr>
        <w:t>Money market funds and U.S. Treasury securities have readily-available market prices in active markets that are publicly observable at the measurement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and Corporate Debt Securities</w:t>
      </w:r>
    </w:p>
    <w:p>
      <w:pPr>
        <w:spacing w:after="0" w:line="229" w:lineRule="exact"/>
        <w:rPr>
          <w:sz w:val="20"/>
          <w:szCs w:val="20"/>
          <w:color w:val="auto"/>
        </w:rPr>
      </w:pPr>
    </w:p>
    <w:p>
      <w:pPr>
        <w:ind w:right="220" w:firstLine="891"/>
        <w:spacing w:after="0" w:line="266" w:lineRule="auto"/>
        <w:rPr>
          <w:sz w:val="20"/>
          <w:szCs w:val="20"/>
          <w:color w:val="auto"/>
        </w:rPr>
      </w:pPr>
      <w:r>
        <w:rPr>
          <w:rFonts w:ascii="Times New Roman" w:cs="Times New Roman" w:eastAsia="Times New Roman" w:hAnsi="Times New Roman"/>
          <w:sz w:val="18"/>
          <w:szCs w:val="18"/>
          <w:color w:val="auto"/>
        </w:rPr>
        <w:t>Commercial paper and corporate debt securities were valued using third-party pricing services. The pricing services utilize industry standard valuation models, including both income and market-based approaches, for which all significant inputs are observable, either directly or indirectly, to estimate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LianBio Common Stock and Equity Warrants</w:t>
      </w:r>
    </w:p>
    <w:p>
      <w:pPr>
        <w:spacing w:after="0" w:line="227"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 xml:space="preserve">In March 2021, contemporaneous with the China Out-License transaction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the Company and LianBio (a pharmaceutical company focused on the Greater China and other Asian markets; NASDAQ: LIAN), executed a warrant agreement for the Company to purchase, in three tranches, a stated number of common shares in LianBio. The first two tranches are vested as of September 30, 2022 and the third warrant tranche will vest upon the achievement of a certain regulatory event; each has an exercise price at common stock par value.</w:t>
      </w:r>
    </w:p>
    <w:p>
      <w:pPr>
        <w:spacing w:after="0" w:line="182"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 xml:space="preserve">In June 2021, one of these three warrant tranches was vested and then-converted to 78,373 shares of LianBio common stock, reported within "marketable securities" as of December 31, 2021, and within "long-term investments" as of September 30, 2022. LianBio common stock is classified within </w:t>
      </w: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of the fair value hierarchy, given its publicly reported price on the NASDAQ Global Market.</w:t>
      </w:r>
    </w:p>
    <w:p>
      <w:pPr>
        <w:spacing w:after="0" w:line="176" w:lineRule="exact"/>
        <w:rPr>
          <w:sz w:val="20"/>
          <w:szCs w:val="20"/>
          <w:color w:val="auto"/>
        </w:rPr>
      </w:pPr>
    </w:p>
    <w:p>
      <w:pPr>
        <w:ind w:right="260" w:firstLine="891"/>
        <w:spacing w:after="0" w:line="258" w:lineRule="auto"/>
        <w:rPr>
          <w:sz w:val="20"/>
          <w:szCs w:val="20"/>
          <w:color w:val="auto"/>
        </w:rPr>
      </w:pPr>
      <w:r>
        <w:rPr>
          <w:rFonts w:ascii="Times New Roman" w:cs="Times New Roman" w:eastAsia="Times New Roman" w:hAnsi="Times New Roman"/>
          <w:sz w:val="18"/>
          <w:szCs w:val="18"/>
          <w:color w:val="auto"/>
        </w:rPr>
        <w:t xml:space="preserve">In May 2022, the second warrant tranche vested, but has not yet been exercised. The second and third warrant tranche remain classified as </w:t>
      </w: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in the fair value hierarchy as of September 30, 2022 and December 31, 2021 and are presented within "other assets" in the accompanying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Condensed Balance Sheets (see </w:t>
      </w:r>
      <w:r>
        <w:rPr>
          <w:rFonts w:ascii="Times New Roman" w:cs="Times New Roman" w:eastAsia="Times New Roman" w:hAnsi="Times New Roman"/>
          <w:sz w:val="18"/>
          <w:szCs w:val="18"/>
          <w:i w:val="1"/>
          <w:iCs w:val="1"/>
          <w:color w:val="auto"/>
        </w:rPr>
        <w:t>Note 3(d)</w:t>
      </w:r>
      <w:r>
        <w:rPr>
          <w:rFonts w:ascii="Times New Roman" w:cs="Times New Roman" w:eastAsia="Times New Roman" w:hAnsi="Times New Roman"/>
          <w:sz w:val="18"/>
          <w:szCs w:val="18"/>
          <w:color w:val="auto"/>
        </w:rPr>
        <w:t>). The most significant assumptions used in the option pricing valuation model as of each balance sheet date to determine its fair value included: LianBio common stock volatility (based on the historical volatility of similar companies), the probability of regulatory milestone achievement for vesting, and the application of an assumed discount 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The estimated fair value of these equity warrants will be remeasured each reporting period with adjustments reported within "other income (expense), net" on the accompanying Condensed Statements of Operations and Comprehensive (Loss) Income, until exercised or expired, and is presented in these accompanying financial statements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equity warrants</w:t>
            </w:r>
          </w:p>
        </w:tc>
        <w:tc>
          <w:tcPr>
            <w:tcW w:w="0" w:type="dxa"/>
            <w:vAlign w:val="bottom"/>
          </w:tcPr>
          <w:p>
            <w:pPr>
              <w:spacing w:after="0"/>
              <w:rPr>
                <w:sz w:val="1"/>
                <w:szCs w:val="1"/>
                <w:color w:val="auto"/>
              </w:rPr>
            </w:pPr>
          </w:p>
        </w:tc>
      </w:tr>
      <w:tr>
        <w:trPr>
          <w:trHeight w:val="197"/>
        </w:trPr>
        <w:tc>
          <w:tcPr>
            <w:tcW w:w="96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xml:space="preserve">(see </w:t>
            </w:r>
            <w:r>
              <w:rPr>
                <w:rFonts w:ascii="Times New Roman" w:cs="Times New Roman" w:eastAsia="Times New Roman" w:hAnsi="Times New Roman"/>
                <w:sz w:val="14"/>
                <w:szCs w:val="14"/>
                <w:b w:val="1"/>
                <w:bCs w:val="1"/>
                <w:i w:val="1"/>
                <w:iCs w:val="1"/>
                <w:color w:val="auto"/>
              </w:rPr>
              <w:t>Note 3(d)</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4"/>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as of December 31, 2021</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1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Revaluation of equity warrant value in "other income (expense), net" within the Condensed Statement of Operations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as of March 31, 2022</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07"/>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Recognition of equity warrant value in "total revenues" within the Condensed Statement of Operations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Revaluation of equity warrant value in "other income (expense), net" within the Condensed Statement of Operations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07"/>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as of June 30, 2022</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165"/>
        </w:trPr>
        <w:tc>
          <w:tcPr>
            <w:tcW w:w="96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Revaluation of equity warrant value in "other income (expense), net" within the Condensed Statement of Operations for the three months ended</w:t>
            </w:r>
          </w:p>
        </w:tc>
        <w:tc>
          <w:tcPr>
            <w:tcW w:w="2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2022</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as of September 30, 2022</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3"/>
        </w:trPr>
        <w:tc>
          <w:tcPr>
            <w:tcW w:w="96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960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equity warrants</w:t>
            </w:r>
          </w:p>
        </w:tc>
        <w:tc>
          <w:tcPr>
            <w:tcW w:w="0" w:type="dxa"/>
            <w:vAlign w:val="bottom"/>
          </w:tcPr>
          <w:p>
            <w:pPr>
              <w:spacing w:after="0"/>
              <w:rPr>
                <w:sz w:val="1"/>
                <w:szCs w:val="1"/>
                <w:color w:val="auto"/>
              </w:rPr>
            </w:pPr>
          </w:p>
        </w:tc>
      </w:tr>
      <w:tr>
        <w:trPr>
          <w:trHeight w:val="197"/>
        </w:trPr>
        <w:tc>
          <w:tcPr>
            <w:tcW w:w="96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xml:space="preserve">(see </w:t>
            </w:r>
            <w:r>
              <w:rPr>
                <w:rFonts w:ascii="Times New Roman" w:cs="Times New Roman" w:eastAsia="Times New Roman" w:hAnsi="Times New Roman"/>
                <w:sz w:val="14"/>
                <w:szCs w:val="14"/>
                <w:b w:val="1"/>
                <w:bCs w:val="1"/>
                <w:i w:val="1"/>
                <w:iCs w:val="1"/>
                <w:color w:val="auto"/>
              </w:rPr>
              <w:t>Note 3(d)</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as of December 31, 2020</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Initial fair value estimate of equity warrant value in "total revenues"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0" w:type="dxa"/>
            <w:vAlign w:val="bottom"/>
          </w:tcPr>
          <w:p>
            <w:pPr>
              <w:spacing w:after="0"/>
              <w:rPr>
                <w:sz w:val="1"/>
                <w:szCs w:val="1"/>
                <w:color w:val="auto"/>
              </w:rPr>
            </w:pP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as of March 31, 2021</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0" w:type="dxa"/>
            <w:vAlign w:val="bottom"/>
          </w:tcPr>
          <w:p>
            <w:pPr>
              <w:spacing w:after="0"/>
              <w:rPr>
                <w:sz w:val="1"/>
                <w:szCs w:val="1"/>
                <w:color w:val="auto"/>
              </w:rPr>
            </w:pPr>
          </w:p>
        </w:tc>
      </w:tr>
      <w:tr>
        <w:trPr>
          <w:trHeight w:val="207"/>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Recognition of equity warrant value in "total revenues" within the Condensed Statement of Operations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Revaluation of equity warrant value in "other income (expense), net" within the Condensed Statement of Operations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07"/>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as of June 30, 2021</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r>
        <w:trPr>
          <w:trHeight w:val="145"/>
        </w:trPr>
        <w:tc>
          <w:tcPr>
            <w:tcW w:w="96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Recognition of equity warrant value in "total revenues" within the Condensed Statement of Operations for the three months ended September 30,</w:t>
            </w:r>
          </w:p>
        </w:tc>
        <w:tc>
          <w:tcPr>
            <w:tcW w:w="24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6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Revaluation of equity warrant value in "other income (expense), net" within the Condensed Statement of Operations for the three months ended</w:t>
            </w: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September 30, 2021</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as of September 30, 2021</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0" w:firstLine="89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value of the Company’s cash, cash equivalents, marketable securities, and equity securities, including the gross unrealized holding gains and losses: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
        </w:trPr>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45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0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159,552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159,552</w:t>
            </w:r>
          </w:p>
        </w:tc>
      </w:tr>
      <w:tr>
        <w:trPr>
          <w:trHeight w:val="219"/>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Treasury securities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w:t>
            </w:r>
          </w:p>
        </w:tc>
      </w:tr>
      <w:tr>
        <w:trPr>
          <w:trHeight w:val="213"/>
        </w:trPr>
        <w:tc>
          <w:tcPr>
            <w:tcW w:w="4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5,958</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5,958</w:t>
            </w:r>
          </w:p>
        </w:tc>
      </w:tr>
      <w:tr>
        <w:trPr>
          <w:trHeight w:val="234"/>
        </w:trPr>
        <w:tc>
          <w:tcPr>
            <w:tcW w:w="45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169,488</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169,489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U.S. Treasury securities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30,511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30,503</w:t>
            </w:r>
          </w:p>
        </w:tc>
      </w:tr>
      <w:tr>
        <w:trPr>
          <w:trHeight w:val="219"/>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21,419</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21,419</w:t>
            </w:r>
          </w:p>
        </w:tc>
      </w:tr>
      <w:tr>
        <w:trPr>
          <w:trHeight w:val="213"/>
        </w:trPr>
        <w:tc>
          <w:tcPr>
            <w:tcW w:w="4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5,161</w:t>
            </w:r>
          </w:p>
        </w:tc>
      </w:tr>
      <w:tr>
        <w:trPr>
          <w:trHeight w:val="235"/>
        </w:trPr>
        <w:tc>
          <w:tcPr>
            <w:tcW w:w="45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57,094</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57,083</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Common stock in LianBio</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35"/>
        </w:trPr>
        <w:tc>
          <w:tcPr>
            <w:tcW w:w="45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long-term investments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493"/>
        </w:trPr>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
        </w:trPr>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45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0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171,332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171,332</w:t>
            </w:r>
          </w:p>
        </w:tc>
      </w:tr>
      <w:tr>
        <w:trPr>
          <w:trHeight w:val="230"/>
        </w:trPr>
        <w:tc>
          <w:tcPr>
            <w:tcW w:w="45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171,332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171,332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Common stock in LianBio</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30"/>
        </w:trPr>
        <w:tc>
          <w:tcPr>
            <w:tcW w:w="45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780" w:firstLine="891"/>
        <w:spacing w:after="0" w:line="282" w:lineRule="auto"/>
        <w:rPr>
          <w:sz w:val="20"/>
          <w:szCs w:val="20"/>
          <w:color w:val="auto"/>
        </w:rPr>
      </w:pPr>
      <w:r>
        <w:rPr>
          <w:rFonts w:ascii="Times New Roman" w:cs="Times New Roman" w:eastAsia="Times New Roman" w:hAnsi="Times New Roman"/>
          <w:sz w:val="18"/>
          <w:szCs w:val="18"/>
          <w:color w:val="auto"/>
        </w:rPr>
        <w:t>As of September 30, 2022, all available-for-sale debt securities have a maturity of 12 months or less with gross unrealized losses in a continuous loss position for less than one year.</w:t>
      </w:r>
    </w:p>
    <w:p>
      <w:pPr>
        <w:spacing w:after="0" w:line="158"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&amp; CONTINGENCIES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Facility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16" w:lineRule="exact"/>
        <w:rPr>
          <w:sz w:val="20"/>
          <w:szCs w:val="20"/>
          <w:color w:val="auto"/>
        </w:rPr>
      </w:pPr>
    </w:p>
    <w:p>
      <w:pPr>
        <w:ind w:right="160" w:firstLine="891"/>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lease agreements with unaffiliated third parties for its facilities and office equipment. As of September 30, 2022 and December 31, 2021, the Company had four active leases in Irvine, California for adjacent office and laboratory suites that each expire on January 31, 2024.</w:t>
      </w:r>
    </w:p>
    <w:p>
      <w:pPr>
        <w:spacing w:after="0" w:line="190" w:lineRule="exact"/>
        <w:rPr>
          <w:sz w:val="20"/>
          <w:szCs w:val="20"/>
          <w:color w:val="auto"/>
        </w:rPr>
      </w:pPr>
    </w:p>
    <w:p>
      <w:pPr>
        <w:ind w:right="120" w:firstLine="891"/>
        <w:spacing w:after="0" w:line="281" w:lineRule="auto"/>
        <w:rPr>
          <w:sz w:val="20"/>
          <w:szCs w:val="20"/>
          <w:color w:val="auto"/>
        </w:rPr>
      </w:pPr>
      <w:r>
        <w:rPr>
          <w:rFonts w:ascii="Times New Roman" w:cs="Times New Roman" w:eastAsia="Times New Roman" w:hAnsi="Times New Roman"/>
          <w:sz w:val="17"/>
          <w:szCs w:val="17"/>
          <w:color w:val="auto"/>
        </w:rPr>
        <w:t>The Company's operating leases have fixed annual rent amounts, payable monthly (operating lease costs), and our facility leases require payments for real estate taxes, insurance costs, and common area maintenance (variable lease costs). The variable lease costs are expensed as incurred and excluded from the reported lease asset and liability amounts presented in the accompanying Condensed Balance Sheets, as summarized in the below table. During the year ended December 31, 2021, and the nine months ended September 30, 2022, the Company had no sublease arrangements with it as lessor.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Reporting Captions</w:t>
      </w:r>
    </w:p>
    <w:p>
      <w:pPr>
        <w:spacing w:after="0" w:line="25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below table summarizes the lease asset and liability accounts presented on the accompanying Condensed Balance Sheets: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82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Condensed Balance Sheet Caption</w:t>
            </w:r>
          </w:p>
        </w:tc>
        <w:tc>
          <w:tcPr>
            <w:tcW w:w="12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6"/>
                <w:szCs w:val="16"/>
                <w:color w:val="auto"/>
              </w:rPr>
            </w:pPr>
          </w:p>
        </w:tc>
        <w:tc>
          <w:tcPr>
            <w:tcW w:w="140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3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non-current</w:t>
            </w:r>
          </w:p>
        </w:tc>
        <w:tc>
          <w:tcPr>
            <w:tcW w:w="100" w:type="dxa"/>
            <w:vAlign w:val="bottom"/>
            <w:tcBorders>
              <w:bottom w:val="single" w:sz="8" w:color="CCEEFF"/>
            </w:tcBorders>
            <w:shd w:val="clear" w:color="auto" w:fill="CCEEFF"/>
          </w:tcPr>
          <w:p>
            <w:pPr>
              <w:spacing w:after="0"/>
              <w:rPr>
                <w:sz w:val="19"/>
                <w:szCs w:val="19"/>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r>
      <w:tr>
        <w:trPr>
          <w:trHeight w:val="213"/>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237"/>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Lease Expense</w:t>
      </w:r>
    </w:p>
    <w:p>
      <w:pPr>
        <w:spacing w:after="0" w:line="243" w:lineRule="exact"/>
        <w:rPr>
          <w:sz w:val="20"/>
          <w:szCs w:val="20"/>
          <w:color w:val="auto"/>
        </w:rPr>
      </w:pPr>
    </w:p>
    <w:p>
      <w:pPr>
        <w:ind w:right="60" w:firstLine="891"/>
        <w:spacing w:after="0"/>
        <w:rPr>
          <w:sz w:val="20"/>
          <w:szCs w:val="20"/>
          <w:color w:val="auto"/>
        </w:rPr>
      </w:pPr>
      <w:r>
        <w:rPr>
          <w:rFonts w:ascii="Times New Roman" w:cs="Times New Roman" w:eastAsia="Times New Roman" w:hAnsi="Times New Roman"/>
          <w:sz w:val="18"/>
          <w:szCs w:val="18"/>
          <w:color w:val="auto"/>
        </w:rPr>
        <w:t>The liability associated with each lease is amortized over the respective lease term using the “effective interest rate method.” The Company’s "operating lease right-of-use assets" are amortized over each lease term on a straight-line basis and is allocated to "research and development" and "general and administrative" expenses in the accompanying Condensed Statements of Operations and Comprehensive (Loss) Income. The below table summarizes the components of total lease expense: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Pr>
          <w:p>
            <w:pPr>
              <w:spacing w:after="0"/>
              <w:rPr>
                <w:sz w:val="16"/>
                <w:szCs w:val="16"/>
                <w:color w:val="auto"/>
              </w:rPr>
            </w:pPr>
          </w:p>
        </w:tc>
      </w:tr>
      <w:tr>
        <w:trPr>
          <w:trHeight w:val="23"/>
        </w:trPr>
        <w:tc>
          <w:tcPr>
            <w:tcW w:w="5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98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lease cost (lease with 12 month term or less)</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7"/>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expense</w:t>
            </w:r>
          </w:p>
        </w:tc>
        <w:tc>
          <w:tcPr>
            <w:tcW w:w="980" w:type="dxa"/>
            <w:vAlign w:val="bottom"/>
            <w:tcBorders>
              <w:top w:val="single" w:sz="8" w:color="auto"/>
              <w:bottom w:val="single" w:sz="8" w:color="auto"/>
            </w:tcBorders>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172</w:t>
            </w:r>
          </w:p>
        </w:tc>
        <w:tc>
          <w:tcPr>
            <w:tcW w:w="1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3"/>
        </w:trPr>
        <w:tc>
          <w:tcPr>
            <w:tcW w:w="5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Weighted-Average Remaining Lease Term and Applied Discount Rate</w:t>
      </w:r>
    </w:p>
    <w:p>
      <w:pPr>
        <w:spacing w:after="0" w:line="229" w:lineRule="exact"/>
        <w:rPr>
          <w:sz w:val="20"/>
          <w:szCs w:val="20"/>
          <w:color w:val="auto"/>
        </w:rPr>
      </w:pPr>
    </w:p>
    <w:p>
      <w:pPr>
        <w:ind w:right="240" w:firstLine="891"/>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Company's facility leases had a weighted average remaining lease term of 1 year, 4 months. The weighted-average estimated incremental borrowing rate of 10% was utilized to present value future minimum lease payments since an implicit interest rate in each at-market lease agreement was not determinable.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Contractual Lease Payments</w:t>
      </w:r>
    </w:p>
    <w:p>
      <w:pPr>
        <w:spacing w:after="0" w:line="229" w:lineRule="exact"/>
        <w:rPr>
          <w:sz w:val="20"/>
          <w:szCs w:val="20"/>
          <w:color w:val="auto"/>
        </w:rPr>
      </w:pPr>
    </w:p>
    <w:p>
      <w:pPr>
        <w:ind w:right="240" w:firstLine="891"/>
        <w:spacing w:after="0" w:line="282" w:lineRule="auto"/>
        <w:rPr>
          <w:sz w:val="20"/>
          <w:szCs w:val="20"/>
          <w:color w:val="auto"/>
        </w:rPr>
      </w:pPr>
      <w:r>
        <w:rPr>
          <w:rFonts w:ascii="Times New Roman" w:cs="Times New Roman" w:eastAsia="Times New Roman" w:hAnsi="Times New Roman"/>
          <w:sz w:val="18"/>
          <w:szCs w:val="18"/>
          <w:color w:val="auto"/>
        </w:rPr>
        <w:t>The below table summarizes the (i) minimum lease payments over the next five years and thereafter, (ii) lease arrangement imputed interest, and (iii) present value of future lease payments: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 - Future Payments</w:t>
            </w:r>
          </w:p>
        </w:tc>
        <w:tc>
          <w:tcPr>
            <w:tcW w:w="220" w:type="dxa"/>
            <w:vAlign w:val="bottom"/>
          </w:tcPr>
          <w:p>
            <w:pPr>
              <w:spacing w:after="0"/>
              <w:rPr>
                <w:sz w:val="16"/>
                <w:szCs w:val="16"/>
                <w:color w:val="auto"/>
              </w:rPr>
            </w:pPr>
          </w:p>
        </w:tc>
        <w:tc>
          <w:tcPr>
            <w:tcW w:w="16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9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(remaining three months, net of landlord credits)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1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3"/>
        </w:trPr>
        <w:tc>
          <w:tcPr>
            <w:tcW w:w="9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future lease payments, undiscounted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r>
      <w:tr>
        <w:trPr>
          <w:trHeight w:val="219"/>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7"/>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payments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w:t>
            </w:r>
          </w:p>
        </w:tc>
      </w:tr>
      <w:tr>
        <w:trPr>
          <w:trHeight w:val="23"/>
        </w:trPr>
        <w:tc>
          <w:tcPr>
            <w:tcW w:w="9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In-License Agreements for Lotilaner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2019 Agreement for Skin and Eye Disease or Conditions in Humans</w:t>
      </w:r>
    </w:p>
    <w:p>
      <w:pPr>
        <w:spacing w:after="0" w:line="229" w:lineRule="exact"/>
        <w:rPr>
          <w:sz w:val="20"/>
          <w:szCs w:val="20"/>
          <w:color w:val="auto"/>
        </w:rPr>
      </w:pPr>
    </w:p>
    <w:p>
      <w:pPr>
        <w:ind w:right="100" w:firstLine="891"/>
        <w:spacing w:after="0" w:line="252" w:lineRule="auto"/>
        <w:rPr>
          <w:sz w:val="20"/>
          <w:szCs w:val="20"/>
          <w:color w:val="auto"/>
        </w:rPr>
      </w:pPr>
      <w:r>
        <w:rPr>
          <w:rFonts w:ascii="Times New Roman" w:cs="Times New Roman" w:eastAsia="Times New Roman" w:hAnsi="Times New Roman"/>
          <w:sz w:val="18"/>
          <w:szCs w:val="18"/>
          <w:color w:val="auto"/>
        </w:rPr>
        <w:t>In January 2019, the Company entered into a license agreement with Elanco Tiergesundheit AG (“Elanco”) for exclusive worldwide rights to certain intellectual property for the development and commercialization of lotilaner in the treatment or cure of any eye or skin disease or condition in humans, as amended in June 2022 (the "Eye and Derm Elanco Agreement"). The Company has sole financial responsibility for related development, regulatory, and commercialization activities.</w:t>
      </w:r>
    </w:p>
    <w:p>
      <w:pPr>
        <w:spacing w:after="0" w:line="1" w:lineRule="exact"/>
        <w:rPr>
          <w:sz w:val="20"/>
          <w:szCs w:val="20"/>
          <w:color w:val="auto"/>
        </w:rPr>
      </w:pPr>
    </w:p>
    <w:p>
      <w:pPr>
        <w:ind w:right="60" w:firstLine="891"/>
        <w:spacing w:after="0" w:line="234" w:lineRule="auto"/>
        <w:rPr>
          <w:sz w:val="20"/>
          <w:szCs w:val="20"/>
          <w:color w:val="auto"/>
        </w:rPr>
      </w:pPr>
      <w:r>
        <w:rPr>
          <w:rFonts w:ascii="Times New Roman" w:cs="Times New Roman" w:eastAsia="Times New Roman" w:hAnsi="Times New Roman"/>
          <w:sz w:val="18"/>
          <w:szCs w:val="18"/>
          <w:color w:val="auto"/>
        </w:rPr>
        <w:t xml:space="preserve">The Company made a $1.0 million upfront payment at execution of the Eye and Derm Elanco Agreement in January 2019, and also made a required $1.0 million clinical milestone payment in September 2020, associated with the first two U.S. pivotal trials for the treatment of Demodex blepharitis. The Company paid an additional $2.0 million for its second pivotal trial milestone in April 2021, which was recorded in “research and development” expense in the accompanying Condensed Statements of Operations and Comprehensive (Loss) Income for the three months ended June 30, 2021. As part of the China Out-License discussed in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the Company made a contractual payment in the amount of $2.5 million to Elanco following the receipt of $25 million of initial proceeds from LianBio during the second quarter of 2021. In June 2022, the Company made a contractual prepayment of $1.5 million that can be applied towards any milestones that become due under the Eye and Derm Elanco Agreement and/or the Company’s in-license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This prepayment is included within "prepaid expenses" on the accompanying Condensed Balance Sheet as of September 30, 2022.</w:t>
      </w:r>
    </w:p>
    <w:p>
      <w:pPr>
        <w:spacing w:after="0" w:line="204"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The Company may make further cash payments to Elanco under the Eye and Derm Elanco Agreement upon achievement of certain clinical milestones in the treatment of human skin diseases using lotilaner for an aggregate maximum of $3.0 million and various commercial and sales threshold milestones for an aggregate maximum of $79.0 million. In addition, the Company will be obligated to pay tiered contractual royalties to Elanco in the mid to high single digits of its net sales. If the Company receives certain types of payments from its sublicensees, it will be obligated to pay Elanco a variable percentage in the low to mid double-digits of such proceeds, except for territories in which it achieved applicable regulatory approval prior to sublicense execution.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September 2020 Agreement for All Other Diseases or Conditions in Humans</w:t>
      </w:r>
    </w:p>
    <w:p>
      <w:pPr>
        <w:spacing w:after="0" w:line="256" w:lineRule="exact"/>
        <w:rPr>
          <w:sz w:val="20"/>
          <w:szCs w:val="20"/>
          <w:color w:val="auto"/>
        </w:rPr>
      </w:pPr>
    </w:p>
    <w:p>
      <w:pPr>
        <w:ind w:right="340" w:firstLine="891"/>
        <w:spacing w:after="0" w:line="258" w:lineRule="auto"/>
        <w:rPr>
          <w:sz w:val="20"/>
          <w:szCs w:val="20"/>
          <w:color w:val="auto"/>
        </w:rPr>
      </w:pPr>
      <w:r>
        <w:rPr>
          <w:rFonts w:ascii="Times New Roman" w:cs="Times New Roman" w:eastAsia="Times New Roman" w:hAnsi="Times New Roman"/>
          <w:sz w:val="18"/>
          <w:szCs w:val="18"/>
          <w:color w:val="auto"/>
        </w:rPr>
        <w:t>In September 2020, the Company executed the All Human Uses Elanco Agreement with Elanco. In September 2020, the Company issued Elanco 222,460 shares of its common stock at the execution of the All Human Uses Elanco Agreement with an estimated fair value of $3.1 million ($14.0003 per share, approximating the issuance price of the Company's Series C preferred stock in September 2020).</w:t>
      </w:r>
    </w:p>
    <w:p>
      <w:pPr>
        <w:spacing w:after="0" w:line="196" w:lineRule="exact"/>
        <w:rPr>
          <w:sz w:val="20"/>
          <w:szCs w:val="20"/>
          <w:color w:val="auto"/>
        </w:rPr>
      </w:pPr>
    </w:p>
    <w:p>
      <w:pPr>
        <w:ind w:right="60" w:firstLine="891"/>
        <w:spacing w:after="0" w:line="246" w:lineRule="auto"/>
        <w:rPr>
          <w:sz w:val="20"/>
          <w:szCs w:val="20"/>
          <w:color w:val="auto"/>
        </w:rPr>
      </w:pPr>
      <w:r>
        <w:rPr>
          <w:rFonts w:ascii="Times New Roman" w:cs="Times New Roman" w:eastAsia="Times New Roman" w:hAnsi="Times New Roman"/>
          <w:sz w:val="18"/>
          <w:szCs w:val="18"/>
          <w:color w:val="auto"/>
        </w:rPr>
        <w:t>The Company is required to make cash payments to Elanco under the All Human Uses Elanco Agreement upon the achievement of various clinical milestones for an aggregate maximum of $4.5 million and various commercial and sales threshold milestones for an aggregate maximum of $77.0 million. In addition, the Company will be obligated to pay contractual royalties to Elanco in the single digits of its net product sales. If the Company receives certain types of payments from its sublicensees, it will also be obligated to pay Elanco a variable percentage in the low to mid double-digits of such proceeds, except for territories in which it achieved applicable regulatory approval prior to sublicense execution.</w:t>
      </w:r>
    </w:p>
    <w:p>
      <w:pPr>
        <w:spacing w:after="0" w:line="220" w:lineRule="exact"/>
        <w:rPr>
          <w:sz w:val="20"/>
          <w:szCs w:val="20"/>
          <w:color w:val="auto"/>
        </w:rPr>
      </w:pPr>
    </w:p>
    <w:p>
      <w:pPr>
        <w:ind w:firstLine="891"/>
        <w:spacing w:after="0" w:line="247" w:lineRule="auto"/>
        <w:rPr>
          <w:sz w:val="20"/>
          <w:szCs w:val="20"/>
          <w:color w:val="auto"/>
        </w:rPr>
      </w:pPr>
      <w:r>
        <w:rPr>
          <w:rFonts w:ascii="Times New Roman" w:cs="Times New Roman" w:eastAsia="Times New Roman" w:hAnsi="Times New Roman"/>
          <w:sz w:val="18"/>
          <w:szCs w:val="18"/>
          <w:color w:val="auto"/>
        </w:rPr>
        <w:t xml:space="preserve">In March 2021, the Company entered into the China Out-License with LianBio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that required it to grant Elanco an additional fixed 187,500 shares of its common stock that otherwise would have been issuable no later than the 18-month anniversary of the All Human Uses Elanco Agreement for its continued license exclusivity. These issued shares were valued at $5.5 million, based on the Company's stock closing price of $29.30 per share on the date this issuance became contractually required and is reported within "research and development" expense within the accompanying Condensed Statements of Operations and Comprehensive (Loss) Income for the nine months ended September 30, 2021.</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Employment Agreements</w:t>
      </w:r>
    </w:p>
    <w:p>
      <w:pPr>
        <w:spacing w:after="0" w:line="229" w:lineRule="exact"/>
        <w:rPr>
          <w:sz w:val="20"/>
          <w:szCs w:val="20"/>
          <w:color w:val="auto"/>
        </w:rPr>
      </w:pPr>
    </w:p>
    <w:p>
      <w:pPr>
        <w:jc w:val="both"/>
        <w:ind w:right="360" w:firstLine="891"/>
        <w:spacing w:after="0" w:line="266" w:lineRule="auto"/>
        <w:rPr>
          <w:sz w:val="20"/>
          <w:szCs w:val="20"/>
          <w:color w:val="auto"/>
        </w:rPr>
      </w:pPr>
      <w:r>
        <w:rPr>
          <w:rFonts w:ascii="Times New Roman" w:cs="Times New Roman" w:eastAsia="Times New Roman" w:hAnsi="Times New Roman"/>
          <w:sz w:val="18"/>
          <w:szCs w:val="18"/>
          <w:color w:val="auto"/>
        </w:rPr>
        <w:t>The Company has entered into employment agreements with eight of its executive officers. These agreements provide for the payment of certain benefits upon separation of employment under specified circumstances, such as termination without cause, or termination in connection with a change in control event.</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Litigation Contingencies</w:t>
      </w:r>
    </w:p>
    <w:p>
      <w:pPr>
        <w:spacing w:after="0" w:line="229"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Indemnities and Guarantees</w:t>
      </w:r>
    </w:p>
    <w:p>
      <w:pPr>
        <w:spacing w:after="0" w:line="229"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The Company has certain indemnity commitments, under which it may be required to make payments to its officers and directors in relation to certain transactions to the maximum extent permitted under applicable laws. The duration of these indemnities vary, and in certain cases, are indefinite and do not provide for any limitation of maximum payments. The Company has not been obligated to make any such payments to date and no liabilities have been recorded for this contingency in the accompanying Condensed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OUT-LICENSE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Out-License of TP-03 Commercial Rights in the China Territory in March 2021</w:t>
      </w:r>
    </w:p>
    <w:p>
      <w:pPr>
        <w:spacing w:after="0" w:line="256" w:lineRule="exact"/>
        <w:rPr>
          <w:sz w:val="20"/>
          <w:szCs w:val="20"/>
          <w:color w:val="auto"/>
        </w:rPr>
      </w:pPr>
    </w:p>
    <w:p>
      <w:pPr>
        <w:ind w:right="220" w:firstLine="1018"/>
        <w:spacing w:after="0" w:line="258" w:lineRule="auto"/>
        <w:rPr>
          <w:sz w:val="20"/>
          <w:szCs w:val="20"/>
          <w:color w:val="auto"/>
        </w:rPr>
      </w:pPr>
      <w:r>
        <w:rPr>
          <w:rFonts w:ascii="Times New Roman" w:cs="Times New Roman" w:eastAsia="Times New Roman" w:hAnsi="Times New Roman"/>
          <w:sz w:val="18"/>
          <w:szCs w:val="18"/>
          <w:color w:val="auto"/>
        </w:rPr>
        <w:t>On March 26, 2021, the Company entered into The China Out-License with LianBio for its exclusive development and commercialization rights of TP-03 (lotilaner ophthalmic solution, 0.25%) in the China Territory for the treatment of Demodex blepharitis and Meibomian Gland Disease. LianBio is contractually responsible for all clinical development and commercialization activities and costs within the China Territory.</w:t>
      </w:r>
    </w:p>
    <w:p>
      <w:pPr>
        <w:spacing w:after="0" w:line="196" w:lineRule="exact"/>
        <w:rPr>
          <w:sz w:val="20"/>
          <w:szCs w:val="20"/>
          <w:color w:val="auto"/>
        </w:rPr>
      </w:pPr>
    </w:p>
    <w:p>
      <w:pPr>
        <w:ind w:right="320" w:firstLine="972"/>
        <w:spacing w:after="0" w:line="266" w:lineRule="auto"/>
        <w:rPr>
          <w:sz w:val="20"/>
          <w:szCs w:val="20"/>
          <w:color w:val="auto"/>
        </w:rPr>
      </w:pPr>
      <w:r>
        <w:rPr>
          <w:rFonts w:ascii="Times New Roman" w:cs="Times New Roman" w:eastAsia="Times New Roman" w:hAnsi="Times New Roman"/>
          <w:sz w:val="18"/>
          <w:szCs w:val="18"/>
          <w:color w:val="auto"/>
        </w:rPr>
        <w:t>Through September 30, 2022, the Company received payments from LianBio totaling $70.0 million, comprised of initial consideration of $25.0 million and $45.0 million for the achievement of three clinical development milestones.</w:t>
      </w:r>
    </w:p>
    <w:p>
      <w:pPr>
        <w:spacing w:after="0" w:line="203"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7"/>
          <w:szCs w:val="17"/>
          <w:color w:val="auto"/>
        </w:rPr>
        <w:t xml:space="preserve">The Company is eligible to receive further consideration from LianBio upon the achievement of additional events, including: (i) TP-03 clinical development and regulatory milestones (China-based) of up to $30.0 million ($10 million of which was achieved in November 2022 - see </w:t>
      </w:r>
      <w:r>
        <w:rPr>
          <w:rFonts w:ascii="Times New Roman" w:cs="Times New Roman" w:eastAsia="Times New Roman" w:hAnsi="Times New Roman"/>
          <w:sz w:val="17"/>
          <w:szCs w:val="17"/>
          <w:i w:val="1"/>
          <w:iCs w:val="1"/>
          <w:color w:val="auto"/>
        </w:rPr>
        <w:t>Note 11</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right="340" w:firstLine="8"/>
        <w:spacing w:after="0" w:line="246"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TP-03 drug supply agreement milestone of $5.0 million, (iii) TP-03 sales-based milestones for the China Territory of up to $100 million, (iv) tiered mid-to-high-teen royalties for China Territory TP-03 product sales, and (v) vesting of a LianBio equity warrant upon China regulatory milestone achievement.</w:t>
      </w:r>
    </w:p>
    <w:p>
      <w:pPr>
        <w:spacing w:after="0" w:line="181" w:lineRule="exact"/>
        <w:rPr>
          <w:sz w:val="20"/>
          <w:szCs w:val="20"/>
          <w:color w:val="auto"/>
        </w:rPr>
      </w:pPr>
    </w:p>
    <w:p>
      <w:pPr>
        <w:ind w:right="340" w:firstLine="891"/>
        <w:spacing w:after="0" w:line="250" w:lineRule="auto"/>
        <w:rPr>
          <w:sz w:val="20"/>
          <w:szCs w:val="20"/>
          <w:color w:val="auto"/>
        </w:rPr>
      </w:pPr>
      <w:r>
        <w:rPr>
          <w:rFonts w:ascii="Times New Roman" w:cs="Times New Roman" w:eastAsia="Times New Roman" w:hAnsi="Times New Roman"/>
          <w:sz w:val="18"/>
          <w:szCs w:val="18"/>
          <w:color w:val="auto"/>
        </w:rPr>
        <w:t xml:space="preserve">For the nine months ended September 30, 2022 and the three and nine months ended 2021, the Company reported "license fees" and "collaboration revenue" in the accompanying Condensed Statements of Operations and Comprehensive (Loss) Income, in accordance with the revenue recognition accounting policy described in </w:t>
      </w:r>
      <w:r>
        <w:rPr>
          <w:rFonts w:ascii="Times New Roman" w:cs="Times New Roman" w:eastAsia="Times New Roman" w:hAnsi="Times New Roman"/>
          <w:sz w:val="18"/>
          <w:szCs w:val="18"/>
          <w:i w:val="1"/>
          <w:iCs w:val="1"/>
          <w:color w:val="auto"/>
        </w:rPr>
        <w:t>Note 2(vii).</w:t>
      </w:r>
      <w:r>
        <w:rPr>
          <w:rFonts w:ascii="Times New Roman" w:cs="Times New Roman" w:eastAsia="Times New Roman" w:hAnsi="Times New Roman"/>
          <w:sz w:val="18"/>
          <w:szCs w:val="18"/>
          <w:color w:val="auto"/>
        </w:rPr>
        <w:t xml:space="preserve"> Reported revenue in each presented period relates to the satisfaction performance obligations relating to (i) the transfer of TP-03 license rights in the China Territory to LianBio and (ii) the completion of U.S. clinical activities and then providing LianBio with the related data to supplement its local pivotal trial package for TP-03 in the treatment of Demodex blepharitis.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CREDIT FACILITY AGREEMENT</w:t>
      </w:r>
    </w:p>
    <w:p>
      <w:pPr>
        <w:spacing w:after="0" w:line="256" w:lineRule="exact"/>
        <w:rPr>
          <w:sz w:val="20"/>
          <w:szCs w:val="20"/>
          <w:color w:val="auto"/>
        </w:rPr>
      </w:pPr>
    </w:p>
    <w:p>
      <w:pPr>
        <w:ind w:right="40" w:firstLine="972"/>
        <w:spacing w:after="0" w:line="258" w:lineRule="auto"/>
        <w:rPr>
          <w:sz w:val="20"/>
          <w:szCs w:val="20"/>
          <w:color w:val="auto"/>
        </w:rPr>
      </w:pPr>
      <w:r>
        <w:rPr>
          <w:rFonts w:ascii="Times New Roman" w:cs="Times New Roman" w:eastAsia="Times New Roman" w:hAnsi="Times New Roman"/>
          <w:sz w:val="18"/>
          <w:szCs w:val="18"/>
          <w:color w:val="auto"/>
        </w:rPr>
        <w:t>On February 2, 2022, the Company executed the Credit Facility with Hercules and SVB that expires on February 2, 2027. The Credit Facility provides an aggregate principal amount of up to $175.0 million with tranched availability as follows: $40.0 million at its execution (to-date, $20.0 million drawn February 2022), $25.0 million upon submission of the NDA with the FDA for TP-03 (available with NDA submission announced in September 2022), $35.0 million upon FDA approval of TP-03, $50.0 million upon achievement of product net revenue thresholds, and $25.0 million upon lender approval.</w:t>
      </w:r>
    </w:p>
    <w:p>
      <w:pPr>
        <w:spacing w:after="0" w:line="210" w:lineRule="exact"/>
        <w:rPr>
          <w:sz w:val="20"/>
          <w:szCs w:val="20"/>
          <w:color w:val="auto"/>
        </w:rPr>
      </w:pPr>
    </w:p>
    <w:p>
      <w:pPr>
        <w:jc w:val="both"/>
        <w:ind w:right="220" w:firstLine="972"/>
        <w:spacing w:after="0" w:line="266" w:lineRule="auto"/>
        <w:rPr>
          <w:sz w:val="20"/>
          <w:szCs w:val="20"/>
          <w:color w:val="auto"/>
        </w:rPr>
      </w:pPr>
      <w:r>
        <w:rPr>
          <w:rFonts w:ascii="Times New Roman" w:cs="Times New Roman" w:eastAsia="Times New Roman" w:hAnsi="Times New Roman"/>
          <w:sz w:val="18"/>
          <w:szCs w:val="18"/>
          <w:color w:val="auto"/>
        </w:rPr>
        <w:t>Each of these tranches may be drawn down in $5.0 million increments at the Company's election. The Credit Facility requires interest-only payments through February 1, 2026, followed by 12 months of principal amortization, unless extended for one year to its maturity, upon meeting certain contractual conditions. All unpaid amounts under the Credit Facility become due on its February 2, 2027 expiry.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ind w:right="160" w:firstLine="972"/>
        <w:spacing w:after="0" w:line="259" w:lineRule="auto"/>
        <w:rPr>
          <w:sz w:val="20"/>
          <w:szCs w:val="20"/>
          <w:color w:val="auto"/>
        </w:rPr>
      </w:pPr>
      <w:r>
        <w:rPr>
          <w:rFonts w:ascii="Times New Roman" w:cs="Times New Roman" w:eastAsia="Times New Roman" w:hAnsi="Times New Roman"/>
          <w:sz w:val="18"/>
          <w:szCs w:val="18"/>
          <w:color w:val="auto"/>
        </w:rPr>
        <w:t xml:space="preserve">Principal draws accrue interest on the outstanding principal balance at a floating interest rate per annum equal to the </w:t>
      </w:r>
      <w:r>
        <w:rPr>
          <w:rFonts w:ascii="Times New Roman" w:cs="Times New Roman" w:eastAsia="Times New Roman" w:hAnsi="Times New Roman"/>
          <w:sz w:val="18"/>
          <w:szCs w:val="18"/>
          <w:i w:val="1"/>
          <w:iCs w:val="1"/>
          <w:color w:val="auto"/>
        </w:rPr>
        <w:t>greater of</w:t>
      </w:r>
      <w:r>
        <w:rPr>
          <w:rFonts w:ascii="Times New Roman" w:cs="Times New Roman" w:eastAsia="Times New Roman" w:hAnsi="Times New Roman"/>
          <w:sz w:val="18"/>
          <w:szCs w:val="18"/>
          <w:color w:val="auto"/>
        </w:rPr>
        <w:t xml:space="preserve"> either (i) The Wall Street Journal ("WSJ") prime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5.20% or (ii) 8.45%. At the execution date of the Credit Facility, the WSJ prime rate was 3.25% and further increased during 2022, reaching 6.25% as of September 30, 2022.</w:t>
      </w:r>
    </w:p>
    <w:p>
      <w:pPr>
        <w:spacing w:after="0" w:line="180" w:lineRule="exact"/>
        <w:rPr>
          <w:sz w:val="20"/>
          <w:szCs w:val="20"/>
          <w:color w:val="auto"/>
        </w:rPr>
      </w:pPr>
    </w:p>
    <w:p>
      <w:pPr>
        <w:ind w:right="20" w:firstLine="972"/>
        <w:spacing w:after="0" w:line="243" w:lineRule="auto"/>
        <w:rPr>
          <w:sz w:val="20"/>
          <w:szCs w:val="20"/>
          <w:color w:val="auto"/>
        </w:rPr>
      </w:pPr>
      <w:r>
        <w:rPr>
          <w:rFonts w:ascii="Times New Roman" w:cs="Times New Roman" w:eastAsia="Times New Roman" w:hAnsi="Times New Roman"/>
          <w:sz w:val="18"/>
          <w:szCs w:val="18"/>
          <w:color w:val="auto"/>
        </w:rPr>
        <w:t xml:space="preserve">The Company is required to pay a specified fee upon the </w:t>
      </w:r>
      <w:r>
        <w:rPr>
          <w:rFonts w:ascii="Times New Roman" w:cs="Times New Roman" w:eastAsia="Times New Roman" w:hAnsi="Times New Roman"/>
          <w:sz w:val="18"/>
          <w:szCs w:val="18"/>
          <w:i w:val="1"/>
          <w:iCs w:val="1"/>
          <w:color w:val="auto"/>
        </w:rPr>
        <w:t>earlier of</w:t>
      </w:r>
      <w:r>
        <w:rPr>
          <w:rFonts w:ascii="Times New Roman" w:cs="Times New Roman" w:eastAsia="Times New Roman" w:hAnsi="Times New Roman"/>
          <w:sz w:val="18"/>
          <w:szCs w:val="18"/>
          <w:color w:val="auto"/>
        </w:rPr>
        <w:t xml:space="preserve"> (i) February 2, 2027 or (ii) the date the Company prepays, in full or in part, the outstanding principal balance of the Credit Facility ("End of Term Charge"). The current End of Term Charge of $1.0 million was derived at the execution of the Credit Facility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4.75%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the $20.0 million drawn at closing and is accreted to "interest expense" through maturity.</w:t>
      </w:r>
    </w:p>
    <w:p>
      <w:pPr>
        <w:spacing w:after="0" w:line="197" w:lineRule="exact"/>
        <w:rPr>
          <w:sz w:val="20"/>
          <w:szCs w:val="20"/>
          <w:color w:val="auto"/>
        </w:rPr>
      </w:pPr>
    </w:p>
    <w:p>
      <w:pPr>
        <w:ind w:right="160" w:firstLine="972"/>
        <w:spacing w:after="0" w:line="236" w:lineRule="auto"/>
        <w:rPr>
          <w:sz w:val="20"/>
          <w:szCs w:val="20"/>
          <w:color w:val="auto"/>
        </w:rPr>
      </w:pPr>
      <w:r>
        <w:rPr>
          <w:rFonts w:ascii="Times New Roman" w:cs="Times New Roman" w:eastAsia="Times New Roman" w:hAnsi="Times New Roman"/>
          <w:sz w:val="18"/>
          <w:szCs w:val="18"/>
          <w:color w:val="auto"/>
        </w:rPr>
        <w:t xml:space="preserve">As of September 30, 2022, the carrying value of the Credit Facility (reported as "term loan, net" on the accompanying Condensed Balance Sheets) consisted of $20.0 million principal outstanding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legal and administrative issuance costs of approximately $0.9 million that were recorded as a "contra-liability" to "term loan, net" and will continue to be accreted to "interest expense" using the </w:t>
      </w:r>
      <w:r>
        <w:rPr>
          <w:rFonts w:ascii="Times New Roman" w:cs="Times New Roman" w:eastAsia="Times New Roman" w:hAnsi="Times New Roman"/>
          <w:sz w:val="18"/>
          <w:szCs w:val="18"/>
          <w:i w:val="1"/>
          <w:iCs w:val="1"/>
          <w:color w:val="auto"/>
        </w:rPr>
        <w:t>effective interest method</w:t>
      </w:r>
      <w:r>
        <w:rPr>
          <w:rFonts w:ascii="Times New Roman" w:cs="Times New Roman" w:eastAsia="Times New Roman" w:hAnsi="Times New Roman"/>
          <w:sz w:val="18"/>
          <w:szCs w:val="18"/>
          <w:color w:val="auto"/>
        </w:rPr>
        <w:t xml:space="preserve"> during its term. As of December 31, 2021 the Company had no outstanding debt.</w:t>
      </w:r>
    </w:p>
    <w:p>
      <w:pPr>
        <w:spacing w:after="0" w:line="198" w:lineRule="exact"/>
        <w:rPr>
          <w:sz w:val="20"/>
          <w:szCs w:val="20"/>
          <w:color w:val="auto"/>
        </w:rPr>
      </w:pPr>
    </w:p>
    <w:p>
      <w:pPr>
        <w:ind w:right="260" w:firstLine="972"/>
        <w:spacing w:after="0" w:line="236" w:lineRule="auto"/>
        <w:rPr>
          <w:sz w:val="20"/>
          <w:szCs w:val="20"/>
          <w:color w:val="auto"/>
        </w:rPr>
      </w:pPr>
      <w:r>
        <w:rPr>
          <w:rFonts w:ascii="Times New Roman" w:cs="Times New Roman" w:eastAsia="Times New Roman" w:hAnsi="Times New Roman"/>
          <w:sz w:val="18"/>
          <w:szCs w:val="18"/>
          <w:color w:val="auto"/>
        </w:rPr>
        <w:t>The effective interest rate (i.e., coupon rate and other applicable fees) for the full term of the Credit Facility was 12.37%, as calculated September 30, 2022 with the latest coupon interest rate. During the three and nine months ended September 30, 2022, the Company recognized "interest expense" on its Condensed Statement of Operations and Comprehensive (Loss) Income in connection with the Credit Facility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7"/>
                <w:szCs w:val="17"/>
                <w:color w:val="auto"/>
              </w:rPr>
            </w:pPr>
          </w:p>
        </w:tc>
        <w:tc>
          <w:tcPr>
            <w:tcW w:w="16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for term loan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Accretion of end of term charge</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7"/>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interest expense related to term loan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r>
      <w:tr>
        <w:trPr>
          <w:trHeight w:val="23"/>
        </w:trPr>
        <w:tc>
          <w:tcPr>
            <w:tcW w:w="7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right="120" w:firstLine="972"/>
        <w:spacing w:after="0" w:line="266" w:lineRule="auto"/>
        <w:rPr>
          <w:sz w:val="20"/>
          <w:szCs w:val="20"/>
          <w:color w:val="auto"/>
        </w:rPr>
      </w:pPr>
      <w:r>
        <w:rPr>
          <w:rFonts w:ascii="Times New Roman" w:cs="Times New Roman" w:eastAsia="Times New Roman" w:hAnsi="Times New Roman"/>
          <w:sz w:val="18"/>
          <w:szCs w:val="18"/>
          <w:color w:val="auto"/>
        </w:rPr>
        <w:t>The principal balance of this Credit Facility and related accretion and amortization as of September 30, 2022 is reported on a combined basis as "term loan, net" on the accompanying Condensed Balance Sheet as follows:</w:t>
      </w:r>
    </w:p>
    <w:p>
      <w:pPr>
        <w:spacing w:after="0" w:line="223"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ectPr>
          <w:pgSz w:w="11900" w:h="16838" w:orient="portrait"/>
          <w:cols w:equalWidth="0" w:num="1">
            <w:col w:w="11240"/>
          </w:cols>
          <w:pgMar w:left="320" w:top="121"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Term loan, gross (amount drawn)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Debt issuance costs (legal and other administrative fees)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Accretion of end of term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Accumulated amortization of debt issuance costs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Term loan,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1231" w:hanging="1231"/>
        <w:spacing w:after="0"/>
        <w:tabs>
          <w:tab w:leader="none" w:pos="123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20,000</w:t>
      </w:r>
    </w:p>
    <w:p>
      <w:pPr>
        <w:spacing w:after="0" w:line="32" w:lineRule="exact"/>
        <w:rPr>
          <w:rFonts w:ascii="Times New Roman" w:cs="Times New Roman" w:eastAsia="Times New Roman" w:hAnsi="Times New Roman"/>
          <w:sz w:val="16"/>
          <w:szCs w:val="16"/>
          <w:color w:val="auto"/>
        </w:rPr>
      </w:pPr>
    </w:p>
    <w:p>
      <w:pPr>
        <w:ind w:left="137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(875)</w:t>
      </w:r>
    </w:p>
    <w:p>
      <w:pPr>
        <w:spacing w:after="0" w:line="32" w:lineRule="exact"/>
        <w:rPr>
          <w:rFonts w:ascii="Times New Roman" w:cs="Times New Roman" w:eastAsia="Times New Roman" w:hAnsi="Times New Roman"/>
          <w:sz w:val="16"/>
          <w:szCs w:val="16"/>
          <w:color w:val="auto"/>
        </w:rPr>
      </w:pPr>
    </w:p>
    <w:p>
      <w:pPr>
        <w:ind w:left="143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127</w:t>
      </w:r>
    </w:p>
    <w:p>
      <w:pPr>
        <w:spacing w:after="0" w:line="32" w:lineRule="exact"/>
        <w:rPr>
          <w:rFonts w:ascii="Times New Roman" w:cs="Times New Roman" w:eastAsia="Times New Roman" w:hAnsi="Times New Roman"/>
          <w:sz w:val="16"/>
          <w:szCs w:val="16"/>
          <w:color w:val="auto"/>
        </w:rPr>
      </w:pPr>
    </w:p>
    <w:p>
      <w:pPr>
        <w:ind w:left="143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104</w:t>
      </w:r>
    </w:p>
    <w:p>
      <w:pPr>
        <w:spacing w:after="0" w:line="46" w:lineRule="exact"/>
        <w:rPr>
          <w:sz w:val="20"/>
          <w:szCs w:val="20"/>
          <w:color w:val="auto"/>
        </w:rPr>
      </w:pPr>
    </w:p>
    <w:p>
      <w:pPr>
        <w:ind w:left="1231" w:hanging="1231"/>
        <w:spacing w:after="0"/>
        <w:tabs>
          <w:tab w:leader="none" w:pos="12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19,356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11226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69" w:space="720"/>
            <w:col w:w="1751"/>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China Out-License Milestone Achievement</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On November 1, 2022, LianBio announced the dosing of their first patient in the Phase 3 LIBRA clinical trial of TP-03 in Chinese patients with Demodex blepharitis; the Company is entitled to receive a contractual milestone payment of $10 million from this licensee.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TP-03 PDUFA Date: August 25, 2023</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November 9, 2022, the Company announced the acceptance of its NDA by the FDA for TP-03 for the treatment of Demodex blepharitis with a Prescription Drug User Fee Act (PDUFA) decision date of August 25, 2023.</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right="80" w:firstLine="891"/>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jc w:val="both"/>
        <w:ind w:right="340" w:firstLine="891"/>
        <w:spacing w:after="0" w:line="266" w:lineRule="auto"/>
        <w:rPr>
          <w:sz w:val="20"/>
          <w:szCs w:val="20"/>
          <w:color w:val="auto"/>
        </w:rPr>
      </w:pPr>
      <w:r>
        <w:rPr>
          <w:rFonts w:ascii="Times New Roman" w:cs="Times New Roman" w:eastAsia="Times New Roman" w:hAnsi="Times New Roman"/>
          <w:sz w:val="18"/>
          <w:szCs w:val="18"/>
          <w:color w:val="auto"/>
        </w:rPr>
        <w:t>The words “anticipate,” “believe,” contemplate,” “continue,” “could,” “estimate,” “expect,” “intend,” “may,” “might,” “plan,” “potential,” “predict,” “project,” “should,” “target,” “will,” or “would,” or the negative of these terms or other similar expressions are intended to identify forward-looking statements. Factors that may cause actual results to differ from expected results, include, among others:</w:t>
      </w:r>
    </w:p>
    <w:p>
      <w:pPr>
        <w:spacing w:after="0" w:line="14" w:lineRule="exact"/>
        <w:rPr>
          <w:sz w:val="20"/>
          <w:szCs w:val="20"/>
          <w:color w:val="auto"/>
        </w:rPr>
      </w:pPr>
    </w:p>
    <w:p>
      <w:pPr>
        <w:ind w:left="1020" w:hanging="32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 for our product candidates;</w:t>
      </w:r>
    </w:p>
    <w:p>
      <w:pPr>
        <w:spacing w:after="0" w:line="63" w:lineRule="exact"/>
        <w:rPr>
          <w:rFonts w:ascii="Times New Roman" w:cs="Times New Roman" w:eastAsia="Times New Roman" w:hAnsi="Times New Roman"/>
          <w:sz w:val="18"/>
          <w:szCs w:val="18"/>
          <w:color w:val="auto"/>
        </w:rPr>
      </w:pPr>
    </w:p>
    <w:p>
      <w:pPr>
        <w:ind w:left="1020" w:right="620" w:hanging="324"/>
        <w:spacing w:after="0" w:line="281" w:lineRule="auto"/>
        <w:tabs>
          <w:tab w:leader="none" w:pos="10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our product candidates to meet existing or future regulatory standards;</w:t>
      </w:r>
    </w:p>
    <w:p>
      <w:pPr>
        <w:spacing w:after="0" w:line="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and efficacy of our product candidates, and other positive results;</w:t>
      </w:r>
    </w:p>
    <w:p>
      <w:pPr>
        <w:spacing w:after="0" w:line="63" w:lineRule="exact"/>
        <w:rPr>
          <w:rFonts w:ascii="Times New Roman" w:cs="Times New Roman" w:eastAsia="Times New Roman" w:hAnsi="Times New Roman"/>
          <w:sz w:val="18"/>
          <w:szCs w:val="18"/>
          <w:color w:val="auto"/>
        </w:rPr>
      </w:pPr>
    </w:p>
    <w:p>
      <w:pPr>
        <w:ind w:left="1020" w:right="320" w:hanging="324"/>
        <w:spacing w:after="0" w:line="281" w:lineRule="auto"/>
        <w:tabs>
          <w:tab w:leader="none" w:pos="10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current clinical trials and timing of initiation of our future clinical trials, and the reporting of data from our current and future trials;</w:t>
      </w:r>
    </w:p>
    <w:p>
      <w:pPr>
        <w:spacing w:after="0" w:line="1" w:lineRule="exact"/>
        <w:rPr>
          <w:rFonts w:ascii="Times New Roman" w:cs="Times New Roman" w:eastAsia="Times New Roman" w:hAnsi="Times New Roman"/>
          <w:sz w:val="18"/>
          <w:szCs w:val="18"/>
          <w:color w:val="auto"/>
        </w:rPr>
      </w:pPr>
    </w:p>
    <w:p>
      <w:pPr>
        <w:ind w:left="1020" w:right="60" w:hanging="324"/>
        <w:spacing w:after="0" w:line="281" w:lineRule="auto"/>
        <w:tabs>
          <w:tab w:leader="none" w:pos="10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current and future product candidates, including the size, number and disease areas to be evaluated;</w:t>
      </w:r>
    </w:p>
    <w:p>
      <w:pPr>
        <w:spacing w:after="0" w:line="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Demodex blepharitis and the size of the market opportunity for our product candidates;</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sales strategy;</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operations;</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63" w:lineRule="exact"/>
        <w:rPr>
          <w:rFonts w:ascii="Times New Roman" w:cs="Times New Roman" w:eastAsia="Times New Roman" w:hAnsi="Times New Roman"/>
          <w:sz w:val="18"/>
          <w:szCs w:val="18"/>
          <w:color w:val="auto"/>
        </w:rPr>
      </w:pPr>
    </w:p>
    <w:p>
      <w:pPr>
        <w:ind w:left="1020" w:right="400" w:hanging="324"/>
        <w:spacing w:after="0" w:line="298" w:lineRule="auto"/>
        <w:tabs>
          <w:tab w:leader="none" w:pos="10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of the number of patients in the United States ("U.S.") or globally, as applicable, who suffer from Demodex blepharitis, Meibomian Gland Disease ("MGD"), rosacea, Lyme disease and malaria and the number of patients that will enroll in our clinical trials;</w:t>
      </w:r>
    </w:p>
    <w:p>
      <w:pPr>
        <w:ind w:left="1020" w:hanging="32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therapeutic effects and potential advantages of our product candidates;</w:t>
      </w:r>
    </w:p>
    <w:p>
      <w:pPr>
        <w:spacing w:after="0" w:line="63" w:lineRule="exact"/>
        <w:rPr>
          <w:rFonts w:ascii="Times New Roman" w:cs="Times New Roman" w:eastAsia="Times New Roman" w:hAnsi="Times New Roman"/>
          <w:sz w:val="18"/>
          <w:szCs w:val="18"/>
          <w:color w:val="auto"/>
        </w:rPr>
      </w:pPr>
    </w:p>
    <w:p>
      <w:pPr>
        <w:ind w:left="1020" w:hanging="324"/>
        <w:spacing w:after="0" w:line="281" w:lineRule="auto"/>
        <w:tabs>
          <w:tab w:leader="none" w:pos="10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additional indications for which we may pursue;</w:t>
      </w:r>
    </w:p>
    <w:p>
      <w:pPr>
        <w:spacing w:after="0" w:line="1" w:lineRule="exact"/>
        <w:rPr>
          <w:rFonts w:ascii="Times New Roman" w:cs="Times New Roman" w:eastAsia="Times New Roman" w:hAnsi="Times New Roman"/>
          <w:sz w:val="18"/>
          <w:szCs w:val="18"/>
          <w:color w:val="auto"/>
        </w:rPr>
      </w:pPr>
    </w:p>
    <w:p>
      <w:pPr>
        <w:ind w:left="1020" w:right="200" w:hanging="324"/>
        <w:spacing w:after="0" w:line="281" w:lineRule="auto"/>
        <w:tabs>
          <w:tab w:leader="none" w:pos="10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1" w:lineRule="exact"/>
        <w:rPr>
          <w:rFonts w:ascii="Times New Roman" w:cs="Times New Roman" w:eastAsia="Times New Roman" w:hAnsi="Times New Roman"/>
          <w:sz w:val="18"/>
          <w:szCs w:val="18"/>
          <w:color w:val="auto"/>
        </w:rPr>
      </w:pPr>
    </w:p>
    <w:p>
      <w:pPr>
        <w:jc w:val="both"/>
        <w:ind w:left="1020" w:hanging="324"/>
        <w:spacing w:after="0" w:line="266" w:lineRule="auto"/>
        <w:tabs>
          <w:tab w:leader="none" w:pos="10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spacing w:after="0" w:line="1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U.S. and other jurisdictions;</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63" w:lineRule="exact"/>
        <w:rPr>
          <w:rFonts w:ascii="Times New Roman" w:cs="Times New Roman" w:eastAsia="Times New Roman" w:hAnsi="Times New Roman"/>
          <w:sz w:val="18"/>
          <w:szCs w:val="18"/>
          <w:color w:val="auto"/>
        </w:rPr>
      </w:pPr>
    </w:p>
    <w:p>
      <w:pPr>
        <w:ind w:left="1020" w:right="160" w:hanging="324"/>
        <w:spacing w:after="0" w:line="281" w:lineRule="auto"/>
        <w:tabs>
          <w:tab w:leader="none" w:pos="10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in particular sales personnel, and our ability to attract and retain such personnel;</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hanging="32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capital resources to fund our future operating expenses and capital expenditure requirements;</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and</w:t>
      </w:r>
    </w:p>
    <w:p>
      <w:pPr>
        <w:spacing w:after="0" w:line="63" w:lineRule="exact"/>
        <w:rPr>
          <w:rFonts w:ascii="Times New Roman" w:cs="Times New Roman" w:eastAsia="Times New Roman" w:hAnsi="Times New Roman"/>
          <w:sz w:val="18"/>
          <w:szCs w:val="18"/>
          <w:color w:val="auto"/>
        </w:rPr>
      </w:pPr>
    </w:p>
    <w:p>
      <w:pPr>
        <w:ind w:left="1020" w:right="560" w:hanging="324"/>
        <w:spacing w:after="0" w:line="282" w:lineRule="auto"/>
        <w:tabs>
          <w:tab w:leader="none" w:pos="10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 and the proceeds from our Initial Public Offering ("IPO") and Follow-on Public Offering (defined below).</w:t>
      </w:r>
    </w:p>
    <w:p>
      <w:pPr>
        <w:spacing w:after="0" w:line="229" w:lineRule="exact"/>
        <w:rPr>
          <w:sz w:val="20"/>
          <w:szCs w:val="20"/>
          <w:color w:val="auto"/>
        </w:rPr>
      </w:pPr>
    </w:p>
    <w:p>
      <w:pPr>
        <w:ind w:right="40" w:firstLine="891"/>
        <w:spacing w:after="0" w:line="237"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99"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p>
    <w:p>
      <w:pPr>
        <w:spacing w:after="0" w:line="183" w:lineRule="exact"/>
        <w:rPr>
          <w:sz w:val="20"/>
          <w:szCs w:val="20"/>
          <w:color w:val="auto"/>
        </w:rPr>
      </w:pPr>
    </w:p>
    <w:p>
      <w:pPr>
        <w:ind w:right="40" w:firstLine="891"/>
        <w:spacing w:after="0" w:line="312" w:lineRule="auto"/>
        <w:rPr>
          <w:sz w:val="20"/>
          <w:szCs w:val="20"/>
          <w:color w:val="auto"/>
        </w:rPr>
      </w:pPr>
      <w:r>
        <w:rPr>
          <w:rFonts w:ascii="Times New Roman" w:cs="Times New Roman" w:eastAsia="Times New Roman" w:hAnsi="Times New Roman"/>
          <w:sz w:val="17"/>
          <w:szCs w:val="17"/>
          <w:color w:val="auto"/>
        </w:rPr>
        <w:t>You should read this report and the documents that we reference in this report and have filed with the SEC as exhibits to this report with the understanding that our actual future results, levels of activity, performance and events and circumstances may be materially different from what we expect.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Business</w:t>
      </w:r>
    </w:p>
    <w:p>
      <w:pPr>
        <w:spacing w:after="0" w:line="229" w:lineRule="exact"/>
        <w:rPr>
          <w:sz w:val="20"/>
          <w:szCs w:val="20"/>
          <w:color w:val="auto"/>
        </w:rPr>
      </w:pPr>
    </w:p>
    <w:p>
      <w:pPr>
        <w:ind w:right="80" w:firstLine="891"/>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therapeutics, starting with eye care. Our lead product candidate, TP-03 (lotilaner ophthalmic solution, 0.25%), is a novel investigational eye drop to treat blepharitis caused by the infestation of Demodex mites, which is referred to as Demodex blepharitis.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Demodex blepharitis. Poorly controlled and progressive blepharitis can lead to corneal damage over time and, in extreme cases, blindness. There are an estimated 25 million people in the U.S. who suffer from Demodex blepharitis.</w:t>
      </w:r>
    </w:p>
    <w:p>
      <w:pPr>
        <w:spacing w:after="0" w:line="214" w:lineRule="exact"/>
        <w:rPr>
          <w:sz w:val="20"/>
          <w:szCs w:val="20"/>
          <w:color w:val="auto"/>
        </w:rPr>
      </w:pPr>
    </w:p>
    <w:p>
      <w:pPr>
        <w:ind w:right="200" w:firstLine="891"/>
        <w:spacing w:after="0" w:line="258" w:lineRule="auto"/>
        <w:rPr>
          <w:sz w:val="20"/>
          <w:szCs w:val="20"/>
          <w:color w:val="auto"/>
        </w:rPr>
      </w:pPr>
      <w:r>
        <w:rPr>
          <w:rFonts w:ascii="Times New Roman" w:cs="Times New Roman" w:eastAsia="Times New Roman" w:hAnsi="Times New Roman"/>
          <w:sz w:val="18"/>
          <w:szCs w:val="18"/>
          <w:color w:val="auto"/>
        </w:rPr>
        <w:t>We designed TP-03 to target and eradicate the root cause of Demodex blepharitis — Demodex mite infestation. The active pharmaceutical ingredient ("API") of TP-03, lotilaner, paralyzes and eradicates mites and other parasites through the inhibition of parasite-specific gamma-aminobutyric acid-gated chloride ("GABA-Cl") channels.</w:t>
      </w:r>
    </w:p>
    <w:p>
      <w:pPr>
        <w:spacing w:after="0" w:line="183" w:lineRule="exact"/>
        <w:rPr>
          <w:sz w:val="20"/>
          <w:szCs w:val="20"/>
          <w:color w:val="auto"/>
        </w:rPr>
      </w:pPr>
    </w:p>
    <w:p>
      <w:pPr>
        <w:ind w:right="60" w:firstLine="891"/>
        <w:spacing w:after="0" w:line="242" w:lineRule="auto"/>
        <w:rPr>
          <w:sz w:val="20"/>
          <w:szCs w:val="20"/>
          <w:color w:val="auto"/>
        </w:rPr>
      </w:pPr>
      <w:r>
        <w:rPr>
          <w:rFonts w:ascii="Times New Roman" w:cs="Times New Roman" w:eastAsia="Times New Roman" w:hAnsi="Times New Roman"/>
          <w:sz w:val="18"/>
          <w:szCs w:val="18"/>
          <w:color w:val="auto"/>
        </w:rPr>
        <w:t>To date, we have completed six clinical trials that include four Phase 2 trials, the Phase 2b/3 Saturn-1 trial, and the Phase 3 Saturn-2 trial for TP-03 in Demodex blepharitis. Each of these trials for TP-03 met their primary, secondary and/or exploratory endpoints, with the drug well tolerated. On November 9, 2022, we announced the New Drug Application ("NDA") for TP-03 for the treatment of Demodex blepharitis was accepted by the U.S. Food and Drug Administration ("FDA"). We believe TP-03 has the potential to be the first therapeutic approved by the FDA and become the definitive standard of care for the treatment of Demodex blepharitis.</w:t>
      </w:r>
    </w:p>
    <w:p>
      <w:pPr>
        <w:spacing w:after="0" w:line="225" w:lineRule="exact"/>
        <w:rPr>
          <w:sz w:val="20"/>
          <w:szCs w:val="20"/>
          <w:color w:val="auto"/>
        </w:rPr>
      </w:pPr>
    </w:p>
    <w:p>
      <w:pPr>
        <w:ind w:right="160" w:firstLine="891"/>
        <w:spacing w:after="0" w:line="250" w:lineRule="auto"/>
        <w:rPr>
          <w:sz w:val="20"/>
          <w:szCs w:val="20"/>
          <w:color w:val="auto"/>
        </w:rPr>
      </w:pPr>
      <w:r>
        <w:rPr>
          <w:rFonts w:ascii="Times New Roman" w:cs="Times New Roman" w:eastAsia="Times New Roman" w:hAnsi="Times New Roman"/>
          <w:sz w:val="18"/>
          <w:szCs w:val="18"/>
          <w:color w:val="auto"/>
        </w:rPr>
        <w:t>We intend to further advance our pipeline with the lotilaner API to address several diseases across therapeutic categories in human medicine, including eye care, dermatology, and other diseases. We are developing product candidates to address targeted diseases with high unmet medical needs, which currently include TP-03 for the potential treatment of MGD, TP-04 for the potential treatment of rosacea, and TP-05 for potential Lyme disease prophylaxis and community malaria reduction.</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and Clinical Highlights</w:t>
      </w:r>
    </w:p>
    <w:p>
      <w:pPr>
        <w:spacing w:after="0" w:line="225" w:lineRule="exact"/>
        <w:rPr>
          <w:sz w:val="20"/>
          <w:szCs w:val="20"/>
          <w:color w:val="auto"/>
        </w:rPr>
      </w:pPr>
    </w:p>
    <w:p>
      <w:pPr>
        <w:ind w:right="140" w:firstLine="891"/>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TP-03 Demodex Blepharitis, NDA Filing and PDUFA date</w:t>
      </w:r>
      <w:r>
        <w:rPr>
          <w:rFonts w:ascii="Times New Roman" w:cs="Times New Roman" w:eastAsia="Times New Roman" w:hAnsi="Times New Roman"/>
          <w:sz w:val="18"/>
          <w:szCs w:val="18"/>
          <w:color w:val="auto"/>
        </w:rPr>
        <w:t>: On November 9, 2022, we announced the acceptance of our NDA by the FDA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TP-03 for the treatment of Demodex blepharitis, with a stated Prescription Drug User Fee Act (PDUFA) decision date of August 25, 2023.</w:t>
      </w:r>
    </w:p>
    <w:p>
      <w:pPr>
        <w:spacing w:after="0" w:line="185" w:lineRule="exact"/>
        <w:rPr>
          <w:sz w:val="20"/>
          <w:szCs w:val="20"/>
          <w:color w:val="auto"/>
        </w:rPr>
      </w:pPr>
    </w:p>
    <w:p>
      <w:pPr>
        <w:ind w:firstLine="891"/>
        <w:spacing w:after="0" w:line="250" w:lineRule="auto"/>
        <w:rPr>
          <w:sz w:val="20"/>
          <w:szCs w:val="20"/>
          <w:color w:val="auto"/>
        </w:rPr>
      </w:pPr>
      <w:r>
        <w:rPr>
          <w:rFonts w:ascii="Times New Roman" w:cs="Times New Roman" w:eastAsia="Times New Roman" w:hAnsi="Times New Roman"/>
          <w:sz w:val="18"/>
          <w:szCs w:val="18"/>
          <w:color w:val="auto"/>
        </w:rPr>
        <w:t>In May 2022, we announced positive topline results of Saturn-2, our second and final TP-03 pivotal trial. Saturn-2 enrolled 412 adults having, among other things, more than 10 collarettes per lid and at least mild lid erythema. All pre-specified primary and secondary endpoints were met, TP-03 was well tolerated and complete resolution of Demodex blepharitis was demonstrated in patients treated with TP-03 (lotilaner ophthalmic solution, 0.25%).</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Primary Endpoint:</w:t>
      </w:r>
    </w:p>
    <w:p>
      <w:pPr>
        <w:spacing w:after="0" w:line="241" w:lineRule="exact"/>
        <w:rPr>
          <w:sz w:val="20"/>
          <w:szCs w:val="20"/>
          <w:color w:val="auto"/>
        </w:rPr>
      </w:pPr>
    </w:p>
    <w:p>
      <w:pPr>
        <w:ind w:left="1300" w:right="360" w:hanging="482"/>
        <w:spacing w:after="0" w:line="246"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of patients on TP-03 achieved complete collarette cure, defined as 0-2 collarettes per lid at day 43, compared to 13% on vehicle (p&lt;0.0001).</w:t>
      </w:r>
    </w:p>
    <w:p>
      <w:pPr>
        <w:ind w:left="1960" w:right="20" w:hanging="494"/>
        <w:spacing w:after="0" w:line="243" w:lineRule="auto"/>
        <w:tabs>
          <w:tab w:leader="none" w:pos="195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of patients on TP-03 achieved a clinically meaningful collarette cure, defined as 0-10 collarettes per lid at day 43 compared to 33% of those on vehicle (p&lt;0.0001).</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Secondary Endpoints:</w:t>
      </w:r>
    </w:p>
    <w:p>
      <w:pPr>
        <w:spacing w:after="0" w:line="227" w:lineRule="exact"/>
        <w:rPr>
          <w:sz w:val="20"/>
          <w:szCs w:val="20"/>
          <w:color w:val="auto"/>
        </w:rPr>
      </w:pPr>
    </w:p>
    <w:p>
      <w:pPr>
        <w:ind w:left="1300" w:hanging="48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of patients on TP-03 achieved mite eradication defined as zero mites per lash at day 43, compared to 15% on vehicle (p&lt;0.0001).</w:t>
      </w:r>
    </w:p>
    <w:p>
      <w:pPr>
        <w:spacing w:after="0" w:line="15" w:lineRule="exact"/>
        <w:rPr>
          <w:rFonts w:ascii="Times New Roman" w:cs="Times New Roman" w:eastAsia="Times New Roman" w:hAnsi="Times New Roman"/>
          <w:sz w:val="18"/>
          <w:szCs w:val="18"/>
          <w:color w:val="auto"/>
        </w:rPr>
      </w:pPr>
    </w:p>
    <w:p>
      <w:pPr>
        <w:ind w:left="1300" w:hanging="482"/>
        <w:spacing w:after="0" w:line="234"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of patients on TP-03 compared to 9% of patients on vehicle (p&lt;0.0001) achieved complete lid erythema cure at day 43.</w:t>
      </w:r>
    </w:p>
    <w:p>
      <w:pPr>
        <w:ind w:left="1300" w:right="560" w:hanging="482"/>
        <w:spacing w:after="0" w:line="243"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of patients on TP-03 achieved a complete composite cure, based on achieving both complete collarette cure and complete lid erythema cure, compared to 4% on vehicle (p&lt;0.0001) at day 43.</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Safety Profile:</w:t>
      </w:r>
    </w:p>
    <w:p>
      <w:pPr>
        <w:spacing w:after="0" w:line="241" w:lineRule="exact"/>
        <w:rPr>
          <w:sz w:val="20"/>
          <w:szCs w:val="20"/>
          <w:color w:val="auto"/>
        </w:rPr>
      </w:pPr>
    </w:p>
    <w:p>
      <w:pPr>
        <w:ind w:left="1300" w:hanging="48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Saturn-1, Saturn-2 demonstrated that TP-03 was well tolerated with a safety profile similar to the vehicle group.</w:t>
      </w:r>
    </w:p>
    <w:p>
      <w:pPr>
        <w:spacing w:after="0" w:line="15" w:lineRule="exact"/>
        <w:rPr>
          <w:rFonts w:ascii="Times New Roman" w:cs="Times New Roman" w:eastAsia="Times New Roman" w:hAnsi="Times New Roman"/>
          <w:sz w:val="18"/>
          <w:szCs w:val="18"/>
          <w:color w:val="auto"/>
        </w:rPr>
      </w:pPr>
    </w:p>
    <w:p>
      <w:pPr>
        <w:ind w:left="1940" w:hanging="474"/>
        <w:spacing w:after="0" w:line="234" w:lineRule="auto"/>
        <w:tabs>
          <w:tab w:leader="none" w:pos="1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of TP-03 patients reported that the drop comfort was neutral to very comfortable.</w:t>
      </w:r>
    </w:p>
    <w:p>
      <w:pPr>
        <w:ind w:left="1960" w:right="860" w:hanging="494"/>
        <w:spacing w:after="0" w:line="243" w:lineRule="auto"/>
        <w:tabs>
          <w:tab w:leader="none" w:pos="19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serious treatment-related adverse events nor any treatment-related adverse events leading to treatment discontinuation.</w:t>
      </w:r>
    </w:p>
    <w:p>
      <w:pPr>
        <w:spacing w:after="0" w:line="205" w:lineRule="exact"/>
        <w:rPr>
          <w:sz w:val="20"/>
          <w:szCs w:val="20"/>
          <w:color w:val="auto"/>
        </w:rPr>
      </w:pPr>
    </w:p>
    <w:p>
      <w:pPr>
        <w:ind w:firstLine="891"/>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TP-03 Meibomian Gland Disease, Phase 2a Trial, Ersa</w:t>
      </w:r>
      <w:r>
        <w:rPr>
          <w:rFonts w:ascii="Times New Roman" w:cs="Times New Roman" w:eastAsia="Times New Roman" w:hAnsi="Times New Roman"/>
          <w:sz w:val="18"/>
          <w:szCs w:val="18"/>
          <w:color w:val="auto"/>
        </w:rPr>
        <w:t>: On August 5, 2022, we announced the enrollment of our first patient in the Phase 2a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Ersa clinical trial studying TP-03 for the treatment of MGD.</w:t>
      </w:r>
    </w:p>
    <w:p>
      <w:pPr>
        <w:spacing w:after="0" w:line="194" w:lineRule="exact"/>
        <w:rPr>
          <w:sz w:val="20"/>
          <w:szCs w:val="20"/>
          <w:color w:val="auto"/>
        </w:rPr>
      </w:pPr>
    </w:p>
    <w:p>
      <w:pPr>
        <w:ind w:firstLine="891"/>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TP-05 Lyme Disease Phase 1 Trial, Callisto</w:t>
      </w:r>
      <w:r>
        <w:rPr>
          <w:rFonts w:ascii="Times New Roman" w:cs="Times New Roman" w:eastAsia="Times New Roman" w:hAnsi="Times New Roman"/>
          <w:sz w:val="18"/>
          <w:szCs w:val="18"/>
          <w:color w:val="auto"/>
        </w:rPr>
        <w:t>: We advanced our Phase 1 Callisto trial, evaluating TP-05, a novel, oral, non-vaccine therapeutic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prevention of Lyme disease, with data expected in the second half of 2022. The Callisto trial is a single ascending dose and multiple ascending dose trial to evaluate the safety, tolerability and pharmacokinetics ("PK") of TP-05 in healthy volunteers. There are currently no FDA-approved pharmacological prophylactic options for Lyme disease, which is the most common vector-borne disease in the U.S., transmitted to humans via Borrelia burgdorferi bacterium infection following the bite of a tick. We also expect to initiate a Phase 2a study in Lyme disease prevention in the coming weeks.</w:t>
      </w:r>
    </w:p>
    <w:p>
      <w:pPr>
        <w:spacing w:after="0" w:line="210" w:lineRule="exact"/>
        <w:rPr>
          <w:sz w:val="20"/>
          <w:szCs w:val="20"/>
          <w:color w:val="auto"/>
        </w:rPr>
      </w:pPr>
    </w:p>
    <w:p>
      <w:pPr>
        <w:ind w:right="160" w:firstLine="891"/>
        <w:spacing w:after="0" w:line="250" w:lineRule="auto"/>
        <w:rPr>
          <w:sz w:val="20"/>
          <w:szCs w:val="20"/>
          <w:color w:val="auto"/>
        </w:rPr>
      </w:pPr>
      <w:r>
        <w:rPr>
          <w:rFonts w:ascii="Times New Roman" w:cs="Times New Roman" w:eastAsia="Times New Roman" w:hAnsi="Times New Roman"/>
          <w:sz w:val="18"/>
          <w:szCs w:val="18"/>
          <w:color w:val="auto"/>
        </w:rPr>
        <w:t>We believe TP-05 is currently the only non-vaccine, oral tablet, preventive therapeutic in development that targets the ticks, and potentially prevents Lyme disease transmission. It is designed to rapidly provide systemic blood levels of lotilaner potentially sufficient to kill infected ticks attached to the human body before they can transmit the Borrelia bacteria that causes Lyme disease.</w:t>
      </w:r>
    </w:p>
    <w:p>
      <w:pPr>
        <w:spacing w:after="0" w:line="200" w:lineRule="exact"/>
        <w:rPr>
          <w:sz w:val="20"/>
          <w:szCs w:val="20"/>
          <w:color w:val="auto"/>
        </w:rPr>
      </w:pPr>
    </w:p>
    <w:p>
      <w:pPr>
        <w:ind w:right="140" w:firstLine="891"/>
        <w:spacing w:after="0" w:line="239" w:lineRule="auto"/>
        <w:rPr>
          <w:sz w:val="20"/>
          <w:szCs w:val="20"/>
          <w:color w:val="auto"/>
        </w:rPr>
      </w:pPr>
      <w:r>
        <w:rPr>
          <w:rFonts w:ascii="Times New Roman" w:cs="Times New Roman" w:eastAsia="Times New Roman" w:hAnsi="Times New Roman"/>
          <w:sz w:val="18"/>
          <w:szCs w:val="18"/>
          <w:b w:val="1"/>
          <w:bCs w:val="1"/>
          <w:u w:val="single" w:color="auto"/>
          <w:color w:val="auto"/>
        </w:rPr>
        <w:t>TP-03 China Territory Out-License</w:t>
      </w:r>
      <w:r>
        <w:rPr>
          <w:rFonts w:ascii="Times New Roman" w:cs="Times New Roman" w:eastAsia="Times New Roman" w:hAnsi="Times New Roman"/>
          <w:sz w:val="18"/>
          <w:szCs w:val="18"/>
          <w:color w:val="auto"/>
        </w:rPr>
        <w:t>: In March 2021, we executed an out-license agreement (the "China Out-License") with LianBio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Ophthalmology Limited ("LianBio"), granting exclusive commercial rights to TP-03 for the treatment of Demodex blepharitis and MGD within The People’s Republic of China, Macau, Hong Kong, and Taiwan (the "China Territory"). In November 2022, LianBio announced that they initiated dosing of their first patient in the TP-03 Phase 3 LIBRA pivotal trial in Chinese patients for the treatment of Demodex blepharitis to support regulatory approval in China.</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To date, we have received contractual cash proceeds from LianBio of $70.0 million, representing initial consideration of $25.0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 million for the achievement of three clinical development milestones. We also received equity in LianBio as part of this China Out-License, a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which remains subject to a China-based regulatory vesting provision.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are further eligible to receive:</w:t>
      </w:r>
    </w:p>
    <w:p>
      <w:pPr>
        <w:spacing w:after="0" w:line="27" w:lineRule="exact"/>
        <w:rPr>
          <w:sz w:val="20"/>
          <w:szCs w:val="20"/>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supply agreement execution milestone of $5.0 million (expected by the first quarter of 2023)</w:t>
      </w:r>
    </w:p>
    <w:p>
      <w:pPr>
        <w:spacing w:after="0" w:line="9" w:lineRule="exact"/>
        <w:rPr>
          <w:rFonts w:ascii="Times New Roman" w:cs="Times New Roman" w:eastAsia="Times New Roman" w:hAnsi="Times New Roman"/>
          <w:sz w:val="18"/>
          <w:szCs w:val="18"/>
          <w:color w:val="auto"/>
        </w:rPr>
      </w:pPr>
    </w:p>
    <w:p>
      <w:pPr>
        <w:ind w:left="1300" w:right="140" w:hanging="482"/>
        <w:spacing w:after="0" w:line="250"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China-based clinical and regulatory milestones totaling $30.0 million ($10.0 million achieved in November 2022 with the initiation of a Phase 3 pivotal trial in China and expected cash receipt in December 2022)</w:t>
      </w: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threshold milestones in the China Territory totaling $100.0 million; and</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Tiered mid-to-high teen royalties on the net product sales of TP-03 within the China Territory</w:t>
      </w:r>
    </w:p>
    <w:p>
      <w:pPr>
        <w:spacing w:after="0" w:line="2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u w:val="single" w:color="auto"/>
          <w:color w:val="auto"/>
        </w:rPr>
        <w:t>Credit Facility with Hercules Capital and Silicon Valley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February 2, 2022, we executed a loan and security agreement with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Hercules Capital and Silicon Valley Bank (the "Credit Facility). This $175.0 million Credit Facility has tranched availability as follows:</w:t>
      </w:r>
    </w:p>
    <w:p>
      <w:pPr>
        <w:ind w:left="1300" w:hanging="482"/>
        <w:spacing w:after="0" w:line="234"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million at closing ($20 million drawn in February 2022 and $20 million remaining available);</w:t>
      </w:r>
    </w:p>
    <w:p>
      <w:pPr>
        <w:ind w:left="1300" w:hanging="482"/>
        <w:spacing w:after="0" w:line="234"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 upon NDA submission of TP-03 (available with our NDA submission announced in September 2022);</w:t>
      </w:r>
    </w:p>
    <w:p>
      <w:pPr>
        <w:ind w:left="1300" w:hanging="482"/>
        <w:spacing w:after="0" w:line="219"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million upon FDA approval of TP-03;</w:t>
      </w:r>
    </w:p>
    <w:p>
      <w:pPr>
        <w:ind w:left="1300" w:hanging="482"/>
        <w:spacing w:after="0" w:line="234"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upon achievement of certain quarterly revenue thresholds; and</w:t>
      </w:r>
    </w:p>
    <w:p>
      <w:pPr>
        <w:ind w:left="1300" w:hanging="48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 available with lender approval.</w:t>
      </w:r>
    </w:p>
    <w:p>
      <w:pPr>
        <w:spacing w:after="0" w:line="23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Capital draws are at our election and are in $5.0 million increments. This Credit Facility includes a four-year interest only period and is extendable to five years upon meeting certain conditions that we expect to achieve.</w:t>
      </w:r>
    </w:p>
    <w:p>
      <w:pPr>
        <w:spacing w:after="0" w:line="158" w:lineRule="exact"/>
        <w:rPr>
          <w:sz w:val="20"/>
          <w:szCs w:val="20"/>
          <w:color w:val="auto"/>
        </w:rPr>
      </w:pPr>
    </w:p>
    <w:p>
      <w:pPr>
        <w:ind w:firstLine="891"/>
        <w:spacing w:after="0" w:line="243" w:lineRule="auto"/>
        <w:rPr>
          <w:sz w:val="20"/>
          <w:szCs w:val="20"/>
          <w:color w:val="auto"/>
        </w:rPr>
      </w:pPr>
      <w:r>
        <w:rPr>
          <w:rFonts w:ascii="Times New Roman" w:cs="Times New Roman" w:eastAsia="Times New Roman" w:hAnsi="Times New Roman"/>
          <w:sz w:val="18"/>
          <w:szCs w:val="18"/>
          <w:b w:val="1"/>
          <w:bCs w:val="1"/>
          <w:u w:val="single" w:color="auto"/>
          <w:color w:val="auto"/>
        </w:rPr>
        <w:t>Follow-On Public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May 2022, we completed a follow-on public offering under our effective Form S-3 shelf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an initial underwritten sale of 5.6 million shares of common stock at a price of $13.50 per share (the “Follow-On Public Offering”). We also granted the underwriters a 30-day option to purchase up to 840,000 additional shares of common stock at the public offering price, less discounts and commissions. In June 2022, the underwriters partially exercised this option by purchasing an additional 289,832 shares of common stock at $13.50 per share.</w:t>
      </w:r>
    </w:p>
    <w:p>
      <w:pPr>
        <w:spacing w:after="0" w:line="212" w:lineRule="exact"/>
        <w:rPr>
          <w:sz w:val="20"/>
          <w:szCs w:val="20"/>
          <w:color w:val="auto"/>
        </w:rPr>
      </w:pPr>
    </w:p>
    <w:p>
      <w:pPr>
        <w:ind w:right="260" w:firstLine="891"/>
        <w:spacing w:after="0" w:line="242" w:lineRule="auto"/>
        <w:rPr>
          <w:sz w:val="20"/>
          <w:szCs w:val="20"/>
          <w:color w:val="auto"/>
        </w:rPr>
      </w:pPr>
      <w:r>
        <w:rPr>
          <w:rFonts w:ascii="Times New Roman" w:cs="Times New Roman" w:eastAsia="Times New Roman" w:hAnsi="Times New Roman"/>
          <w:sz w:val="18"/>
          <w:szCs w:val="18"/>
          <w:color w:val="auto"/>
        </w:rPr>
        <w:t>After giving effect to the exercise of the underwriters’ option, the total number of shares of our common stock sold in the Follow-On Public Offering was 5,889,832 shares which resulted in total gross proceeds of $79.5 million before underwriting discounts, commissions and other estimated offering expenses for total net proceeds of $74.3 million.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Financial Overview</w:t>
      </w:r>
    </w:p>
    <w:p>
      <w:pPr>
        <w:spacing w:after="0" w:line="229"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We were incorporated as a Delaware corporation in November 2016, and our headquarters is located in Irvine, California. Since our inception, we have devoted substantially all of our resources to organizing and staffing our company, acquiring intellectual property, clinical development of our product candidates, building our research and development capabilities, raising capital, and enhancing our corporate infrastructure.</w:t>
      </w:r>
    </w:p>
    <w:p>
      <w:pPr>
        <w:spacing w:after="0" w:line="176" w:lineRule="exact"/>
        <w:rPr>
          <w:sz w:val="20"/>
          <w:szCs w:val="20"/>
          <w:color w:val="auto"/>
        </w:rPr>
      </w:pPr>
    </w:p>
    <w:p>
      <w:pPr>
        <w:ind w:right="120" w:firstLine="891"/>
        <w:spacing w:after="0" w:line="312" w:lineRule="auto"/>
        <w:rPr>
          <w:sz w:val="20"/>
          <w:szCs w:val="20"/>
          <w:color w:val="auto"/>
        </w:rPr>
      </w:pPr>
      <w:r>
        <w:rPr>
          <w:rFonts w:ascii="Times New Roman" w:cs="Times New Roman" w:eastAsia="Times New Roman" w:hAnsi="Times New Roman"/>
          <w:sz w:val="17"/>
          <w:szCs w:val="17"/>
          <w:color w:val="auto"/>
        </w:rPr>
        <w:t>To date we have financed our operations through private placements of preferred stock, convertible promissory notes, the net proceeds from issuance of common stock in our IPO and Follow-On Public Offering, cash proceeds from our China Out-License, and draw downs on our Credit Facility.</w:t>
      </w:r>
    </w:p>
    <w:p>
      <w:pPr>
        <w:spacing w:after="0" w:line="140" w:lineRule="exact"/>
        <w:rPr>
          <w:sz w:val="20"/>
          <w:szCs w:val="20"/>
          <w:color w:val="auto"/>
        </w:rPr>
      </w:pPr>
    </w:p>
    <w:p>
      <w:pPr>
        <w:ind w:right="200" w:firstLine="891"/>
        <w:spacing w:after="0" w:line="258" w:lineRule="auto"/>
        <w:rPr>
          <w:sz w:val="20"/>
          <w:szCs w:val="20"/>
          <w:color w:val="auto"/>
        </w:rPr>
      </w:pPr>
      <w:r>
        <w:rPr>
          <w:rFonts w:ascii="Times New Roman" w:cs="Times New Roman" w:eastAsia="Times New Roman" w:hAnsi="Times New Roman"/>
          <w:sz w:val="18"/>
          <w:szCs w:val="18"/>
          <w:color w:val="auto"/>
        </w:rPr>
        <w:t>We have incurred significant net operating losses in every year since our inception and expect to continue to incur significant operating expenses and, other than the effect of license fee revenue from the China Out-License, increasing operating losses for the foreseeable future. Our net loss was $22.5 million and $15.7 million for the three months ended September 30, 2022 and 2021, respectively. Our net losses and any net income we may generate may fluctuate significantly from quarter to quarter and year to year and could be substantial. We anticipate that our operating expenses will increase significantly as we:</w:t>
      </w:r>
    </w:p>
    <w:p>
      <w:pPr>
        <w:spacing w:after="0" w:line="183" w:lineRule="exact"/>
        <w:rPr>
          <w:sz w:val="20"/>
          <w:szCs w:val="20"/>
          <w:color w:val="auto"/>
        </w:rPr>
      </w:pPr>
    </w:p>
    <w:p>
      <w:pPr>
        <w:ind w:left="1020" w:hanging="32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TP-03 and other product candidates that successfully complete clinical development, if any;</w:t>
      </w:r>
    </w:p>
    <w:p>
      <w:pPr>
        <w:spacing w:after="0" w:line="225" w:lineRule="exact"/>
        <w:rPr>
          <w:rFonts w:ascii="Times New Roman" w:cs="Times New Roman" w:eastAsia="Times New Roman" w:hAnsi="Times New Roman"/>
          <w:sz w:val="18"/>
          <w:szCs w:val="18"/>
          <w:color w:val="auto"/>
        </w:rPr>
      </w:pPr>
    </w:p>
    <w:p>
      <w:pPr>
        <w:ind w:left="1020" w:right="240" w:hanging="324"/>
        <w:spacing w:after="0" w:line="282" w:lineRule="auto"/>
        <w:tabs>
          <w:tab w:leader="none" w:pos="10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TP-03 for the potential treatment of MGD, TP-04 for the potential treatment of rosacea and TP-05 for potential Lyme prophylaxis and community malaria reduction;</w:t>
      </w:r>
    </w:p>
    <w:p>
      <w:pPr>
        <w:spacing w:after="0" w:line="161" w:lineRule="exact"/>
        <w:rPr>
          <w:rFonts w:ascii="Times New Roman" w:cs="Times New Roman" w:eastAsia="Times New Roman" w:hAnsi="Times New Roman"/>
          <w:sz w:val="18"/>
          <w:szCs w:val="18"/>
          <w:color w:val="auto"/>
        </w:rPr>
      </w:pPr>
    </w:p>
    <w:p>
      <w:pPr>
        <w:ind w:left="1020" w:right="140" w:hanging="324"/>
        <w:spacing w:after="0" w:line="282" w:lineRule="auto"/>
        <w:tabs>
          <w:tab w:leader="none" w:pos="10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own sales force in the U.S. to commercialize TP-03 upon regulatory approval and our other products for which we obtain such approvals;</w:t>
      </w:r>
    </w:p>
    <w:p>
      <w:pPr>
        <w:spacing w:after="0" w:line="161" w:lineRule="exact"/>
        <w:rPr>
          <w:rFonts w:ascii="Times New Roman" w:cs="Times New Roman" w:eastAsia="Times New Roman" w:hAnsi="Times New Roman"/>
          <w:sz w:val="18"/>
          <w:szCs w:val="18"/>
          <w:color w:val="auto"/>
        </w:rPr>
      </w:pPr>
    </w:p>
    <w:p>
      <w:pPr>
        <w:ind w:left="1020" w:right="160" w:hanging="324"/>
        <w:spacing w:after="0" w:line="282" w:lineRule="auto"/>
        <w:tabs>
          <w:tab w:leader="none" w:pos="10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contract manufacturers to ensure a sufficient supply chain capacity to provide commercial quantities of any products for which we may obtain marketing approval;</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020" w:right="460" w:hanging="324"/>
        <w:spacing w:after="0" w:line="282" w:lineRule="auto"/>
        <w:tabs>
          <w:tab w:leader="none" w:pos="10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technical, regulatory, marketing, operations, financial, and other support personnel, to execute our business plan; and</w:t>
      </w:r>
    </w:p>
    <w:p>
      <w:pPr>
        <w:spacing w:after="0" w:line="161" w:lineRule="exact"/>
        <w:rPr>
          <w:rFonts w:ascii="Times New Roman" w:cs="Times New Roman" w:eastAsia="Times New Roman" w:hAnsi="Times New Roman"/>
          <w:sz w:val="18"/>
          <w:szCs w:val="18"/>
          <w:color w:val="auto"/>
        </w:rPr>
      </w:pPr>
    </w:p>
    <w:p>
      <w:pPr>
        <w:ind w:left="1020" w:right="180" w:hanging="324"/>
        <w:spacing w:after="0" w:line="282" w:lineRule="auto"/>
        <w:tabs>
          <w:tab w:leader="none" w:pos="10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information systems and personnel to support our product development and potential future commercialization efforts, and to enable us to operate as a public company.</w:t>
      </w:r>
    </w:p>
    <w:p>
      <w:pPr>
        <w:spacing w:after="0" w:line="162" w:lineRule="exact"/>
        <w:rPr>
          <w:sz w:val="20"/>
          <w:szCs w:val="20"/>
          <w:color w:val="auto"/>
        </w:rPr>
      </w:pPr>
    </w:p>
    <w:p>
      <w:pPr>
        <w:ind w:right="120" w:firstLine="891"/>
        <w:spacing w:after="0" w:line="254" w:lineRule="auto"/>
        <w:rPr>
          <w:sz w:val="20"/>
          <w:szCs w:val="20"/>
          <w:color w:val="auto"/>
        </w:rPr>
      </w:pPr>
      <w:r>
        <w:rPr>
          <w:rFonts w:ascii="Times New Roman" w:cs="Times New Roman" w:eastAsia="Times New Roman" w:hAnsi="Times New Roman"/>
          <w:sz w:val="18"/>
          <w:szCs w:val="18"/>
          <w:color w:val="auto"/>
        </w:rPr>
        <w:t>We do not expect to generate revenues from product sales unless and until we successfully complete clinical development and obtain regulatory approval for a product candidate and commercially launch such product. Until such time as we can generate significant revenue from product sales and achieve profitability, if ever, we expect to finance our operations through private or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spacing w:after="0" w:line="192"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product development, we are unable to accurately forecast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w:t>
      </w:r>
    </w:p>
    <w:p>
      <w:pPr>
        <w:spacing w:after="0" w:line="180" w:lineRule="exact"/>
        <w:rPr>
          <w:sz w:val="20"/>
          <w:szCs w:val="20"/>
          <w:color w:val="auto"/>
        </w:rPr>
      </w:pPr>
    </w:p>
    <w:p>
      <w:pPr>
        <w:ind w:right="40" w:firstLine="891"/>
        <w:spacing w:after="0" w:line="282" w:lineRule="auto"/>
        <w:rPr>
          <w:sz w:val="20"/>
          <w:szCs w:val="20"/>
          <w:color w:val="auto"/>
        </w:rPr>
      </w:pPr>
      <w:r>
        <w:rPr>
          <w:rFonts w:ascii="Times New Roman" w:cs="Times New Roman" w:eastAsia="Times New Roman" w:hAnsi="Times New Roman"/>
          <w:sz w:val="18"/>
          <w:szCs w:val="18"/>
          <w:color w:val="auto"/>
        </w:rPr>
        <w:t xml:space="preserve">We do not yet have revenue from product sales. Our reported revenue within "license fees" and "collaboration revenue" is from our China Out-License; we expect to report additional revenue under these captions in future periods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As of September 30, 2022, our aggregate cash, cash equivalents and marketable securities was $226.6 million – see the section below titled “Management's Discussion and Analysis of Financial Condition and Results of Operations — Liquidity and Capital Resources” for our liquidity discussion.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 on our Operations</w:t>
      </w:r>
    </w:p>
    <w:p>
      <w:pPr>
        <w:spacing w:after="0" w:line="229"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Efforts to contain the spread of COVID-19 in the U.S. (including in California where our corporate headquarters and laboratory facility are located) and other countries have included quarantines, shelter-in-place orders, and various other government restrictions in order to control the spread of this virus. Various of these orders and restrictions have expired, but there is no assurance they will not be reinstated.</w:t>
      </w:r>
    </w:p>
    <w:p>
      <w:pPr>
        <w:spacing w:after="0" w:line="176" w:lineRule="exact"/>
        <w:rPr>
          <w:sz w:val="20"/>
          <w:szCs w:val="20"/>
          <w:color w:val="auto"/>
        </w:rPr>
      </w:pPr>
    </w:p>
    <w:p>
      <w:pPr>
        <w:ind w:right="360" w:firstLine="891"/>
        <w:spacing w:after="0" w:line="266" w:lineRule="auto"/>
        <w:rPr>
          <w:sz w:val="20"/>
          <w:szCs w:val="20"/>
          <w:color w:val="auto"/>
        </w:rPr>
      </w:pPr>
      <w:r>
        <w:rPr>
          <w:rFonts w:ascii="Times New Roman" w:cs="Times New Roman" w:eastAsia="Times New Roman" w:hAnsi="Times New Roman"/>
          <w:sz w:val="18"/>
          <w:szCs w:val="18"/>
          <w:color w:val="auto"/>
        </w:rPr>
        <w:t>We have been monitoring the COVID-19 pandemic as it continues to progress and its potential impact on our business. We have taken important steps to ensure the workplace safety of our employees when working within our laboratory and administrative offices, or when traveling. We have also implemented a vaccination policy and we may take further actions as may be required by federal, state or local authorities.</w:t>
      </w:r>
    </w:p>
    <w:p>
      <w:pPr>
        <w:spacing w:after="0" w:line="203" w:lineRule="exact"/>
        <w:rPr>
          <w:sz w:val="20"/>
          <w:szCs w:val="20"/>
          <w:color w:val="auto"/>
        </w:rPr>
      </w:pPr>
    </w:p>
    <w:p>
      <w:pPr>
        <w:ind w:right="60" w:firstLine="891"/>
        <w:spacing w:after="0" w:line="250" w:lineRule="auto"/>
        <w:rPr>
          <w:sz w:val="20"/>
          <w:szCs w:val="20"/>
          <w:color w:val="auto"/>
        </w:rPr>
      </w:pPr>
      <w:r>
        <w:rPr>
          <w:rFonts w:ascii="Times New Roman" w:cs="Times New Roman" w:eastAsia="Times New Roman" w:hAnsi="Times New Roman"/>
          <w:sz w:val="18"/>
          <w:szCs w:val="18"/>
          <w:color w:val="auto"/>
        </w:rPr>
        <w:t>To date, we have been able to continue our key business activities and advance our clinical programs. However, in the future, it is possible that our clinical development timelines and business plans could be adversely affected. We maintain regular communication with our vendors and clinical sites to appropriately plan for, and mitigate, the impact of the COVID-19 pandemic on our operations. While the pandemic has begun to subside, the ultimate effect from this pandemic on our development timelines for TP-03 and our other product candidates is inherently uncertain.</w:t>
      </w:r>
    </w:p>
    <w:p>
      <w:pPr>
        <w:spacing w:after="0" w:line="189" w:lineRule="exact"/>
        <w:rPr>
          <w:sz w:val="20"/>
          <w:szCs w:val="20"/>
          <w:color w:val="auto"/>
        </w:rPr>
      </w:pPr>
    </w:p>
    <w:p>
      <w:pPr>
        <w:ind w:right="240" w:firstLine="891"/>
        <w:spacing w:after="0" w:line="251"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year ended December 31, 2021, filed with the SEC on March 14, 2022 and in this Quarterly Report, for a further discussion of the potential adverse impact of COVID-19 on our business, results of operations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License fees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Collaboration revenue</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0" w:type="dxa"/>
            <w:vAlign w:val="bottom"/>
          </w:tcPr>
          <w:p>
            <w:pPr>
              <w:spacing w:after="0"/>
              <w:rPr>
                <w:sz w:val="1"/>
                <w:szCs w:val="1"/>
                <w:color w:val="auto"/>
              </w:rPr>
            </w:pPr>
          </w:p>
        </w:tc>
      </w:tr>
      <w:tr>
        <w:trPr>
          <w:trHeight w:val="19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license fees and collaboration revenue</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5,323</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operations before other income (expense) and income taxes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(22,906)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(7,201)</w:t>
            </w:r>
          </w:p>
        </w:tc>
        <w:tc>
          <w:tcPr>
            <w:tcW w:w="0" w:type="dxa"/>
            <w:vAlign w:val="bottom"/>
          </w:tcPr>
          <w:p>
            <w:pPr>
              <w:spacing w:after="0"/>
              <w:rPr>
                <w:sz w:val="1"/>
                <w:szCs w:val="1"/>
                <w:color w:val="auto"/>
              </w:rPr>
            </w:pPr>
          </w:p>
        </w:tc>
      </w:tr>
      <w:tr>
        <w:trPr>
          <w:trHeight w:val="19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0" w:type="dxa"/>
            <w:vAlign w:val="bottom"/>
          </w:tcPr>
          <w:p>
            <w:pPr>
              <w:spacing w:after="0"/>
              <w:rPr>
                <w:sz w:val="1"/>
                <w:szCs w:val="1"/>
                <w:color w:val="auto"/>
              </w:rPr>
            </w:pPr>
          </w:p>
        </w:tc>
      </w:tr>
      <w:tr>
        <w:trPr>
          <w:trHeight w:val="213"/>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loss on equity investments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Change in fair value of equity warrants issued by licensee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Benefit for income taxes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3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Fees and Collaboration Revenue</w:t>
      </w:r>
    </w:p>
    <w:p>
      <w:pPr>
        <w:spacing w:after="0" w:line="229" w:lineRule="exact"/>
        <w:rPr>
          <w:sz w:val="20"/>
          <w:szCs w:val="20"/>
          <w:color w:val="auto"/>
        </w:rPr>
      </w:pPr>
    </w:p>
    <w:p>
      <w:pPr>
        <w:ind w:right="140" w:firstLine="891"/>
        <w:spacing w:after="0" w:line="258" w:lineRule="auto"/>
        <w:rPr>
          <w:sz w:val="20"/>
          <w:szCs w:val="20"/>
          <w:color w:val="auto"/>
        </w:rPr>
      </w:pPr>
      <w:r>
        <w:rPr>
          <w:rFonts w:ascii="Times New Roman" w:cs="Times New Roman" w:eastAsia="Times New Roman" w:hAnsi="Times New Roman"/>
          <w:sz w:val="18"/>
          <w:szCs w:val="18"/>
          <w:color w:val="auto"/>
        </w:rPr>
        <w:t xml:space="preserve">For the three months ended September 30, 2022, we had no reported license fees and collaboration revenue under the China Out-License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as there were no contractual milestones achieved or allocated in the current year period. In the prior year period, license fees and collaboration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was $1.2 million, which was attributable to the portion of the contractual milestones that were fully or partially complete by September 30, 2021. These allocated amounts respectively represent the satisfaction of the transfer of license rights to LianBio and the partial completion of clinical-related "performance obligations".</w:t>
      </w:r>
    </w:p>
    <w:p>
      <w:pPr>
        <w:spacing w:after="0" w:line="183" w:lineRule="exact"/>
        <w:rPr>
          <w:sz w:val="20"/>
          <w:szCs w:val="20"/>
          <w:color w:val="auto"/>
        </w:rPr>
      </w:pPr>
    </w:p>
    <w:p>
      <w:pPr>
        <w:jc w:val="both"/>
        <w:ind w:right="220" w:firstLine="891"/>
        <w:spacing w:after="0" w:line="266" w:lineRule="auto"/>
        <w:rPr>
          <w:sz w:val="20"/>
          <w:szCs w:val="20"/>
          <w:color w:val="auto"/>
        </w:rPr>
      </w:pPr>
      <w:r>
        <w:rPr>
          <w:rFonts w:ascii="Times New Roman" w:cs="Times New Roman" w:eastAsia="Times New Roman" w:hAnsi="Times New Roman"/>
          <w:sz w:val="18"/>
          <w:szCs w:val="18"/>
          <w:color w:val="auto"/>
        </w:rPr>
        <w:t xml:space="preserve">We will recognize additional "license fees" and "collaboration revenue" to the extent other events occur, specifically related to (i) milestone achievement of a drug supply agreement execution, (ii) milestone achievement of clinical and regulatory events in the China Territory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and (iii) royalties and milestones from our licensee's product sales of TP-03 in the China Territory.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License Fees and Collaboration Revenue</w:t>
      </w:r>
    </w:p>
    <w:p>
      <w:pPr>
        <w:spacing w:after="0" w:line="216" w:lineRule="exact"/>
        <w:rPr>
          <w:sz w:val="20"/>
          <w:szCs w:val="20"/>
          <w:color w:val="auto"/>
        </w:rPr>
      </w:pPr>
    </w:p>
    <w:p>
      <w:pPr>
        <w:ind w:right="320" w:firstLine="891"/>
        <w:spacing w:after="0" w:line="296" w:lineRule="auto"/>
        <w:rPr>
          <w:sz w:val="20"/>
          <w:szCs w:val="20"/>
          <w:color w:val="auto"/>
        </w:rPr>
      </w:pPr>
      <w:r>
        <w:rPr>
          <w:rFonts w:ascii="Times New Roman" w:cs="Times New Roman" w:eastAsia="Times New Roman" w:hAnsi="Times New Roman"/>
          <w:sz w:val="17"/>
          <w:szCs w:val="17"/>
          <w:color w:val="auto"/>
        </w:rPr>
        <w:t>Cost of license fees and collaboration revenue was $0.1 million for the three months ended September 30, 2021. This amount relates to our contractual payment obligations to our lotilaner licensor, in proportion to our recognized "license fee" and "collaboration revenue" in the same period.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$0.7 million for the three months ended September 30, 2022, as compared to the prior year period. This increase was primarily due to (i) $2.1 million of increased payroll and personnel-related costs (including stock-based compensation) for 23 employee additions period over period to drive our product development initiatives and (ii) $1.3 million of increased regulatory and consulting costs to prepare for potential TP-03 drug commercialization. These increases were partially offset by $2.6 million of decreased clinical and preclinical study costs, primarily related to the completion of our Saturn-2 clinical trial in the first half of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891"/>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$5.3 million for the three months ended September 30, 2022, as compared to the prior year period. The increase was primarily due to (i) $3.1 million of increased payroll and personnel-related costs (including stock-based compensation) for 19 corporate employee additions, period over period, to support our business growth and commercial leadership hires for readiness of our anticipated commercial launch of TP-03 in the second half of 2023, and (ii) $2.3 million of increased marketing-related costs associated with the preparation of our potential TP-03 commercial launch. We expect sales and marketing headcount and associated vendor spend to meaningfully ramp during 2023 as part of our TP-03 commercial launch-related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Other income (expense), net increased by $0.7 million primarily due to (i) $1.1 million of interest income earned on our cash, cash equivalents and marketable securities, (ii) $0.6 million of interest expense on the Credit Facility executed in February 2022, and (iii) $0.3 million change in estimated fair value of the LianBio equity warrants we received as part of our China Out-License in March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for Income Taxes</w:t>
      </w:r>
    </w:p>
    <w:p>
      <w:pPr>
        <w:spacing w:after="0" w:line="229"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We maintain a valuation allowance against our net deferred tax assets as of September 30, 2022 and 2021 due to the uncertainty that such assets will be realized. We evaluate the recoverability of our deferred tax assets on at least an annual basis. For the three months ended September 30, 2022, we recorded a nominal income tax benefit due to the losses we incurred in that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License fees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(39,174)</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Collaboration revenue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56,689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(40,873)</w:t>
            </w:r>
          </w:p>
        </w:tc>
        <w:tc>
          <w:tcPr>
            <w:tcW w:w="0" w:type="dxa"/>
            <w:vAlign w:val="bottom"/>
          </w:tcPr>
          <w:p>
            <w:pPr>
              <w:spacing w:after="0"/>
              <w:rPr>
                <w:sz w:val="1"/>
                <w:szCs w:val="1"/>
                <w:color w:val="auto"/>
              </w:rPr>
            </w:pPr>
          </w:p>
        </w:tc>
      </w:tr>
      <w:tr>
        <w:trPr>
          <w:trHeight w:val="19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license fees and collaboration revenue</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30,316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11,691</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63,467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54,398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9,069</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income from operations before other (expense) income and income taxes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(47,651)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(49,942)</w:t>
            </w:r>
          </w:p>
        </w:tc>
        <w:tc>
          <w:tcPr>
            <w:tcW w:w="0" w:type="dxa"/>
            <w:vAlign w:val="bottom"/>
          </w:tcPr>
          <w:p>
            <w:pPr>
              <w:spacing w:after="0"/>
              <w:rPr>
                <w:sz w:val="1"/>
                <w:szCs w:val="1"/>
                <w:color w:val="auto"/>
              </w:rPr>
            </w:pPr>
          </w:p>
        </w:tc>
      </w:tr>
      <w:tr>
        <w:trPr>
          <w:trHeight w:val="19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0" w:type="dxa"/>
            <w:vAlign w:val="bottom"/>
          </w:tcPr>
          <w:p>
            <w:pPr>
              <w:spacing w:after="0"/>
              <w:rPr>
                <w:sz w:val="1"/>
                <w:szCs w:val="1"/>
                <w:color w:val="auto"/>
              </w:rPr>
            </w:pPr>
          </w:p>
        </w:tc>
      </w:tr>
      <w:tr>
        <w:trPr>
          <w:trHeight w:val="213"/>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loss on equity investments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Change in fair value of equity warrants issued by licensee</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other expense, net</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(49,516)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Fees and Collaboration Revenue</w:t>
      </w:r>
    </w:p>
    <w:p>
      <w:pPr>
        <w:spacing w:after="0" w:line="229"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 xml:space="preserve">License fees and collaboration revenue was $15.8 million for the nine months ended September 30, 2022, attributable to contractual milestones under the China Out-License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to the extent achieved by September 30, 2022. These allocated amounts respectively represent the satisfaction of the transfer of license rights to LianBio and the completion of clinical-related "performance obligations".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60" w:firstLine="891"/>
        <w:spacing w:after="0" w:line="266" w:lineRule="auto"/>
        <w:rPr>
          <w:sz w:val="20"/>
          <w:szCs w:val="20"/>
          <w:color w:val="auto"/>
        </w:rPr>
      </w:pPr>
      <w:r>
        <w:rPr>
          <w:rFonts w:ascii="Times New Roman" w:cs="Times New Roman" w:eastAsia="Times New Roman" w:hAnsi="Times New Roman"/>
          <w:sz w:val="18"/>
          <w:szCs w:val="18"/>
          <w:color w:val="auto"/>
        </w:rPr>
        <w:t>Prior year period revenue was $56.7 million, attributable to the portion of the contractual milestones that were fully or partially complete by September 30, 2021. These allocated amounts represent the satisfaction of the transfer of license rights to LianBio and the partial completion of clinical-related "performance obligations".</w:t>
      </w:r>
    </w:p>
    <w:p>
      <w:pPr>
        <w:spacing w:after="0" w:line="176" w:lineRule="exact"/>
        <w:rPr>
          <w:sz w:val="20"/>
          <w:szCs w:val="20"/>
          <w:color w:val="auto"/>
        </w:rPr>
      </w:pPr>
    </w:p>
    <w:p>
      <w:pPr>
        <w:jc w:val="both"/>
        <w:ind w:right="240" w:firstLine="891"/>
        <w:spacing w:after="0" w:line="266" w:lineRule="auto"/>
        <w:rPr>
          <w:sz w:val="20"/>
          <w:szCs w:val="20"/>
          <w:color w:val="auto"/>
        </w:rPr>
      </w:pPr>
      <w:r>
        <w:rPr>
          <w:rFonts w:ascii="Times New Roman" w:cs="Times New Roman" w:eastAsia="Times New Roman" w:hAnsi="Times New Roman"/>
          <w:sz w:val="18"/>
          <w:szCs w:val="18"/>
          <w:color w:val="auto"/>
        </w:rPr>
        <w:t xml:space="preserve">We will recognize additional "license fees" and "collaboration revenue" to the extent other events occur, specifically related to (i) milestone achievement of a drug supply agreement execution, (ii) milestone achievement of clinical and regulatory events in the China Territory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and (iii) royalties and milestones from our licensee's product sales of TP-03 in the China Territory.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License Fees and Collaboration Revenue</w:t>
      </w:r>
    </w:p>
    <w:p>
      <w:pPr>
        <w:spacing w:after="0" w:line="216" w:lineRule="exact"/>
        <w:rPr>
          <w:sz w:val="20"/>
          <w:szCs w:val="20"/>
          <w:color w:val="auto"/>
        </w:rPr>
      </w:pPr>
    </w:p>
    <w:p>
      <w:pPr>
        <w:jc w:val="both"/>
        <w:ind w:right="200" w:firstLine="891"/>
        <w:spacing w:after="0" w:line="250" w:lineRule="auto"/>
        <w:rPr>
          <w:sz w:val="20"/>
          <w:szCs w:val="20"/>
          <w:color w:val="auto"/>
        </w:rPr>
      </w:pPr>
      <w:r>
        <w:rPr>
          <w:rFonts w:ascii="Times New Roman" w:cs="Times New Roman" w:eastAsia="Times New Roman" w:hAnsi="Times New Roman"/>
          <w:sz w:val="18"/>
          <w:szCs w:val="18"/>
          <w:color w:val="auto"/>
        </w:rPr>
        <w:t>Cost of license fees and collaboration revenue decreased by $1.5 million for the nine months ended September 30, 2022, as compared to the prior year period. These amounts relate to our contractual payment obligations to our Lotilaner licensor, in proportion to our recognized "license fee" and "collaboration revenue" in the same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$1.1 million for the nine months ended September 30, 2022, as compared to the prior year period. The decrease was primarily due to non-recurring costs in the prior year period including (i) a contractual payment in March 2021 through the issuance of 187,500 shares of our common stock (then valued at $5.5 million to extend the period of our September 2020 in-license agreement), and (ii) a contractual payment of $2 million under our January 2019 in-license for the commencement of our Saturn-2 trial. Additionally, clinical trial costs decreased $1.5 million, primarily related to the completion of our Saturn-2 trial during the first half of 2022.</w:t>
      </w:r>
    </w:p>
    <w:p>
      <w:pPr>
        <w:spacing w:after="0" w:line="183"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These decreases were partially offset by (i) $4.7 million of increased payroll and personnel-related costs (including stock-based compensation), for 23 employee additions period-over-period to drive our product development initiatives, (ii) $0.6 million of increased preclinical study costs, (iii) $2.3 million of increased regulatory and consulting costs in preparation of our NDA filing for TP-03, and (iv) $0.2 million of increased product manufacturing and formulation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140" w:firstLine="891"/>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$11.7 million for the nine months ended September 30, 2022, as compared to the prior year period. The increase was primarily due to (i) $7.4 million of increased payroll and personnel-related costs (including stock-based compensation) for 19 corporate employee additions period-over-period to support our business growth and commercial leadership hires for readiness of our anticipated commercial launch of TP-03 in the second half of 2023, and (ii) $4.4 million of increased marketing-related costs for TP-03. We expect sales and marketing headcount and associated vendor spend to meaningfully ramp during 2023 as part of our TP-03 commercial launch-related activities.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Other expense, net decreased by $0.4 million primarily due to (i) $1.3 million of increased interest income earned on our cash, cash equivalents and marketable securities, (ii) $0.7 million change in estimated fair value of the LianBio equity warrants we received as part of our China Out-License in March 2021, and (iii) $0.2 million increase related to miscellaneous items. These decreases to "other expense, net" were partially offset by (i) $1.5 million of interest expense on the Credit Facility executed in February 2022, and (ii) $0.3 million of unrealized losses reported on our LianBio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229"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We maintain a valuation allowance against our net deferred tax assets as of September 30, 2022 and 2021 due to the uncertainty that such assets will be realized. We evaluate the recoverability of our deferred tax assets on at least an annual basis. For the nine months ended September 30, 2022, we recorded a nominal income tax benefit due to the losses we incurred in that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As of September 30, 2022, we had cash, cash equivalents and marketable securities of $226.6 million. Since our inception, our operations have been substantially financed by cash proceeds of private placements of preferred stock, IPO proceeds, China Out-License consideration, Credit Facility draw, and the Follow-On Public Offering.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IPO - October 2020</w:t>
      </w:r>
    </w:p>
    <w:p>
      <w:pPr>
        <w:spacing w:after="0" w:line="229" w:lineRule="exact"/>
        <w:rPr>
          <w:sz w:val="20"/>
          <w:szCs w:val="20"/>
          <w:color w:val="auto"/>
        </w:rPr>
      </w:pPr>
    </w:p>
    <w:p>
      <w:pPr>
        <w:jc w:val="both"/>
        <w:ind w:right="140" w:firstLine="891"/>
        <w:spacing w:after="0" w:line="266" w:lineRule="auto"/>
        <w:rPr>
          <w:sz w:val="20"/>
          <w:szCs w:val="20"/>
          <w:color w:val="auto"/>
        </w:rPr>
      </w:pPr>
      <w:r>
        <w:rPr>
          <w:rFonts w:ascii="Times New Roman" w:cs="Times New Roman" w:eastAsia="Times New Roman" w:hAnsi="Times New Roman"/>
          <w:sz w:val="18"/>
          <w:szCs w:val="18"/>
          <w:color w:val="auto"/>
        </w:rPr>
        <w:t>In connection with our October 2020 IPO, we sold 6,325,000 shares of our common stock (inclusive of the full exercise of the underwriters’ option to purchase 825,000 shares of common stock). After deducting underwriting discounts, commissions and other related expenses, our IPO proceeds were $91.7 million.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Follow-On Public Offering - completed May 2022</w:t>
      </w:r>
    </w:p>
    <w:p>
      <w:pPr>
        <w:spacing w:after="0" w:line="229"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In May 2022, we completed the Follow-On Public Offering. We also granted the underwriters a 30-day option to purchase up to 840,000 additional shares of common stock at the public offering price, less underwriting discounts and commissions. In June 2022, the underwriters partially exercised their option to purchase an additional 289,832 shares of common stock at the offering price of $13.50 per share, before underwriting discounts and commissions. After giving effect to the exercise of the underwriters’ option, we sold 5,889,832 shares for total gross proceeds of $79.5 million, before underwriting discounts, commissions and other estimated offering expenses for total net proceeds received in the second quarter of 2022 of $74.3 million.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China Out-License - executed March 2021</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As of September 30, 2022, we have received $70.0 million of total proceeds in connection with our China Out-License, inclusive of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milestone receipts of $15.0 million in June for the achievement of the Saturn-2 topline primary endpoint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We expect to receive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from the achievement of a China-based clinical development milestone (achieved in November 2022) and $5.0 million from a supply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milestone (expected during the first quarter of 2023), resulting in expected aggregate milestone receipts through the first quarter of 2023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$85.0 million. The remaining $120.0 million of available milestones under this arrangement will potentially be received upon future regulatory and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achievements all within the China Territory.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 executed February 2022</w:t>
      </w:r>
    </w:p>
    <w:p>
      <w:pPr>
        <w:spacing w:after="0" w:line="229" w:lineRule="exact"/>
        <w:rPr>
          <w:sz w:val="20"/>
          <w:szCs w:val="20"/>
          <w:color w:val="auto"/>
        </w:rPr>
      </w:pPr>
    </w:p>
    <w:p>
      <w:pPr>
        <w:ind w:right="160" w:firstLine="891"/>
        <w:spacing w:after="0" w:line="282" w:lineRule="auto"/>
        <w:rPr>
          <w:sz w:val="20"/>
          <w:szCs w:val="20"/>
          <w:color w:val="auto"/>
        </w:rPr>
      </w:pPr>
      <w:r>
        <w:rPr>
          <w:rFonts w:ascii="Times New Roman" w:cs="Times New Roman" w:eastAsia="Times New Roman" w:hAnsi="Times New Roman"/>
          <w:sz w:val="18"/>
          <w:szCs w:val="18"/>
          <w:color w:val="auto"/>
        </w:rPr>
        <w:t>In February 2022, we drew $20.0 million from our Credit Facility with Hercules Capital and Silicon Valley Bank. This $175.0 million Credit Facility has tranched availability as follows:</w:t>
      </w:r>
    </w:p>
    <w:p>
      <w:pPr>
        <w:spacing w:after="0" w:line="162" w:lineRule="exact"/>
        <w:rPr>
          <w:sz w:val="20"/>
          <w:szCs w:val="20"/>
          <w:color w:val="auto"/>
        </w:rPr>
      </w:pPr>
    </w:p>
    <w:p>
      <w:pPr>
        <w:ind w:left="1340" w:hanging="117"/>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million at closing ($20 million drawn and $20.0 million available);</w:t>
      </w:r>
    </w:p>
    <w:p>
      <w:pPr>
        <w:spacing w:after="0" w:line="27" w:lineRule="exact"/>
        <w:rPr>
          <w:rFonts w:ascii="Times New Roman" w:cs="Times New Roman" w:eastAsia="Times New Roman" w:hAnsi="Times New Roman"/>
          <w:sz w:val="18"/>
          <w:szCs w:val="18"/>
          <w:color w:val="auto"/>
        </w:rPr>
      </w:pPr>
    </w:p>
    <w:p>
      <w:pPr>
        <w:ind w:left="1340" w:hanging="117"/>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 upon NDA submission of TP-03 (available with NDA submission announced in September 2022);</w:t>
      </w:r>
    </w:p>
    <w:p>
      <w:pPr>
        <w:spacing w:after="0" w:line="9" w:lineRule="exact"/>
        <w:rPr>
          <w:rFonts w:ascii="Times New Roman" w:cs="Times New Roman" w:eastAsia="Times New Roman" w:hAnsi="Times New Roman"/>
          <w:sz w:val="18"/>
          <w:szCs w:val="18"/>
          <w:color w:val="auto"/>
        </w:rPr>
      </w:pPr>
    </w:p>
    <w:p>
      <w:pPr>
        <w:ind w:left="1340" w:hanging="117"/>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million upon FDA approval of TP-03;</w:t>
      </w:r>
    </w:p>
    <w:p>
      <w:pPr>
        <w:spacing w:after="0" w:line="9" w:lineRule="exact"/>
        <w:rPr>
          <w:rFonts w:ascii="Times New Roman" w:cs="Times New Roman" w:eastAsia="Times New Roman" w:hAnsi="Times New Roman"/>
          <w:sz w:val="18"/>
          <w:szCs w:val="18"/>
          <w:color w:val="auto"/>
        </w:rPr>
      </w:pPr>
    </w:p>
    <w:p>
      <w:pPr>
        <w:ind w:left="1340" w:hanging="117"/>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upon achievement of certain quarterly revenue thresholds; and</w:t>
      </w:r>
    </w:p>
    <w:p>
      <w:pPr>
        <w:spacing w:after="0" w:line="9" w:lineRule="exact"/>
        <w:rPr>
          <w:rFonts w:ascii="Times New Roman" w:cs="Times New Roman" w:eastAsia="Times New Roman" w:hAnsi="Times New Roman"/>
          <w:sz w:val="18"/>
          <w:szCs w:val="18"/>
          <w:color w:val="auto"/>
        </w:rPr>
      </w:pPr>
    </w:p>
    <w:p>
      <w:pPr>
        <w:ind w:left="1340" w:hanging="117"/>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 available with lender approval.</w:t>
      </w:r>
    </w:p>
    <w:p>
      <w:pPr>
        <w:spacing w:after="0" w:line="207"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Capital draws are at our election and are in $5.0 million increments. The Credit Facility includes four-year period of interest-only payments and is extendable for a fifth year to February 2027 maturity, upon our expected achievement of required conditions. We currently have no other financing commitments, such as lines of credit or guarantees.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Runway</w:t>
      </w:r>
    </w:p>
    <w:p>
      <w:pPr>
        <w:spacing w:after="0" w:line="229" w:lineRule="exact"/>
        <w:rPr>
          <w:sz w:val="20"/>
          <w:szCs w:val="20"/>
          <w:color w:val="auto"/>
        </w:rPr>
      </w:pPr>
    </w:p>
    <w:p>
      <w:pPr>
        <w:ind w:right="20" w:firstLine="891"/>
        <w:spacing w:after="0" w:line="266" w:lineRule="auto"/>
        <w:rPr>
          <w:sz w:val="20"/>
          <w:szCs w:val="20"/>
          <w:color w:val="auto"/>
        </w:rPr>
      </w:pPr>
      <w:r>
        <w:rPr>
          <w:rFonts w:ascii="Times New Roman" w:cs="Times New Roman" w:eastAsia="Times New Roman" w:hAnsi="Times New Roman"/>
          <w:sz w:val="18"/>
          <w:szCs w:val="18"/>
          <w:color w:val="auto"/>
        </w:rPr>
        <w:t>Our operating expenditures currently consist of research and development costs (including activities within our preclinical, clinical, regulatory, and drug manufacturing initiatives) and general and administrative costs. Our use of cash is impacted by the timing and extent of payments for each of these activities and other business requirements.</w:t>
      </w:r>
    </w:p>
    <w:p>
      <w:pPr>
        <w:spacing w:after="0" w:line="176"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cash, cash equivalents and marketable securities of $226.6 million as of September 30, 2022 is sufficient to fund our current and planned operations for at least the next twelve months from the date of this filing on Form 10-Q. These funds in combination with additional expected milestone proceeds from our China Out-License of $30.0 million through 2024 ( $10.0 million of which is expected to be received in December 2022 and $5.0 million during the first quarter of</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2023), are expected to provide sufficient capital resources to fund our planned pipeline development, operating expenses, and capital expenditure requirements at least into 2026.</w:t>
      </w:r>
    </w:p>
    <w:p>
      <w:pPr>
        <w:spacing w:after="0" w:line="162"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Our cash runway estimate on revenue and expense assumptions may require future adjustments. Accordingly, we may require additional capital resources earlier than we currently expect. We also anticipate having at least $80.0 million of available capital from our Credit Facility through December 2023 (excluding our $20.0 million draw in February 2022) and an additional $75.0 million of availability through maturity in February 2027.</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243" w:lineRule="exact"/>
        <w:rPr>
          <w:sz w:val="20"/>
          <w:szCs w:val="20"/>
          <w:color w:val="auto"/>
        </w:rPr>
      </w:pPr>
    </w:p>
    <w:p>
      <w:pPr>
        <w:ind w:right="80" w:firstLine="891"/>
        <w:spacing w:after="0"/>
        <w:rPr>
          <w:sz w:val="20"/>
          <w:szCs w:val="20"/>
          <w:color w:val="auto"/>
        </w:rPr>
      </w:pPr>
      <w:r>
        <w:rPr>
          <w:rFonts w:ascii="Times New Roman" w:cs="Times New Roman" w:eastAsia="Times New Roman" w:hAnsi="Times New Roman"/>
          <w:sz w:val="18"/>
          <w:szCs w:val="18"/>
          <w:color w:val="auto"/>
        </w:rPr>
        <w:t>On November 1, 2021, we filed a shelf registration statement on Form S-3 that was declared effective by the SEC on November 5, 2021 (the “Shelf Registration Statement”), which permitted us to offer up to $300.0 million of common stock, preferred stock, debt securities and warrants in one or more offerings and in any combination, including in units from time to time. We have approximately $220 million remaining under our Shelf Registration Statement, after giving effect to the Follow-On Public Offering (but inclusive of the sales agreement prospectus described below). Our Shelf Registration Statement is intended to provide us with additional flexibility to access capital markets for general corporate purposes, which may include working capital, capital expenditures, other corporate expenses and acquisitions of complementary products, technologies, or businesses. We completed the Follow-On Public Offering under this Shelf Registration Statement.</w:t>
      </w:r>
    </w:p>
    <w:p>
      <w:pPr>
        <w:spacing w:after="0" w:line="198" w:lineRule="exact"/>
        <w:rPr>
          <w:sz w:val="20"/>
          <w:szCs w:val="20"/>
          <w:color w:val="auto"/>
        </w:rPr>
      </w:pPr>
    </w:p>
    <w:p>
      <w:pPr>
        <w:ind w:right="100" w:firstLine="891"/>
        <w:spacing w:after="0" w:line="226" w:lineRule="auto"/>
        <w:rPr>
          <w:sz w:val="20"/>
          <w:szCs w:val="20"/>
          <w:color w:val="auto"/>
        </w:rPr>
      </w:pPr>
      <w:r>
        <w:rPr>
          <w:rFonts w:ascii="Times New Roman" w:cs="Times New Roman" w:eastAsia="Times New Roman" w:hAnsi="Times New Roman"/>
          <w:sz w:val="18"/>
          <w:szCs w:val="18"/>
          <w:color w:val="auto"/>
        </w:rPr>
        <w:t>Also, as part of this Shelf Registration Statement, we concurrently filed a sales agreement prospectus covering the sale of up to $100.0 million of our common stock pursuant to an Open Market Sale Agreement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(the “ATM Agreement”) with Jefferies LLC. Through the date of this Form 10-Q filing, we have not sold any shares of our common stock under the ATM Agreement.</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Liquidity Risks</w:t>
      </w:r>
    </w:p>
    <w:p>
      <w:pPr>
        <w:spacing w:after="0" w:line="229" w:lineRule="exact"/>
        <w:rPr>
          <w:sz w:val="20"/>
          <w:szCs w:val="20"/>
          <w:color w:val="auto"/>
        </w:rPr>
      </w:pPr>
    </w:p>
    <w:p>
      <w:pPr>
        <w:ind w:right="200" w:firstLine="891"/>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product sales, though we have recognized revenue and cash receipts from our China Out-License. We do not expect to report any product revenue unless and until we (1) complete development of any of our product candidates; (2) obtain applicable regulatory approvals; and then (3) successfully commercialize our product candidates or enter into other collaborative agreements for our product candidates with third parties. We do not know with certainty when, or if, any of these items will ultimately occur.</w:t>
      </w:r>
    </w:p>
    <w:p>
      <w:pPr>
        <w:spacing w:after="0" w:line="180"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We expect to incur significant operating losses for the foreseeable future, and expect these losses to further increase, as we ramp up our clinical development programs and as we prepare for the potential launch of TP-03. We may also encounter unforeseen expenses, difficulties, complications, delays and other currently unknown factors that could adversely affect our business.</w:t>
      </w:r>
    </w:p>
    <w:p>
      <w:pPr>
        <w:spacing w:after="0" w:line="176" w:lineRule="exact"/>
        <w:rPr>
          <w:sz w:val="20"/>
          <w:szCs w:val="20"/>
          <w:color w:val="auto"/>
        </w:rPr>
      </w:pPr>
    </w:p>
    <w:p>
      <w:pPr>
        <w:ind w:right="260" w:firstLine="891"/>
        <w:spacing w:after="0" w:line="282" w:lineRule="auto"/>
        <w:rPr>
          <w:sz w:val="20"/>
          <w:szCs w:val="20"/>
          <w:color w:val="auto"/>
        </w:rPr>
      </w:pPr>
      <w:r>
        <w:rPr>
          <w:rFonts w:ascii="Times New Roman" w:cs="Times New Roman" w:eastAsia="Times New Roman" w:hAnsi="Times New Roman"/>
          <w:sz w:val="18"/>
          <w:szCs w:val="18"/>
          <w:color w:val="auto"/>
        </w:rPr>
        <w:t>We may require additional capital to fully develop our product candidates and to execute our business strategy. Our requirements of a future capital raise will depend on many factors, including:</w:t>
      </w:r>
    </w:p>
    <w:p>
      <w:pPr>
        <w:spacing w:after="0" w:line="162" w:lineRule="exact"/>
        <w:rPr>
          <w:sz w:val="20"/>
          <w:szCs w:val="20"/>
          <w:color w:val="auto"/>
        </w:rPr>
      </w:pPr>
    </w:p>
    <w:p>
      <w:pPr>
        <w:ind w:left="1020" w:right="200" w:hanging="324"/>
        <w:spacing w:after="0" w:line="282" w:lineRule="auto"/>
        <w:tabs>
          <w:tab w:leader="none" w:pos="10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rate of progress and costs of our drug discovery efforts, preclinical development activities, laboratory testing and clinical trials for our product candidates;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preparing for and undergoing regulatory review of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development and commercial manufacturing activities;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associated with commercializing our product candidates, if they receive marketing approval;</w:t>
      </w:r>
    </w:p>
    <w:p>
      <w:pPr>
        <w:spacing w:after="0" w:line="225" w:lineRule="exact"/>
        <w:rPr>
          <w:rFonts w:ascii="Times New Roman" w:cs="Times New Roman" w:eastAsia="Times New Roman" w:hAnsi="Times New Roman"/>
          <w:sz w:val="18"/>
          <w:szCs w:val="18"/>
          <w:color w:val="auto"/>
        </w:rPr>
      </w:pPr>
    </w:p>
    <w:p>
      <w:pPr>
        <w:ind w:left="1020" w:right="280" w:hanging="324"/>
        <w:spacing w:after="0" w:line="282" w:lineRule="auto"/>
        <w:tabs>
          <w:tab w:leader="none" w:pos="10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should any of our product candidates receive marketing approval;</w:t>
      </w:r>
    </w:p>
    <w:p>
      <w:pPr>
        <w:spacing w:after="0" w:line="161" w:lineRule="exact"/>
        <w:rPr>
          <w:rFonts w:ascii="Times New Roman" w:cs="Times New Roman" w:eastAsia="Times New Roman" w:hAnsi="Times New Roman"/>
          <w:sz w:val="18"/>
          <w:szCs w:val="18"/>
          <w:color w:val="auto"/>
        </w:rPr>
      </w:pPr>
    </w:p>
    <w:p>
      <w:pPr>
        <w:ind w:left="1020" w:right="60" w:hanging="324"/>
        <w:spacing w:after="0" w:line="282" w:lineRule="auto"/>
        <w:tabs>
          <w:tab w:leader="none" w:pos="10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we might have at such time and availability under our Credit Facility;</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300" w:hanging="324"/>
        <w:spacing w:after="0" w:line="282" w:lineRule="auto"/>
        <w:tabs>
          <w:tab w:leader="none" w:pos="10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25" w:lineRule="exact"/>
        <w:rPr>
          <w:rFonts w:ascii="Times New Roman" w:cs="Times New Roman" w:eastAsia="Times New Roman" w:hAnsi="Times New Roman"/>
          <w:sz w:val="18"/>
          <w:szCs w:val="18"/>
          <w:color w:val="auto"/>
        </w:rPr>
      </w:pPr>
    </w:p>
    <w:p>
      <w:pPr>
        <w:ind w:left="1020" w:right="300" w:hanging="324"/>
        <w:spacing w:after="0" w:line="282" w:lineRule="auto"/>
        <w:tabs>
          <w:tab w:leader="none" w:pos="10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various computerized information systems;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COVID-19 on our clinical development or operations;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89"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Statements of 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presented below:</w:t>
      </w:r>
    </w:p>
    <w:p>
      <w:pPr>
        <w:spacing w:after="0" w:line="259"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(38,156)</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15,869</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1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3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Operating Activities</w:t>
      </w:r>
    </w:p>
    <w:p>
      <w:pPr>
        <w:spacing w:after="0" w:line="229"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$38.2 million for the nine months ended September 30, 2022. In this period, we recognized $15.8 million of "license fees" and "collaboration revenue" in connection with our China Out-License, of which we received $15.0 million in June 2022. Our cash payments to vendors totaled $38.4 million and payroll-related cash payments (inclusive of 2021 bonus payouts) totaled $14.0 million. In addition, we made contractual payments of $1.8 million to our lotilaner licensor as required by our in-license agreements.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$15.9 million for the nine months ended September 30, 2021. In this period we recognized $56.7 million of "license fees" and "collaboration revenue" from the China Out-License transaction, of which we received $55.0 million during that period. Our cash payments to vendors totaled $32.6 million and payroll-related cash payments (inclusive of 2021 bonus payouts) totaled $6.9 million. We also made $4.5 million of payments to our lotilaner licensor as required by our in-license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$57.4 million for the nine months ended September 30, 2022, and primarily relates to $57.0 million of purchases of investment securities and $0.4 million of purchases of leasehold improvements for our laboratory and administrative offices and various purchases of office equipment.</w:t>
      </w:r>
    </w:p>
    <w:p>
      <w:pPr>
        <w:spacing w:after="0" w:line="176" w:lineRule="exact"/>
        <w:rPr>
          <w:sz w:val="20"/>
          <w:szCs w:val="20"/>
          <w:color w:val="auto"/>
        </w:rPr>
      </w:pPr>
    </w:p>
    <w:p>
      <w:pPr>
        <w:ind w:right="900" w:firstLine="891"/>
        <w:spacing w:after="0" w:line="312" w:lineRule="auto"/>
        <w:rPr>
          <w:sz w:val="20"/>
          <w:szCs w:val="20"/>
          <w:color w:val="auto"/>
        </w:rPr>
      </w:pPr>
      <w:r>
        <w:rPr>
          <w:rFonts w:ascii="Times New Roman" w:cs="Times New Roman" w:eastAsia="Times New Roman" w:hAnsi="Times New Roman"/>
          <w:sz w:val="17"/>
          <w:szCs w:val="17"/>
          <w:color w:val="auto"/>
        </w:rPr>
        <w:t>Net cash used in investing activities was $0.3 million for the nine months ended September 30, 2021, which consisted of leasehold improvements for our laboratory and administrative offices and various purchases of computer hardware, software, and office equipment.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right="180" w:firstLine="891"/>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$93.7 million for the nine months ended September 30, 2022, and includes (i) $74.4 million of net proceeds from the issuance of common stock upon our Follow-On Public Offering, (ii) $20.0 million of proceeds from our Credit Facility, partially offset by $0.9 million of issuance costs, and (iii) $0.2 million of proceeds from our employee stock purchase plan.</w:t>
      </w:r>
    </w:p>
    <w:p>
      <w:pPr>
        <w:spacing w:after="0" w:line="176" w:lineRule="exact"/>
        <w:rPr>
          <w:sz w:val="20"/>
          <w:szCs w:val="20"/>
          <w:color w:val="auto"/>
        </w:rPr>
      </w:pPr>
    </w:p>
    <w:p>
      <w:pPr>
        <w:ind w:right="200" w:firstLine="891"/>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$0.1 million for the nine months ended September 30, 2021 associated with the proceeds from stock option exercises.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29" w:lineRule="exact"/>
        <w:rPr>
          <w:sz w:val="20"/>
          <w:szCs w:val="20"/>
          <w:color w:val="auto"/>
        </w:rPr>
      </w:pPr>
    </w:p>
    <w:p>
      <w:pPr>
        <w:ind w:right="100" w:firstLine="891"/>
        <w:spacing w:after="0" w:line="250" w:lineRule="auto"/>
        <w:rPr>
          <w:sz w:val="20"/>
          <w:szCs w:val="20"/>
          <w:color w:val="auto"/>
        </w:rPr>
      </w:pPr>
      <w:r>
        <w:rPr>
          <w:rFonts w:ascii="Times New Roman" w:cs="Times New Roman" w:eastAsia="Times New Roman" w:hAnsi="Times New Roman"/>
          <w:sz w:val="18"/>
          <w:szCs w:val="18"/>
          <w:color w:val="auto"/>
        </w:rPr>
        <w:t>The preparation of our Condensed Financial Statements in conformity with GAAP requires management to make estimates and assumptions that affect the amounts reported in the financial statements and notes to the financial statements. Some of those judgments can be subjective and complex, and therefore, actual results could differ materially from those estimates are different assumptions and conditions. A summary of our critical accounting policies is presented in our filed Annual Report on Form 10-K for the year ended December 31, 2021.</w:t>
      </w:r>
    </w:p>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There were no material changes to our previously reported "Critical Accounting Policies" during the nine months ended September 30,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60" w:firstLine="891"/>
        <w:spacing w:after="0" w:line="282" w:lineRule="auto"/>
        <w:rPr>
          <w:sz w:val="20"/>
          <w:szCs w:val="20"/>
          <w:color w:val="auto"/>
        </w:rPr>
      </w:pPr>
      <w:r>
        <w:rPr>
          <w:rFonts w:ascii="Times New Roman" w:cs="Times New Roman" w:eastAsia="Times New Roman" w:hAnsi="Times New Roman"/>
          <w:sz w:val="18"/>
          <w:szCs w:val="18"/>
          <w:color w:val="auto"/>
        </w:rPr>
        <w:t>A description of recent accounting pronouncements that may potentially impact our financial position, results of operations or cash flows are disclosed in the footnote to which each relates within these accompanying Condensed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September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The Jumpstart Our Business Startups Act of 2012 (the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74"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 xml:space="preserve">We will remain an emerging growth company until the </w:t>
      </w:r>
      <w:r>
        <w:rPr>
          <w:rFonts w:ascii="Times New Roman" w:cs="Times New Roman" w:eastAsia="Times New Roman" w:hAnsi="Times New Roman"/>
          <w:sz w:val="18"/>
          <w:szCs w:val="18"/>
          <w:i w:val="1"/>
          <w:iCs w:val="1"/>
          <w:color w:val="auto"/>
        </w:rPr>
        <w:t>earliest of</w:t>
      </w:r>
      <w:r>
        <w:rPr>
          <w:rFonts w:ascii="Times New Roman" w:cs="Times New Roman" w:eastAsia="Times New Roman" w:hAnsi="Times New Roman"/>
          <w:sz w:val="18"/>
          <w:szCs w:val="18"/>
          <w:color w:val="auto"/>
        </w:rPr>
        <w:t xml:space="preserve"> (1) the last day of our first fiscal year (a) following the fifth anniversary of the completion of our IPO, (b) in which we have total annual gross revenues of at least $1.235 billion or (c) in which we are deemed to be a large accelerated filer, which means the market value of our common stock that is held by non-affiliates exceeds $700 million of the prior June 30th and (2) the date on which we have issued more than $1.0 billion in non-convertible debt securities during the prior three-year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September 30, 2022, we had cash, cash equivalents, and marketable securities of $226.6 million, consisting of interest-bearing money market accounts, U.S. Treasury securities, commercial paper and corporate debt securities,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cash equivalents and marketable securities.</w:t>
      </w:r>
    </w:p>
    <w:p>
      <w:pPr>
        <w:spacing w:after="0" w:line="183" w:lineRule="exact"/>
        <w:rPr>
          <w:sz w:val="20"/>
          <w:szCs w:val="20"/>
          <w:color w:val="auto"/>
        </w:rPr>
      </w:pPr>
    </w:p>
    <w:p>
      <w:pPr>
        <w:ind w:right="100" w:firstLine="891"/>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2022, we had $20.0 million of debt principal outstanding. Our Credit Facility bears interest at an annual rate equal to the </w:t>
      </w:r>
      <w:r>
        <w:rPr>
          <w:rFonts w:ascii="Times New Roman" w:cs="Times New Roman" w:eastAsia="Times New Roman" w:hAnsi="Times New Roman"/>
          <w:sz w:val="18"/>
          <w:szCs w:val="18"/>
          <w:i w:val="1"/>
          <w:iCs w:val="1"/>
          <w:color w:val="auto"/>
        </w:rPr>
        <w:t xml:space="preserve">greater of </w:t>
      </w:r>
      <w:r>
        <w:rPr>
          <w:rFonts w:ascii="Times New Roman" w:cs="Times New Roman" w:eastAsia="Times New Roman" w:hAnsi="Times New Roman"/>
          <w:sz w:val="18"/>
          <w:szCs w:val="18"/>
          <w:color w:val="auto"/>
        </w:rPr>
        <w:t>(i) the Wall Street Journal prime rate</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5.20% or (ii) 8.45%. As of September 30, 2022, the resulting coupon interest rate was 11.45%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increased to 12.20% in November 2022). A hypothetical interest rate of 20% would have resulted in reported interest expense of $1.0 million and $3.0 million for the three and nine months ended September 30, 2022, respectively.</w:t>
      </w:r>
    </w:p>
    <w:p>
      <w:pPr>
        <w:spacing w:after="0" w:line="180" w:lineRule="exact"/>
        <w:rPr>
          <w:sz w:val="20"/>
          <w:szCs w:val="20"/>
          <w:color w:val="auto"/>
        </w:rPr>
      </w:pPr>
    </w:p>
    <w:p>
      <w:pPr>
        <w:ind w:right="180" w:firstLine="891"/>
        <w:spacing w:after="0" w:line="266" w:lineRule="auto"/>
        <w:rPr>
          <w:sz w:val="20"/>
          <w:szCs w:val="20"/>
          <w:color w:val="auto"/>
        </w:rPr>
      </w:pPr>
      <w:r>
        <w:rPr>
          <w:rFonts w:ascii="Times New Roman" w:cs="Times New Roman" w:eastAsia="Times New Roman" w:hAnsi="Times New Roman"/>
          <w:sz w:val="18"/>
          <w:szCs w:val="18"/>
          <w:color w:val="auto"/>
        </w:rPr>
        <w:t>Inflation, interest rate changes, and foreign currency exchange rate fluctuations did not have a significant impact on our results of operations for any periods presented herein. However, with further inflationary pressures, certain significant increased costs could have an adverse impact on the results of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firstLine="891"/>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defined in Rules 13a-15(e) and 15d-15(e) under the Exchange Act of 1934, as amended ("Exchange Act")) as of the end of the period covered by this report. Based upon that evaluation, our Chief Executive Officer and Chief Financial Officer concluded that, as of the end of the period covered by this report,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jc w:val="both"/>
        <w:ind w:right="100" w:firstLine="891"/>
        <w:spacing w:after="0" w:line="250"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to the risk factors included in our Annual Report on Form 10-K for the year ended December 31, 2021, as filed with the SEC on March 14, 2022, as updated by our Quarterly Report on Form 10-Q for the quarter ended March 31, 2022, filed on May 11,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w:t>
      </w:r>
    </w:p>
    <w:p>
      <w:pPr>
        <w:spacing w:after="0" w:line="243" w:lineRule="exact"/>
        <w:rPr>
          <w:sz w:val="20"/>
          <w:szCs w:val="20"/>
          <w:color w:val="auto"/>
        </w:rPr>
      </w:pPr>
    </w:p>
    <w:p>
      <w:pPr>
        <w:ind w:right="80" w:firstLine="891"/>
        <w:spacing w:after="0" w:line="250"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the Registration Statement on Form S-1 (File No. 333-249076), declared effective by the SEC on October 15, 2020, and the related final prospectus, dated October 15, 2020, filed with the SEC on October 16, 2020, pursuant to Rule 424(b) of the Securities Act of 1933, as amended.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720" w:type="dxa"/>
            <w:vAlign w:val="bottom"/>
          </w:tcPr>
          <w:p>
            <w:pPr>
              <w:spacing w:after="0"/>
              <w:rPr>
                <w:sz w:val="13"/>
                <w:szCs w:val="13"/>
                <w:color w:val="auto"/>
              </w:rPr>
            </w:pPr>
          </w:p>
        </w:tc>
        <w:tc>
          <w:tcPr>
            <w:tcW w:w="9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1000" w:type="dxa"/>
            <w:vAlign w:val="bottom"/>
            <w:gridSpan w:val="2"/>
            <w:vMerge w:val="continue"/>
          </w:tcPr>
          <w:p>
            <w:pPr>
              <w:spacing w:after="0"/>
              <w:rPr>
                <w:sz w:val="12"/>
                <w:szCs w:val="12"/>
                <w:color w:val="auto"/>
              </w:rPr>
            </w:pPr>
          </w:p>
        </w:tc>
        <w:tc>
          <w:tcPr>
            <w:tcW w:w="4500" w:type="dxa"/>
            <w:vAlign w:val="bottom"/>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6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7"/>
                <w:szCs w:val="17"/>
                <w:color w:val="auto"/>
              </w:rPr>
            </w:pPr>
          </w:p>
        </w:tc>
        <w:tc>
          <w:tcPr>
            <w:tcW w:w="4500" w:type="dxa"/>
            <w:vAlign w:val="bottom"/>
            <w:tcBorders>
              <w:bottom w:val="single" w:sz="8" w:color="auto"/>
            </w:tcBorders>
            <w:vMerge w:val="continue"/>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w:t>
            </w:r>
          </w:p>
        </w:tc>
      </w:tr>
      <w:tr>
        <w:trPr>
          <w:trHeight w:val="142"/>
        </w:trPr>
        <w:tc>
          <w:tcPr>
            <w:tcW w:w="1000" w:type="dxa"/>
            <w:vAlign w:val="bottom"/>
          </w:tcPr>
          <w:p>
            <w:pPr>
              <w:spacing w:after="0"/>
              <w:rPr>
                <w:sz w:val="12"/>
                <w:szCs w:val="12"/>
                <w:color w:val="auto"/>
              </w:rPr>
            </w:pPr>
          </w:p>
        </w:tc>
        <w:tc>
          <w:tcPr>
            <w:tcW w:w="528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14(a) under the Securities Exchange Act of 1934, as Adopted Pursuant to Section</w:t>
            </w:r>
          </w:p>
        </w:tc>
        <w:tc>
          <w:tcPr>
            <w:tcW w:w="30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6"/>
                <w:szCs w:val="16"/>
                <w:color w:val="0000FF"/>
              </w:rPr>
              <w:t>302</w:t>
            </w:r>
          </w:p>
        </w:tc>
      </w:tr>
      <w:tr>
        <w:trPr>
          <w:trHeight w:val="142"/>
        </w:trPr>
        <w:tc>
          <w:tcPr>
            <w:tcW w:w="1000" w:type="dxa"/>
            <w:vAlign w:val="bottom"/>
          </w:tcPr>
          <w:p>
            <w:pPr>
              <w:spacing w:after="0"/>
              <w:rPr>
                <w:sz w:val="12"/>
                <w:szCs w:val="12"/>
                <w:color w:val="auto"/>
              </w:rPr>
            </w:pPr>
          </w:p>
        </w:tc>
        <w:tc>
          <w:tcPr>
            <w:tcW w:w="556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20" w:type="dxa"/>
            <w:vAlign w:val="bottom"/>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w:t>
            </w:r>
          </w:p>
        </w:tc>
      </w:tr>
      <w:tr>
        <w:trPr>
          <w:trHeight w:val="142"/>
        </w:trPr>
        <w:tc>
          <w:tcPr>
            <w:tcW w:w="1000" w:type="dxa"/>
            <w:vAlign w:val="bottom"/>
          </w:tcPr>
          <w:p>
            <w:pPr>
              <w:spacing w:after="0"/>
              <w:rPr>
                <w:sz w:val="12"/>
                <w:szCs w:val="12"/>
                <w:color w:val="auto"/>
              </w:rPr>
            </w:pPr>
          </w:p>
        </w:tc>
        <w:tc>
          <w:tcPr>
            <w:tcW w:w="524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14(a) under the Securities Exchange Act of 1934, as Adopted Pursuant to Section</w:t>
            </w:r>
          </w:p>
        </w:tc>
        <w:tc>
          <w:tcPr>
            <w:tcW w:w="340" w:type="dxa"/>
            <w:vAlign w:val="bottom"/>
            <w:gridSpan w:val="5"/>
          </w:tcPr>
          <w:p>
            <w:pPr>
              <w:jc w:val="right"/>
              <w:ind w:right="20"/>
              <w:spacing w:after="0" w:line="142" w:lineRule="exact"/>
              <w:rPr>
                <w:sz w:val="20"/>
                <w:szCs w:val="20"/>
                <w:color w:val="auto"/>
              </w:rPr>
            </w:pPr>
            <w:r>
              <w:rPr>
                <w:rFonts w:ascii="Times New Roman" w:cs="Times New Roman" w:eastAsia="Times New Roman" w:hAnsi="Times New Roman"/>
                <w:sz w:val="16"/>
                <w:szCs w:val="16"/>
                <w:color w:val="0000FF"/>
              </w:rPr>
              <w:t>302</w:t>
            </w:r>
          </w:p>
        </w:tc>
      </w:tr>
      <w:tr>
        <w:trPr>
          <w:trHeight w:val="142"/>
        </w:trPr>
        <w:tc>
          <w:tcPr>
            <w:tcW w:w="1000" w:type="dxa"/>
            <w:vAlign w:val="bottom"/>
          </w:tcPr>
          <w:p>
            <w:pPr>
              <w:spacing w:after="0"/>
              <w:rPr>
                <w:sz w:val="12"/>
                <w:szCs w:val="12"/>
                <w:color w:val="auto"/>
              </w:rPr>
            </w:pPr>
          </w:p>
        </w:tc>
        <w:tc>
          <w:tcPr>
            <w:tcW w:w="556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20" w:type="dxa"/>
            <w:vAlign w:val="bottom"/>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w:t>
            </w:r>
          </w:p>
        </w:tc>
      </w:tr>
      <w:tr>
        <w:trPr>
          <w:trHeight w:val="142"/>
        </w:trPr>
        <w:tc>
          <w:tcPr>
            <w:tcW w:w="1000" w:type="dxa"/>
            <w:vAlign w:val="bottom"/>
          </w:tcPr>
          <w:p>
            <w:pPr>
              <w:spacing w:after="0"/>
              <w:rPr>
                <w:sz w:val="12"/>
                <w:szCs w:val="12"/>
                <w:color w:val="auto"/>
              </w:rPr>
            </w:pPr>
          </w:p>
        </w:tc>
        <w:tc>
          <w:tcPr>
            <w:tcW w:w="450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 2002.</w:t>
            </w:r>
          </w:p>
        </w:tc>
        <w:tc>
          <w:tcPr>
            <w:tcW w:w="880" w:type="dxa"/>
            <w:vAlign w:val="bottom"/>
            <w:tcBorders>
              <w:top w:val="single" w:sz="8" w:color="0000FF"/>
            </w:tcBorders>
            <w:gridSpan w:val="4"/>
          </w:tcPr>
          <w:p>
            <w:pPr>
              <w:spacing w:after="0"/>
              <w:rPr>
                <w:sz w:val="12"/>
                <w:szCs w:val="12"/>
                <w:color w:val="auto"/>
              </w:rPr>
            </w:pPr>
          </w:p>
        </w:tc>
        <w:tc>
          <w:tcPr>
            <w:tcW w:w="200" w:type="dxa"/>
            <w:vAlign w:val="bottom"/>
            <w:gridSpan w:val="2"/>
          </w:tcPr>
          <w:p>
            <w:pPr>
              <w:spacing w:after="0"/>
              <w:rPr>
                <w:sz w:val="12"/>
                <w:szCs w:val="12"/>
                <w:color w:val="auto"/>
              </w:rPr>
            </w:pPr>
          </w:p>
        </w:tc>
      </w:tr>
      <w:tr>
        <w:trPr>
          <w:trHeight w:val="19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as</w:t>
            </w:r>
          </w:p>
        </w:tc>
      </w:tr>
      <w:tr>
        <w:trPr>
          <w:trHeight w:val="142"/>
        </w:trPr>
        <w:tc>
          <w:tcPr>
            <w:tcW w:w="1000" w:type="dxa"/>
            <w:vAlign w:val="bottom"/>
          </w:tcPr>
          <w:p>
            <w:pPr>
              <w:spacing w:after="0"/>
              <w:rPr>
                <w:sz w:val="12"/>
                <w:szCs w:val="12"/>
                <w:color w:val="auto"/>
              </w:rPr>
            </w:pPr>
          </w:p>
        </w:tc>
        <w:tc>
          <w:tcPr>
            <w:tcW w:w="450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 2002.</w:t>
            </w:r>
          </w:p>
        </w:tc>
        <w:tc>
          <w:tcPr>
            <w:tcW w:w="840" w:type="dxa"/>
            <w:vAlign w:val="bottom"/>
            <w:tcBorders>
              <w:top w:val="single" w:sz="8" w:color="0000FF"/>
            </w:tcBorders>
            <w:gridSpan w:val="3"/>
          </w:tcPr>
          <w:p>
            <w:pPr>
              <w:spacing w:after="0"/>
              <w:rPr>
                <w:sz w:val="12"/>
                <w:szCs w:val="12"/>
                <w:color w:val="auto"/>
              </w:rPr>
            </w:pPr>
          </w:p>
        </w:tc>
        <w:tc>
          <w:tcPr>
            <w:tcW w:w="240" w:type="dxa"/>
            <w:vAlign w:val="bottom"/>
            <w:gridSpan w:val="3"/>
          </w:tcPr>
          <w:p>
            <w:pPr>
              <w:spacing w:after="0"/>
              <w:rPr>
                <w:sz w:val="12"/>
                <w:szCs w:val="12"/>
                <w:color w:val="auto"/>
              </w:rPr>
            </w:pPr>
          </w:p>
        </w:tc>
      </w:tr>
      <w:tr>
        <w:trPr>
          <w:trHeight w:val="183"/>
        </w:trPr>
        <w:tc>
          <w:tcPr>
            <w:tcW w:w="10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101.INS</w:t>
            </w:r>
          </w:p>
        </w:tc>
        <w:tc>
          <w:tcPr>
            <w:tcW w:w="55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r>
      <w:tr>
        <w:trPr>
          <w:trHeight w:val="162"/>
        </w:trPr>
        <w:tc>
          <w:tcPr>
            <w:tcW w:w="1000" w:type="dxa"/>
            <w:vAlign w:val="bottom"/>
          </w:tcPr>
          <w:p>
            <w:pPr>
              <w:spacing w:after="0"/>
              <w:rPr>
                <w:sz w:val="14"/>
                <w:szCs w:val="14"/>
                <w:color w:val="auto"/>
              </w:rPr>
            </w:pPr>
          </w:p>
        </w:tc>
        <w:tc>
          <w:tcPr>
            <w:tcW w:w="558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 XBRL</w:t>
            </w:r>
          </w:p>
        </w:tc>
      </w:tr>
      <w:tr>
        <w:trPr>
          <w:trHeight w:val="210"/>
        </w:trPr>
        <w:tc>
          <w:tcPr>
            <w:tcW w:w="1000" w:type="dxa"/>
            <w:vAlign w:val="bottom"/>
          </w:tcPr>
          <w:p>
            <w:pPr>
              <w:spacing w:after="0"/>
              <w:rPr>
                <w:sz w:val="18"/>
                <w:szCs w:val="18"/>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bl>
    <w:p>
      <w:pPr>
        <w:spacing w:after="0" w:line="6" w:lineRule="exact"/>
        <w:rPr>
          <w:sz w:val="20"/>
          <w:szCs w:val="20"/>
          <w:color w:val="auto"/>
        </w:rPr>
      </w:pPr>
    </w:p>
    <w:p>
      <w:pPr>
        <w:ind w:left="1020" w:right="3460" w:hanging="994"/>
        <w:spacing w:after="0" w:line="245" w:lineRule="auto"/>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20" w:lineRule="exact"/>
        <w:rPr>
          <w:sz w:val="20"/>
          <w:szCs w:val="20"/>
          <w:color w:val="auto"/>
        </w:rPr>
      </w:pPr>
    </w:p>
    <w:p>
      <w:pPr>
        <w:sectPr>
          <w:pgSz w:w="11900" w:h="16838" w:orient="portrait"/>
          <w:cols w:equalWidth="0" w:num="2">
            <w:col w:w="10020" w:space="720"/>
            <w:col w:w="500"/>
          </w:cols>
          <w:pgMar w:left="320" w:top="121" w:right="339" w:bottom="1440" w:gutter="0" w:footer="0" w:header="0"/>
          <w:type w:val="continuous"/>
        </w:sectPr>
      </w:pPr>
    </w:p>
    <w:p>
      <w:pPr>
        <w:ind w:left="680" w:right="220" w:hanging="654"/>
        <w:spacing w:after="0" w:line="227" w:lineRule="auto"/>
        <w:tabs>
          <w:tab w:leader="none" w:pos="6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32.2 that accompany this Quarterly Report on Form 10-Q are not deemed filed with the Securities and Exchange Commission and are not to be incorporated by reference into any filing of Tarsus Pharmaceuticals,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460"/>
        <w:spacing w:after="0"/>
        <w:tabs>
          <w:tab w:leader="none" w:pos="2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60"/>
        <w:spacing w:after="0"/>
        <w:tabs>
          <w:tab w:leader="none" w:pos="2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9,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3775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Bobak Azamian, M.D.,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Leonard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3775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Leonard M. Greenstein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200" w:lineRule="exact"/>
        <w:rPr>
          <w:sz w:val="20"/>
          <w:szCs w:val="20"/>
          <w:color w:val="auto"/>
        </w:rPr>
      </w:pPr>
    </w:p>
    <w:p>
      <w:pPr>
        <w:sectPr>
          <w:pgSz w:w="11900" w:h="16838" w:orient="portrait"/>
          <w:cols w:equalWidth="0" w:num="2">
            <w:col w:w="5220" w:space="720"/>
            <w:col w:w="5240"/>
          </w:cols>
          <w:pgMar w:left="320" w:top="12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80"/>
          </w:cols>
          <w:pgMar w:left="320" w:top="121" w:right="399" w:bottom="1440" w:gutter="0" w:footer="0" w:header="0"/>
          <w:type w:val="continuous"/>
        </w:sectPr>
      </w:pPr>
    </w:p>
    <w:bookmarkStart w:id="43" w:name="page44"/>
    <w:bookmarkEnd w:id="4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CERTIFICATION PURSUANT TO</w:t>
      </w:r>
    </w:p>
    <w:p>
      <w:pPr>
        <w:ind w:left="2560"/>
        <w:spacing w:after="0" w:line="235" w:lineRule="auto"/>
        <w:rPr>
          <w:sz w:val="20"/>
          <w:szCs w:val="20"/>
          <w:color w:val="auto"/>
        </w:rPr>
      </w:pPr>
      <w:r>
        <w:rPr>
          <w:rFonts w:ascii="Times New Roman" w:cs="Times New Roman" w:eastAsia="Times New Roman" w:hAnsi="Times New Roman"/>
          <w:sz w:val="16"/>
          <w:szCs w:val="16"/>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6"/>
          <w:szCs w:val="16"/>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Bobak Azamian, M.D., Ph.D., certify that: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2"/>
              </w:rPr>
              <w:t>1.</w:t>
            </w:r>
          </w:p>
        </w:tc>
        <w:tc>
          <w:tcPr>
            <w:tcW w:w="10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 have reviewed this Quarterly Report on Form 10-Q of Tarsus Pharmaceuticals, Inc;</w:t>
            </w:r>
          </w:p>
        </w:tc>
      </w:tr>
      <w:tr>
        <w:trPr>
          <w:trHeight w:val="222"/>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2"/>
              </w:rPr>
              <w:t>2.</w:t>
            </w:r>
          </w:p>
        </w:tc>
        <w:tc>
          <w:tcPr>
            <w:tcW w:w="10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w:t>
            </w:r>
          </w:p>
        </w:tc>
      </w:tr>
      <w:tr>
        <w:trPr>
          <w:trHeight w:val="210"/>
        </w:trPr>
        <w:tc>
          <w:tcPr>
            <w:tcW w:w="140" w:type="dxa"/>
            <w:vAlign w:val="bottom"/>
          </w:tcPr>
          <w:p>
            <w:pPr>
              <w:spacing w:after="0"/>
              <w:rPr>
                <w:sz w:val="18"/>
                <w:szCs w:val="18"/>
                <w:color w:val="auto"/>
              </w:rPr>
            </w:pPr>
          </w:p>
        </w:tc>
        <w:tc>
          <w:tcPr>
            <w:tcW w:w="10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light of the circumstances under which such statements were made, not misleading with respect to the period covered by this report;</w:t>
            </w:r>
          </w:p>
        </w:tc>
      </w:tr>
    </w:tbl>
    <w:p>
      <w:pPr>
        <w:spacing w:after="0" w:line="19" w:lineRule="exact"/>
        <w:rPr>
          <w:sz w:val="20"/>
          <w:szCs w:val="20"/>
          <w:color w:val="auto"/>
        </w:rPr>
      </w:pPr>
    </w:p>
    <w:p>
      <w:pPr>
        <w:ind w:left="340" w:right="320" w:hanging="332"/>
        <w:spacing w:after="0" w:line="258" w:lineRule="auto"/>
        <w:tabs>
          <w:tab w:leader="none" w:pos="17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80" w:hanging="172"/>
        <w:spacing w:after="0" w:line="228" w:lineRule="auto"/>
        <w:tabs>
          <w:tab w:leader="none" w:pos="1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6"/>
          <w:szCs w:val="16"/>
          <w:color w:val="auto"/>
        </w:rPr>
      </w:pPr>
    </w:p>
    <w:p>
      <w:pPr>
        <w:ind w:left="1460" w:right="220" w:hanging="318"/>
        <w:spacing w:after="0" w:line="254" w:lineRule="auto"/>
        <w:tabs>
          <w:tab w:leader="none" w:pos="1356"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6"/>
          <w:szCs w:val="16"/>
          <w:color w:val="auto"/>
        </w:rPr>
      </w:pPr>
    </w:p>
    <w:p>
      <w:pPr>
        <w:ind w:left="1460" w:right="20" w:hanging="318"/>
        <w:spacing w:after="0" w:line="263" w:lineRule="auto"/>
        <w:tabs>
          <w:tab w:leader="none" w:pos="1379"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6"/>
          <w:szCs w:val="16"/>
          <w:color w:val="auto"/>
        </w:rPr>
      </w:pPr>
    </w:p>
    <w:p>
      <w:pPr>
        <w:ind w:left="1460" w:right="80" w:hanging="318"/>
        <w:spacing w:after="0" w:line="298" w:lineRule="auto"/>
        <w:tabs>
          <w:tab w:leader="none" w:pos="137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sz w:val="20"/>
          <w:szCs w:val="20"/>
          <w:color w:val="auto"/>
        </w:rPr>
      </w:pPr>
    </w:p>
    <w:p>
      <w:pPr>
        <w:ind w:left="1460" w:right="40" w:hanging="323"/>
        <w:spacing w:after="0" w:line="283"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w:t>
      </w:r>
      <w:r>
        <w:rPr>
          <w:sz w:val="20"/>
          <w:szCs w:val="20"/>
          <w:color w:val="auto"/>
        </w:rPr>
        <w:t xml:space="preserve"> </w:t>
      </w:r>
      <w:r>
        <w:rPr>
          <w:rFonts w:ascii="Times New Roman" w:cs="Times New Roman" w:eastAsia="Times New Roman" w:hAnsi="Times New Roman"/>
          <w:sz w:val="16"/>
          <w:szCs w:val="16"/>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5" w:lineRule="exact"/>
        <w:rPr>
          <w:sz w:val="20"/>
          <w:szCs w:val="20"/>
          <w:color w:val="auto"/>
        </w:rPr>
      </w:pPr>
    </w:p>
    <w:p>
      <w:pPr>
        <w:ind w:left="340" w:right="60" w:hanging="332"/>
        <w:spacing w:after="0" w:line="298" w:lineRule="auto"/>
        <w:tabs>
          <w:tab w:leader="none" w:pos="19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Times New Roman" w:cs="Times New Roman" w:eastAsia="Times New Roman" w:hAnsi="Times New Roman"/>
          <w:sz w:val="16"/>
          <w:szCs w:val="16"/>
          <w:color w:val="auto"/>
        </w:rPr>
      </w:pPr>
    </w:p>
    <w:p>
      <w:pPr>
        <w:ind w:left="1460" w:hanging="318"/>
        <w:spacing w:after="0" w:line="280" w:lineRule="auto"/>
        <w:tabs>
          <w:tab w:leader="none" w:pos="137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460" w:right="220" w:hanging="318"/>
        <w:spacing w:after="0" w:line="280" w:lineRule="auto"/>
        <w:tabs>
          <w:tab w:leader="none" w:pos="1379"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73" w:lineRule="exact"/>
        <w:rPr>
          <w:sz w:val="20"/>
          <w:szCs w:val="20"/>
          <w:color w:val="auto"/>
        </w:rPr>
      </w:pPr>
    </w:p>
    <w:p>
      <w:pPr>
        <w:ind w:left="40"/>
        <w:spacing w:after="0"/>
        <w:tabs>
          <w:tab w:leader="none" w:pos="5680" w:val="left"/>
          <w:tab w:leader="none" w:pos="7520" w:val="left"/>
        </w:tabs>
        <w:rPr>
          <w:sz w:val="20"/>
          <w:szCs w:val="20"/>
          <w:color w:val="auto"/>
        </w:rPr>
      </w:pPr>
      <w:r>
        <w:rPr>
          <w:rFonts w:ascii="Times New Roman" w:cs="Times New Roman" w:eastAsia="Times New Roman" w:hAnsi="Times New Roman"/>
          <w:sz w:val="16"/>
          <w:szCs w:val="16"/>
          <w:color w:val="auto"/>
        </w:rPr>
        <w:t>Date: November 9,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37465</wp:posOffset>
            </wp:positionV>
            <wp:extent cx="33604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6"/>
          <w:szCs w:val="16"/>
          <w:color w:val="auto"/>
        </w:rPr>
        <w:t>Bobak Azamian, M.D., Ph.D.</w:t>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5"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1406"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CERTIFICATION PURSUANT TO</w:t>
      </w:r>
    </w:p>
    <w:p>
      <w:pPr>
        <w:ind w:left="2560"/>
        <w:spacing w:after="0" w:line="235" w:lineRule="auto"/>
        <w:rPr>
          <w:sz w:val="20"/>
          <w:szCs w:val="20"/>
          <w:color w:val="auto"/>
        </w:rPr>
      </w:pPr>
      <w:r>
        <w:rPr>
          <w:rFonts w:ascii="Times New Roman" w:cs="Times New Roman" w:eastAsia="Times New Roman" w:hAnsi="Times New Roman"/>
          <w:sz w:val="16"/>
          <w:szCs w:val="16"/>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6"/>
          <w:szCs w:val="16"/>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Leo M. Greenstein, certify that: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2"/>
              </w:rPr>
              <w:t>1.</w:t>
            </w:r>
          </w:p>
        </w:tc>
        <w:tc>
          <w:tcPr>
            <w:tcW w:w="10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 have reviewed this Quarterly Report on Form 10-Q of Tarsus Pharmaceuticals, Inc;</w:t>
            </w:r>
          </w:p>
        </w:tc>
      </w:tr>
      <w:tr>
        <w:trPr>
          <w:trHeight w:val="222"/>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2"/>
              </w:rPr>
              <w:t>2.</w:t>
            </w:r>
          </w:p>
        </w:tc>
        <w:tc>
          <w:tcPr>
            <w:tcW w:w="10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w:t>
            </w:r>
          </w:p>
        </w:tc>
      </w:tr>
      <w:tr>
        <w:trPr>
          <w:trHeight w:val="210"/>
        </w:trPr>
        <w:tc>
          <w:tcPr>
            <w:tcW w:w="140" w:type="dxa"/>
            <w:vAlign w:val="bottom"/>
          </w:tcPr>
          <w:p>
            <w:pPr>
              <w:spacing w:after="0"/>
              <w:rPr>
                <w:sz w:val="18"/>
                <w:szCs w:val="18"/>
                <w:color w:val="auto"/>
              </w:rPr>
            </w:pPr>
          </w:p>
        </w:tc>
        <w:tc>
          <w:tcPr>
            <w:tcW w:w="10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light of the circumstances under which such statements were made, not misleading with respect to the period covered by this report;</w:t>
            </w:r>
          </w:p>
        </w:tc>
      </w:tr>
    </w:tbl>
    <w:p>
      <w:pPr>
        <w:spacing w:after="0" w:line="19" w:lineRule="exact"/>
        <w:rPr>
          <w:sz w:val="20"/>
          <w:szCs w:val="20"/>
          <w:color w:val="auto"/>
        </w:rPr>
      </w:pPr>
    </w:p>
    <w:p>
      <w:pPr>
        <w:ind w:left="340" w:right="320" w:hanging="332"/>
        <w:spacing w:after="0" w:line="258" w:lineRule="auto"/>
        <w:tabs>
          <w:tab w:leader="none" w:pos="17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80" w:hanging="172"/>
        <w:spacing w:after="0" w:line="228" w:lineRule="auto"/>
        <w:tabs>
          <w:tab w:leader="none" w:pos="1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6"/>
          <w:szCs w:val="16"/>
          <w:color w:val="auto"/>
        </w:rPr>
      </w:pPr>
    </w:p>
    <w:p>
      <w:pPr>
        <w:ind w:left="1460" w:right="220" w:hanging="318"/>
        <w:spacing w:after="0" w:line="254" w:lineRule="auto"/>
        <w:tabs>
          <w:tab w:leader="none" w:pos="1356"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6"/>
          <w:szCs w:val="16"/>
          <w:color w:val="auto"/>
        </w:rPr>
      </w:pPr>
    </w:p>
    <w:p>
      <w:pPr>
        <w:ind w:left="1460" w:right="20" w:hanging="318"/>
        <w:spacing w:after="0" w:line="263" w:lineRule="auto"/>
        <w:tabs>
          <w:tab w:leader="none" w:pos="1379"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6"/>
          <w:szCs w:val="16"/>
          <w:color w:val="auto"/>
        </w:rPr>
      </w:pPr>
    </w:p>
    <w:p>
      <w:pPr>
        <w:ind w:left="1460" w:right="80" w:hanging="318"/>
        <w:spacing w:after="0" w:line="298" w:lineRule="auto"/>
        <w:tabs>
          <w:tab w:leader="none" w:pos="137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sz w:val="20"/>
          <w:szCs w:val="20"/>
          <w:color w:val="auto"/>
        </w:rPr>
      </w:pPr>
    </w:p>
    <w:p>
      <w:pPr>
        <w:ind w:left="1460" w:right="40" w:hanging="323"/>
        <w:spacing w:after="0" w:line="283"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w:t>
      </w:r>
      <w:r>
        <w:rPr>
          <w:sz w:val="20"/>
          <w:szCs w:val="20"/>
          <w:color w:val="auto"/>
        </w:rPr>
        <w:t xml:space="preserve"> </w:t>
      </w:r>
      <w:r>
        <w:rPr>
          <w:rFonts w:ascii="Times New Roman" w:cs="Times New Roman" w:eastAsia="Times New Roman" w:hAnsi="Times New Roman"/>
          <w:sz w:val="16"/>
          <w:szCs w:val="16"/>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5" w:lineRule="exact"/>
        <w:rPr>
          <w:sz w:val="20"/>
          <w:szCs w:val="20"/>
          <w:color w:val="auto"/>
        </w:rPr>
      </w:pPr>
    </w:p>
    <w:p>
      <w:pPr>
        <w:ind w:left="340" w:right="60" w:hanging="332"/>
        <w:spacing w:after="0" w:line="298" w:lineRule="auto"/>
        <w:tabs>
          <w:tab w:leader="none" w:pos="19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Times New Roman" w:cs="Times New Roman" w:eastAsia="Times New Roman" w:hAnsi="Times New Roman"/>
          <w:sz w:val="16"/>
          <w:szCs w:val="16"/>
          <w:color w:val="auto"/>
        </w:rPr>
      </w:pPr>
    </w:p>
    <w:p>
      <w:pPr>
        <w:ind w:left="1460" w:hanging="318"/>
        <w:spacing w:after="0" w:line="280" w:lineRule="auto"/>
        <w:tabs>
          <w:tab w:leader="none" w:pos="137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460" w:right="220" w:hanging="318"/>
        <w:spacing w:after="0" w:line="280" w:lineRule="auto"/>
        <w:tabs>
          <w:tab w:leader="none" w:pos="1379"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73" w:lineRule="exact"/>
        <w:rPr>
          <w:sz w:val="20"/>
          <w:szCs w:val="20"/>
          <w:color w:val="auto"/>
        </w:rPr>
      </w:pPr>
    </w:p>
    <w:p>
      <w:pPr>
        <w:ind w:left="40"/>
        <w:spacing w:after="0"/>
        <w:tabs>
          <w:tab w:leader="none" w:pos="5680" w:val="left"/>
          <w:tab w:leader="none" w:pos="7880" w:val="left"/>
        </w:tabs>
        <w:rPr>
          <w:sz w:val="20"/>
          <w:szCs w:val="20"/>
          <w:color w:val="auto"/>
        </w:rPr>
      </w:pPr>
      <w:r>
        <w:rPr>
          <w:rFonts w:ascii="Times New Roman" w:cs="Times New Roman" w:eastAsia="Times New Roman" w:hAnsi="Times New Roman"/>
          <w:sz w:val="16"/>
          <w:szCs w:val="16"/>
          <w:color w:val="auto"/>
        </w:rPr>
        <w:t>Date: November 9,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37465</wp:posOffset>
            </wp:positionV>
            <wp:extent cx="33604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6"/>
          <w:szCs w:val="16"/>
          <w:color w:val="auto"/>
        </w:rPr>
        <w:t>Leo M. Greenstein</w:t>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5"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Financial Officer and Principal Accounting Officer</w:t>
      </w:r>
      <w:r>
        <w:rPr>
          <w:rFonts w:ascii="Times New Roman" w:cs="Times New Roman" w:eastAsia="Times New Roman" w:hAnsi="Times New Roman"/>
          <w:sz w:val="16"/>
          <w:szCs w:val="16"/>
          <w:color w:val="auto"/>
        </w:rPr>
        <w:t>)</w:t>
      </w:r>
    </w:p>
    <w:p>
      <w:pPr>
        <w:sectPr>
          <w:pgSz w:w="11900" w:h="16838" w:orient="portrait"/>
          <w:cols w:equalWidth="0" w:num="1">
            <w:col w:w="11240"/>
          </w:cols>
          <w:pgMar w:left="320" w:top="1406" w:right="339" w:bottom="1440" w:gutter="0" w:footer="0" w:header="0"/>
        </w:sectPr>
      </w:pPr>
    </w:p>
    <w:bookmarkStart w:id="45" w:name="page46"/>
    <w:bookmarkEnd w:id="45"/>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CERTIFICATIONS OF PRINCIPAL EXECUTIVE OFFICER AND PRINCIPAL FINANCIAL OFFICER</w:t>
      </w:r>
    </w:p>
    <w:p>
      <w:pPr>
        <w:spacing w:after="0" w:line="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PURSUANT TO</w:t>
      </w:r>
    </w:p>
    <w:p>
      <w:pPr>
        <w:ind w:left="3420"/>
        <w:spacing w:after="0" w:line="234" w:lineRule="auto"/>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32" w:lineRule="exact"/>
        <w:rPr>
          <w:sz w:val="20"/>
          <w:szCs w:val="20"/>
          <w:color w:val="auto"/>
        </w:rPr>
      </w:pPr>
    </w:p>
    <w:p>
      <w:pPr>
        <w:jc w:val="both"/>
        <w:ind w:right="120" w:firstLine="577"/>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Tarsus Pharmaceuticals, Inc. (the “Company”) on Form 10-Q for the period ended September 30, 2022 as filed with the Securities and Exchange Commission on the date hereof (the “Report”), I, Bobak Azamian, hereby certify, pursuant to 18 U.S.C. § 1350, as adopted pursuant to § 906 of the Sarbanes-Oxley Act of 2002, that:</w:t>
      </w:r>
    </w:p>
    <w:p>
      <w:pPr>
        <w:spacing w:after="0" w:line="298" w:lineRule="exact"/>
        <w:rPr>
          <w:sz w:val="20"/>
          <w:szCs w:val="20"/>
          <w:color w:val="auto"/>
        </w:rPr>
      </w:pPr>
    </w:p>
    <w:p>
      <w:pPr>
        <w:ind w:left="920" w:right="2700" w:hanging="539"/>
        <w:spacing w:after="0" w:line="266"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391" w:lineRule="exact"/>
        <w:rPr>
          <w:rFonts w:ascii="Times New Roman" w:cs="Times New Roman" w:eastAsia="Times New Roman" w:hAnsi="Times New Roman"/>
          <w:sz w:val="18"/>
          <w:szCs w:val="18"/>
          <w:color w:val="auto"/>
        </w:rPr>
      </w:pPr>
    </w:p>
    <w:p>
      <w:pPr>
        <w:ind w:left="920" w:right="2620" w:hanging="539"/>
        <w:spacing w:after="0" w:line="282"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40"/>
        <w:spacing w:after="0"/>
        <w:tabs>
          <w:tab w:leader="none" w:pos="5200" w:val="left"/>
          <w:tab w:leader="none" w:pos="600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6"/>
          <w:szCs w:val="16"/>
          <w:color w:val="auto"/>
        </w:rPr>
        <w:t>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34290</wp:posOffset>
            </wp:positionV>
            <wp:extent cx="33432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4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6"/>
          <w:szCs w:val="16"/>
          <w:color w:val="auto"/>
        </w:rPr>
        <w:t>Bobak Azamian, M.D., Ph.D.</w:t>
      </w:r>
    </w:p>
    <w:p>
      <w:pPr>
        <w:spacing w:after="0" w:line="6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CERTIFICATIONS OF PRINCIPAL EXECUTIVE OFFICER AND PRINCIPAL FINANCIAL OFFICER</w:t>
      </w:r>
    </w:p>
    <w:p>
      <w:pPr>
        <w:spacing w:after="0" w:line="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PURSUANT TO</w:t>
      </w:r>
    </w:p>
    <w:p>
      <w:pPr>
        <w:ind w:left="3420"/>
        <w:spacing w:after="0" w:line="234" w:lineRule="auto"/>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32" w:lineRule="exact"/>
        <w:rPr>
          <w:sz w:val="20"/>
          <w:szCs w:val="20"/>
          <w:color w:val="auto"/>
        </w:rPr>
      </w:pPr>
    </w:p>
    <w:p>
      <w:pPr>
        <w:ind w:right="120" w:firstLine="577"/>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Tarsus Pharmaceuticals, Inc. (the “Company”) on Form 10-Q for the period ended September 30, 2022 as filed with the Securities and Exchange Commission on the date hereof (the “Report”), I, Leo M. Greenstein, hereby certify, pursuant to 18 U.S.C. § 1350, as adopted pursuant to § 906 of the Sarbanes-Oxley Act of 2002, that:</w:t>
      </w:r>
    </w:p>
    <w:p>
      <w:pPr>
        <w:spacing w:after="0" w:line="298" w:lineRule="exact"/>
        <w:rPr>
          <w:sz w:val="20"/>
          <w:szCs w:val="20"/>
          <w:color w:val="auto"/>
        </w:rPr>
      </w:pPr>
    </w:p>
    <w:p>
      <w:pPr>
        <w:ind w:left="920" w:right="2700" w:hanging="539"/>
        <w:spacing w:after="0" w:line="266" w:lineRule="auto"/>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391" w:lineRule="exact"/>
        <w:rPr>
          <w:rFonts w:ascii="Times New Roman" w:cs="Times New Roman" w:eastAsia="Times New Roman" w:hAnsi="Times New Roman"/>
          <w:sz w:val="18"/>
          <w:szCs w:val="18"/>
          <w:color w:val="auto"/>
        </w:rPr>
      </w:pPr>
    </w:p>
    <w:p>
      <w:pPr>
        <w:ind w:left="920" w:right="2620" w:hanging="539"/>
        <w:spacing w:after="0" w:line="282" w:lineRule="auto"/>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40"/>
        <w:spacing w:after="0"/>
        <w:tabs>
          <w:tab w:leader="none" w:pos="5200" w:val="left"/>
          <w:tab w:leader="none" w:pos="600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6"/>
          <w:szCs w:val="16"/>
          <w:color w:val="auto"/>
        </w:rPr>
        <w:t>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34290</wp:posOffset>
            </wp:positionV>
            <wp:extent cx="33432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4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6"/>
          <w:szCs w:val="16"/>
          <w:color w:val="auto"/>
        </w:rPr>
        <w:t>Leo M. Greenstein</w:t>
      </w:r>
    </w:p>
    <w:p>
      <w:pPr>
        <w:spacing w:after="0" w:line="6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Roman"/>
      <w:start w:val="5"/>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8"/>
    </w:lvl>
  </w:abstractNum>
  <w:abstractNum w:abstractNumId="7">
    <w:nsid w:val="7C83E458"/>
    <w:multiLevelType w:val="hybridMultilevel"/>
    <w:lvl w:ilvl="0">
      <w:lvlJc w:val="left"/>
      <w:lvlText w:val="(%1)"/>
      <w:numFmt w:val="lowerRoman"/>
      <w:start w:val="2"/>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lvl w:ilvl="1">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lvl w:ilvl="1">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04"/>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3"/>
    </w:lvl>
    <w:lvl w:ilvl="1">
      <w:lvlJc w:val="left"/>
      <w:lvlText w:val="(%2)"/>
      <w:numFmt w:val="lowerLetter"/>
      <w:start w:val="1"/>
    </w:lvl>
  </w:abstractNum>
  <w:abstractNum w:abstractNumId="25">
    <w:nsid w:val="2CA88611"/>
    <w:multiLevelType w:val="hybridMultilevel"/>
    <w:lvl w:ilvl="0">
      <w:lvlJc w:val="left"/>
      <w:lvlText w:val="%1."/>
      <w:numFmt w:val="decimal"/>
      <w:start w:val="5"/>
    </w:lvl>
    <w:lvl w:ilvl="1">
      <w:lvlJc w:val="left"/>
      <w:lvlText w:val="(%2)"/>
      <w:numFmt w:val="lowerLetter"/>
      <w:start w:val="1"/>
    </w:lvl>
  </w:abstractNum>
  <w:abstractNum w:abstractNumId="26">
    <w:nsid w:val="836C40E"/>
    <w:multiLevelType w:val="hybridMultilevel"/>
    <w:lvl w:ilvl="0">
      <w:lvlJc w:val="left"/>
      <w:lvlText w:val="%1."/>
      <w:numFmt w:val="decimal"/>
      <w:start w:val="3"/>
    </w:lvl>
    <w:lvl w:ilvl="1">
      <w:lvlJc w:val="left"/>
      <w:lvlText w:val="(%2)"/>
      <w:numFmt w:val="lowerLetter"/>
      <w:start w:val="1"/>
    </w:lvl>
  </w:abstractNum>
  <w:abstractNum w:abstractNumId="27">
    <w:nsid w:val="2901D82"/>
    <w:multiLevelType w:val="hybridMultilevel"/>
    <w:lvl w:ilvl="0">
      <w:lvlJc w:val="left"/>
      <w:lvlText w:val="%1."/>
      <w:numFmt w:val="decimal"/>
      <w:start w:val="5"/>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2022-11-09T07:52:23Z</dcterms:created>
  <dcterms:modified xsi:type="dcterms:W3CDTF">2022-11-09T07:52:23Z</dcterms:modified>
</cp:coreProperties>
</file>