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__)</w:t>
      </w:r>
      <w:r>
        <w:rPr>
          <w:rFonts w:ascii="Arial" w:cs="Arial" w:eastAsia="Arial" w:hAnsi="Arial"/>
          <w:sz w:val="18"/>
          <w:szCs w:val="18"/>
          <w:color w:val="auto"/>
        </w:rPr>
        <w:t>*</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5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October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spacing w:after="0"/>
        <w:tabs>
          <w:tab w:leader="none" w:pos="46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Rule 13d-1(b)</w:t>
      </w:r>
    </w:p>
    <w:p>
      <w:pPr>
        <w:spacing w:after="0" w:line="206" w:lineRule="exact"/>
        <w:rPr>
          <w:sz w:val="24"/>
          <w:szCs w:val="24"/>
          <w:color w:val="auto"/>
        </w:rPr>
      </w:pPr>
    </w:p>
    <w:p>
      <w:pPr>
        <w:jc w:val="both"/>
        <w:ind w:right="9460" w:firstLine="8"/>
        <w:spacing w:after="0" w:line="565" w:lineRule="auto"/>
        <w:tabs>
          <w:tab w:leader="none" w:pos="529"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8" w:lineRule="exact"/>
        <w:rPr>
          <w:sz w:val="24"/>
          <w:szCs w:val="24"/>
          <w:color w:val="auto"/>
        </w:rPr>
      </w:pPr>
    </w:p>
    <w:p>
      <w:pPr>
        <w:jc w:val="both"/>
        <w:ind w:firstLine="656"/>
        <w:spacing w:after="0" w:line="234" w:lineRule="auto"/>
        <w:tabs>
          <w:tab w:leader="none" w:pos="86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ind w:right="400" w:firstLine="810"/>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ind w:left="772" w:hanging="772"/>
        <w:spacing w:after="0"/>
        <w:tabs>
          <w:tab w:leader="none" w:pos="772"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-445135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ind w:left="772" w:hanging="772"/>
        <w:spacing w:after="0"/>
        <w:tabs>
          <w:tab w:leader="none" w:pos="772"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5871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1,271,998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5871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1,271,998 shares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79" w:lineRule="exact"/>
        <w:rPr>
          <w:sz w:val="20"/>
          <w:szCs w:val="20"/>
          <w:color w:val="auto"/>
        </w:rPr>
      </w:pPr>
    </w:p>
    <w:p>
      <w:pPr>
        <w:ind w:left="752" w:hanging="752"/>
        <w:spacing w:after="0"/>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98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Arial" w:cs="Arial" w:eastAsia="Arial" w:hAnsi="Arial"/>
          <w:sz w:val="18"/>
          <w:szCs w:val="18"/>
          <w:color w:val="auto"/>
        </w:rPr>
        <w:t>1,271,998 shares</w:t>
      </w:r>
    </w:p>
    <w:p>
      <w:pPr>
        <w:spacing w:after="0" w:line="23" w:lineRule="exact"/>
        <w:rPr>
          <w:sz w:val="20"/>
          <w:szCs w:val="20"/>
          <w:color w:val="auto"/>
        </w:rPr>
      </w:pP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932" w:right="3139" w:hanging="932"/>
        <w:spacing w:after="0" w:line="258" w:lineRule="auto"/>
        <w:tabs>
          <w:tab w:leader="none" w:pos="75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52" w:hanging="752"/>
        <w:spacing w:after="0"/>
        <w:tabs>
          <w:tab w:leader="none" w:pos="75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6.33%</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9" w:lineRule="exact"/>
        <w:rPr>
          <w:rFonts w:ascii="Arial" w:cs="Arial" w:eastAsia="Arial" w:hAnsi="Arial"/>
          <w:sz w:val="18"/>
          <w:szCs w:val="18"/>
          <w:color w:val="auto"/>
        </w:rPr>
      </w:pPr>
    </w:p>
    <w:p>
      <w:pPr>
        <w:ind w:left="752" w:right="6219" w:hanging="752"/>
        <w:spacing w:after="0" w:line="276" w:lineRule="auto"/>
        <w:tabs>
          <w:tab w:leader="none" w:pos="7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098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-301625</wp:posOffset>
            </wp:positionV>
            <wp:extent cx="7098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-859155</wp:posOffset>
            </wp:positionV>
            <wp:extent cx="7098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2" w:name="page3"/>
    <w:bookmarkEnd w:id="2"/>
    <w:p>
      <w:pPr>
        <w:ind w:left="780" w:hanging="772"/>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80" w:right="6340"/>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483"/>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60" w:hanging="483"/>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9"/>
              </w:rPr>
              <w:t>5</w:t>
            </w:r>
          </w:p>
        </w:tc>
        <w:tc>
          <w:tcPr>
            <w:tcW w:w="9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6</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7"/>
        </w:trPr>
        <w:tc>
          <w:tcPr>
            <w:tcW w:w="2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9240" w:type="dxa"/>
            <w:vAlign w:val="bottom"/>
            <w:gridSpan w:val="3"/>
          </w:tcPr>
          <w:p>
            <w:pPr>
              <w:spacing w:after="0"/>
              <w:rPr>
                <w:sz w:val="20"/>
                <w:szCs w:val="20"/>
                <w:color w:val="auto"/>
              </w:rPr>
            </w:pPr>
            <w:r>
              <w:rPr>
                <w:rFonts w:ascii="Arial" w:cs="Arial" w:eastAsia="Arial" w:hAnsi="Arial"/>
                <w:sz w:val="18"/>
                <w:szCs w:val="18"/>
                <w:color w:val="auto"/>
              </w:rPr>
              <w:t>1,271,998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182"/>
        </w:trPr>
        <w:tc>
          <w:tcPr>
            <w:tcW w:w="200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7</w:t>
            </w:r>
          </w:p>
        </w:tc>
        <w:tc>
          <w:tcPr>
            <w:tcW w:w="91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00" w:type="dxa"/>
            <w:vAlign w:val="bottom"/>
          </w:tcPr>
          <w:p>
            <w:pPr>
              <w:jc w:val="center"/>
              <w:spacing w:after="0"/>
              <w:rPr>
                <w:sz w:val="20"/>
                <w:szCs w:val="20"/>
                <w:color w:val="auto"/>
              </w:rPr>
            </w:pPr>
            <w:r>
              <w:rPr>
                <w:rFonts w:ascii="Arial" w:cs="Arial" w:eastAsia="Arial" w:hAnsi="Arial"/>
                <w:sz w:val="18"/>
                <w:szCs w:val="18"/>
                <w:color w:val="auto"/>
                <w:w w:val="89"/>
              </w:rPr>
              <w:t>Person With</w:t>
            </w:r>
          </w:p>
        </w:tc>
        <w:tc>
          <w:tcPr>
            <w:tcW w:w="924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8</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3"/>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Arial" w:cs="Arial" w:eastAsia="Arial" w:hAnsi="Arial"/>
                <w:sz w:val="18"/>
                <w:szCs w:val="18"/>
                <w:color w:val="auto"/>
              </w:rPr>
              <w:t>1,271,998 shares</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760" w:right="5680" w:hanging="752"/>
        <w:spacing w:after="0" w:line="438"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1,271,998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098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 w:lineRule="exact"/>
        <w:rPr>
          <w:sz w:val="20"/>
          <w:szCs w:val="20"/>
          <w:color w:val="auto"/>
        </w:rPr>
      </w:pPr>
    </w:p>
    <w:p>
      <w:pPr>
        <w:ind w:left="940" w:right="4240" w:hanging="932"/>
        <w:spacing w:after="0" w:line="25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6.33%</w:t>
      </w:r>
    </w:p>
    <w:p>
      <w:pPr>
        <w:spacing w:after="0" w:line="11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60" w:right="7320" w:hanging="752"/>
        <w:spacing w:after="0" w:line="693"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098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098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-1299845</wp:posOffset>
            </wp:positionV>
            <wp:extent cx="70980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 w:name="page4"/>
    <w:bookmarkEnd w:id="3"/>
    <w:p>
      <w:pPr>
        <w:ind w:left="772" w:hanging="772"/>
        <w:spacing w:after="0"/>
        <w:tabs>
          <w:tab w:leader="none" w:pos="7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26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Private Healthcare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-429895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9" w:lineRule="exact"/>
        <w:rPr>
          <w:sz w:val="20"/>
          <w:szCs w:val="20"/>
          <w:color w:val="auto"/>
        </w:rPr>
      </w:pPr>
    </w:p>
    <w:p>
      <w:pPr>
        <w:ind w:left="772" w:hanging="772"/>
        <w:spacing w:after="0"/>
        <w:tabs>
          <w:tab w:leader="none" w:pos="77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5871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281,422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58718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281,422 shares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79" w:lineRule="exact"/>
        <w:rPr>
          <w:sz w:val="20"/>
          <w:szCs w:val="20"/>
          <w:color w:val="auto"/>
        </w:rPr>
      </w:pPr>
    </w:p>
    <w:p>
      <w:pPr>
        <w:ind w:left="752" w:hanging="752"/>
        <w:spacing w:after="0"/>
        <w:tabs>
          <w:tab w:leader="none" w:pos="7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98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Arial" w:cs="Arial" w:eastAsia="Arial" w:hAnsi="Arial"/>
          <w:sz w:val="18"/>
          <w:szCs w:val="18"/>
          <w:color w:val="auto"/>
        </w:rPr>
        <w:t>281,422 shares</w:t>
      </w:r>
    </w:p>
    <w:p>
      <w:pPr>
        <w:spacing w:after="0" w:line="23" w:lineRule="exact"/>
        <w:rPr>
          <w:sz w:val="20"/>
          <w:szCs w:val="20"/>
          <w:color w:val="auto"/>
        </w:rPr>
      </w:pP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932" w:right="3139" w:hanging="932"/>
        <w:spacing w:after="0" w:line="258" w:lineRule="auto"/>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52" w:hanging="752"/>
        <w:spacing w:after="0"/>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1.40%</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9" w:lineRule="exact"/>
        <w:rPr>
          <w:rFonts w:ascii="Arial" w:cs="Arial" w:eastAsia="Arial" w:hAnsi="Arial"/>
          <w:sz w:val="18"/>
          <w:szCs w:val="18"/>
          <w:color w:val="auto"/>
        </w:rPr>
      </w:pPr>
    </w:p>
    <w:p>
      <w:pPr>
        <w:ind w:left="752" w:right="6219" w:hanging="752"/>
        <w:spacing w:after="0" w:line="276" w:lineRule="auto"/>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0980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-301625</wp:posOffset>
            </wp:positionV>
            <wp:extent cx="70980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-859155</wp:posOffset>
            </wp:positionV>
            <wp:extent cx="70980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4" w:name="page5"/>
    <w:bookmarkEnd w:id="4"/>
    <w:p>
      <w:pPr>
        <w:ind w:left="780" w:hanging="772"/>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80" w:right="6340"/>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Private Healthcare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80" w:hanging="772"/>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483"/>
        <w:spacing w:after="0"/>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60" w:hanging="483"/>
        <w:spacing w:after="0"/>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9"/>
              </w:rPr>
              <w:t>5</w:t>
            </w:r>
          </w:p>
        </w:tc>
        <w:tc>
          <w:tcPr>
            <w:tcW w:w="9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6</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7"/>
        </w:trPr>
        <w:tc>
          <w:tcPr>
            <w:tcW w:w="2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9240" w:type="dxa"/>
            <w:vAlign w:val="bottom"/>
            <w:gridSpan w:val="3"/>
          </w:tcPr>
          <w:p>
            <w:pPr>
              <w:spacing w:after="0"/>
              <w:rPr>
                <w:sz w:val="20"/>
                <w:szCs w:val="20"/>
                <w:color w:val="auto"/>
              </w:rPr>
            </w:pPr>
            <w:r>
              <w:rPr>
                <w:rFonts w:ascii="Arial" w:cs="Arial" w:eastAsia="Arial" w:hAnsi="Arial"/>
                <w:sz w:val="18"/>
                <w:szCs w:val="18"/>
                <w:color w:val="auto"/>
              </w:rPr>
              <w:t>281,422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182"/>
        </w:trPr>
        <w:tc>
          <w:tcPr>
            <w:tcW w:w="200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7</w:t>
            </w:r>
          </w:p>
        </w:tc>
        <w:tc>
          <w:tcPr>
            <w:tcW w:w="91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00" w:type="dxa"/>
            <w:vAlign w:val="bottom"/>
          </w:tcPr>
          <w:p>
            <w:pPr>
              <w:jc w:val="center"/>
              <w:spacing w:after="0"/>
              <w:rPr>
                <w:sz w:val="20"/>
                <w:szCs w:val="20"/>
                <w:color w:val="auto"/>
              </w:rPr>
            </w:pPr>
            <w:r>
              <w:rPr>
                <w:rFonts w:ascii="Arial" w:cs="Arial" w:eastAsia="Arial" w:hAnsi="Arial"/>
                <w:sz w:val="18"/>
                <w:szCs w:val="18"/>
                <w:color w:val="auto"/>
                <w:w w:val="89"/>
              </w:rPr>
              <w:t>Person With</w:t>
            </w:r>
          </w:p>
        </w:tc>
        <w:tc>
          <w:tcPr>
            <w:tcW w:w="924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8</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3"/>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Arial" w:cs="Arial" w:eastAsia="Arial" w:hAnsi="Arial"/>
                <w:sz w:val="18"/>
                <w:szCs w:val="18"/>
                <w:color w:val="auto"/>
              </w:rPr>
              <w:t>281,422 shares</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760" w:right="5680" w:hanging="752"/>
        <w:spacing w:after="0" w:line="438"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281,422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098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 w:lineRule="exact"/>
        <w:rPr>
          <w:sz w:val="20"/>
          <w:szCs w:val="20"/>
          <w:color w:val="auto"/>
        </w:rPr>
      </w:pPr>
    </w:p>
    <w:p>
      <w:pPr>
        <w:ind w:left="940" w:right="4240" w:hanging="932"/>
        <w:spacing w:after="0" w:line="258"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60" w:hanging="752"/>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1.40%</w:t>
      </w:r>
    </w:p>
    <w:p>
      <w:pPr>
        <w:spacing w:after="0" w:line="11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60" w:right="7320" w:hanging="752"/>
        <w:spacing w:after="0" w:line="693"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0980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0980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-1299845</wp:posOffset>
            </wp:positionV>
            <wp:extent cx="70980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 w:name="page6"/>
    <w:bookmarkEnd w:id="5"/>
    <w:p>
      <w:pPr>
        <w:ind w:left="780" w:hanging="772"/>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80" w:right="6340"/>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Private Healthcare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80" w:hanging="772"/>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483"/>
        <w:spacing w:after="0"/>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60" w:hanging="483"/>
        <w:spacing w:after="0"/>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9"/>
              </w:rPr>
              <w:t>5</w:t>
            </w:r>
          </w:p>
        </w:tc>
        <w:tc>
          <w:tcPr>
            <w:tcW w:w="9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6</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7"/>
        </w:trPr>
        <w:tc>
          <w:tcPr>
            <w:tcW w:w="2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9240" w:type="dxa"/>
            <w:vAlign w:val="bottom"/>
            <w:gridSpan w:val="3"/>
          </w:tcPr>
          <w:p>
            <w:pPr>
              <w:spacing w:after="0"/>
              <w:rPr>
                <w:sz w:val="20"/>
                <w:szCs w:val="20"/>
                <w:color w:val="auto"/>
              </w:rPr>
            </w:pPr>
            <w:r>
              <w:rPr>
                <w:rFonts w:ascii="Arial" w:cs="Arial" w:eastAsia="Arial" w:hAnsi="Arial"/>
                <w:sz w:val="18"/>
                <w:szCs w:val="18"/>
                <w:color w:val="auto"/>
              </w:rPr>
              <w:t>351,849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182"/>
        </w:trPr>
        <w:tc>
          <w:tcPr>
            <w:tcW w:w="200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7</w:t>
            </w:r>
          </w:p>
        </w:tc>
        <w:tc>
          <w:tcPr>
            <w:tcW w:w="91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00" w:type="dxa"/>
            <w:vAlign w:val="bottom"/>
          </w:tcPr>
          <w:p>
            <w:pPr>
              <w:jc w:val="center"/>
              <w:spacing w:after="0"/>
              <w:rPr>
                <w:sz w:val="20"/>
                <w:szCs w:val="20"/>
                <w:color w:val="auto"/>
              </w:rPr>
            </w:pPr>
            <w:r>
              <w:rPr>
                <w:rFonts w:ascii="Arial" w:cs="Arial" w:eastAsia="Arial" w:hAnsi="Arial"/>
                <w:sz w:val="18"/>
                <w:szCs w:val="18"/>
                <w:color w:val="auto"/>
                <w:w w:val="89"/>
              </w:rPr>
              <w:t>Person With</w:t>
            </w:r>
          </w:p>
        </w:tc>
        <w:tc>
          <w:tcPr>
            <w:tcW w:w="924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8</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3"/>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Arial" w:cs="Arial" w:eastAsia="Arial" w:hAnsi="Arial"/>
                <w:sz w:val="18"/>
                <w:szCs w:val="18"/>
                <w:color w:val="auto"/>
              </w:rPr>
              <w:t>351,849 shares</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760" w:right="5680" w:hanging="752"/>
        <w:spacing w:after="0" w:line="438"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351,849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0980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 w:lineRule="exact"/>
        <w:rPr>
          <w:sz w:val="20"/>
          <w:szCs w:val="20"/>
          <w:color w:val="auto"/>
        </w:rPr>
      </w:pPr>
    </w:p>
    <w:p>
      <w:pPr>
        <w:ind w:left="940" w:right="4240" w:hanging="932"/>
        <w:spacing w:after="0" w:line="258"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60" w:hanging="752"/>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1.75%</w:t>
      </w:r>
    </w:p>
    <w:p>
      <w:pPr>
        <w:spacing w:after="0" w:line="11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60" w:right="7320" w:hanging="752"/>
        <w:spacing w:after="0" w:line="589"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0980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-1270000</wp:posOffset>
            </wp:positionV>
            <wp:extent cx="70980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 w:name="page7"/>
    <w:bookmarkEnd w:id="6"/>
    <w:p>
      <w:pPr>
        <w:ind w:left="780" w:hanging="772"/>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80" w:right="6340"/>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Private Healthcare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483"/>
        <w:spacing w:after="0"/>
        <w:tabs>
          <w:tab w:leader="none" w:pos="12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60" w:hanging="483"/>
        <w:spacing w:after="0"/>
        <w:tabs>
          <w:tab w:leader="none" w:pos="12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9"/>
              </w:rPr>
              <w:t>5</w:t>
            </w:r>
          </w:p>
        </w:tc>
        <w:tc>
          <w:tcPr>
            <w:tcW w:w="9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6</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7"/>
        </w:trPr>
        <w:tc>
          <w:tcPr>
            <w:tcW w:w="2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9240" w:type="dxa"/>
            <w:vAlign w:val="bottom"/>
            <w:gridSpan w:val="3"/>
          </w:tcPr>
          <w:p>
            <w:pPr>
              <w:spacing w:after="0"/>
              <w:rPr>
                <w:sz w:val="20"/>
                <w:szCs w:val="20"/>
                <w:color w:val="auto"/>
              </w:rPr>
            </w:pPr>
            <w:r>
              <w:rPr>
                <w:rFonts w:ascii="Arial" w:cs="Arial" w:eastAsia="Arial" w:hAnsi="Arial"/>
                <w:sz w:val="18"/>
                <w:szCs w:val="18"/>
                <w:color w:val="auto"/>
              </w:rPr>
              <w:t>351,849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182"/>
        </w:trPr>
        <w:tc>
          <w:tcPr>
            <w:tcW w:w="200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7</w:t>
            </w:r>
          </w:p>
        </w:tc>
        <w:tc>
          <w:tcPr>
            <w:tcW w:w="91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00" w:type="dxa"/>
            <w:vAlign w:val="bottom"/>
          </w:tcPr>
          <w:p>
            <w:pPr>
              <w:jc w:val="center"/>
              <w:spacing w:after="0"/>
              <w:rPr>
                <w:sz w:val="20"/>
                <w:szCs w:val="20"/>
                <w:color w:val="auto"/>
              </w:rPr>
            </w:pPr>
            <w:r>
              <w:rPr>
                <w:rFonts w:ascii="Arial" w:cs="Arial" w:eastAsia="Arial" w:hAnsi="Arial"/>
                <w:sz w:val="18"/>
                <w:szCs w:val="18"/>
                <w:color w:val="auto"/>
                <w:w w:val="89"/>
              </w:rPr>
              <w:t>Person With</w:t>
            </w:r>
          </w:p>
        </w:tc>
        <w:tc>
          <w:tcPr>
            <w:tcW w:w="924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8</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3"/>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Arial" w:cs="Arial" w:eastAsia="Arial" w:hAnsi="Arial"/>
                <w:sz w:val="18"/>
                <w:szCs w:val="18"/>
                <w:color w:val="auto"/>
              </w:rPr>
              <w:t>351,849 shares</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760" w:right="5680" w:hanging="752"/>
        <w:spacing w:after="0" w:line="438"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351,849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0980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 w:lineRule="exact"/>
        <w:rPr>
          <w:sz w:val="20"/>
          <w:szCs w:val="20"/>
          <w:color w:val="auto"/>
        </w:rPr>
      </w:pPr>
    </w:p>
    <w:p>
      <w:pPr>
        <w:ind w:left="940" w:right="4240" w:hanging="932"/>
        <w:spacing w:after="0" w:line="258"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60" w:hanging="752"/>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1.75%</w:t>
      </w:r>
    </w:p>
    <w:p>
      <w:pPr>
        <w:spacing w:after="0" w:line="11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60" w:right="7320" w:hanging="752"/>
        <w:spacing w:after="0" w:line="693" w:lineRule="auto"/>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0980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0980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-1299845</wp:posOffset>
            </wp:positionV>
            <wp:extent cx="70980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 w:name="page8"/>
    <w:bookmarkEnd w:id="7"/>
    <w:p>
      <w:pPr>
        <w:ind w:left="772" w:hanging="772"/>
        <w:spacing w:after="0"/>
        <w:tabs>
          <w:tab w:leader="none" w:pos="7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-692785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40"/>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4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58718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1,964,268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58718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1,964,268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65" w:lineRule="exact"/>
        <w:rPr>
          <w:sz w:val="20"/>
          <w:szCs w:val="20"/>
          <w:color w:val="auto"/>
        </w:rPr>
      </w:pPr>
    </w:p>
    <w:p>
      <w:pPr>
        <w:ind w:left="752" w:right="4579" w:hanging="752"/>
        <w:spacing w:after="0" w:line="438" w:lineRule="auto"/>
        <w:tabs>
          <w:tab w:leader="none" w:pos="7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1,964,268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-478790</wp:posOffset>
            </wp:positionV>
            <wp:extent cx="70980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980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 w:lineRule="exact"/>
        <w:rPr>
          <w:sz w:val="20"/>
          <w:szCs w:val="20"/>
          <w:color w:val="auto"/>
        </w:rPr>
      </w:pPr>
    </w:p>
    <w:p>
      <w:pPr>
        <w:ind w:left="932" w:right="3139" w:hanging="932"/>
        <w:spacing w:after="0" w:line="258" w:lineRule="auto"/>
        <w:tabs>
          <w:tab w:leader="none" w:pos="7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52" w:hanging="752"/>
        <w:spacing w:after="0"/>
        <w:tabs>
          <w:tab w:leader="none" w:pos="7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9.78%</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9" w:lineRule="exact"/>
        <w:rPr>
          <w:rFonts w:ascii="Arial" w:cs="Arial" w:eastAsia="Arial" w:hAnsi="Arial"/>
          <w:sz w:val="18"/>
          <w:szCs w:val="18"/>
          <w:color w:val="auto"/>
        </w:rPr>
      </w:pPr>
    </w:p>
    <w:p>
      <w:pPr>
        <w:ind w:left="752" w:right="6219" w:hanging="752"/>
        <w:spacing w:after="0" w:line="589" w:lineRule="auto"/>
        <w:tabs>
          <w:tab w:leader="none" w:pos="7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980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0980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-1201420</wp:posOffset>
            </wp:positionV>
            <wp:extent cx="70980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8" w:name="page9"/>
    <w:bookmarkEnd w:id="8"/>
    <w:p>
      <w:pPr>
        <w:ind w:left="772" w:hanging="772"/>
        <w:spacing w:after="0"/>
        <w:tabs>
          <w:tab w:leader="none" w:pos="7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-692785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46"/>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46"/>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58718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1,964,268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1,964,268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65" w:lineRule="exact"/>
        <w:rPr>
          <w:sz w:val="20"/>
          <w:szCs w:val="20"/>
          <w:color w:val="auto"/>
        </w:rPr>
      </w:pPr>
    </w:p>
    <w:p>
      <w:pPr>
        <w:ind w:left="752" w:hanging="752"/>
        <w:spacing w:after="0"/>
        <w:tabs>
          <w:tab w:leader="none" w:pos="7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980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Arial" w:cs="Arial" w:eastAsia="Arial" w:hAnsi="Arial"/>
          <w:sz w:val="18"/>
          <w:szCs w:val="18"/>
          <w:color w:val="auto"/>
        </w:rPr>
        <w:t>1,964,268 shares</w:t>
      </w:r>
    </w:p>
    <w:p>
      <w:pPr>
        <w:spacing w:after="0" w:line="23" w:lineRule="exact"/>
        <w:rPr>
          <w:sz w:val="20"/>
          <w:szCs w:val="20"/>
          <w:color w:val="auto"/>
        </w:rPr>
      </w:pP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932" w:right="3139" w:hanging="932"/>
        <w:spacing w:after="0" w:line="258" w:lineRule="auto"/>
        <w:tabs>
          <w:tab w:leader="none" w:pos="7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52" w:hanging="752"/>
        <w:spacing w:after="0"/>
        <w:tabs>
          <w:tab w:leader="none" w:pos="7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9.78%</w:t>
      </w:r>
    </w:p>
    <w:p>
      <w:pPr>
        <w:spacing w:after="0" w:line="117"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52" w:right="6219" w:hanging="752"/>
        <w:spacing w:after="0" w:line="589" w:lineRule="auto"/>
        <w:tabs>
          <w:tab w:leader="none" w:pos="7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Type of Reporting Person (See Instructions) IN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980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0980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-1270000</wp:posOffset>
            </wp:positionV>
            <wp:extent cx="70980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2"/>
          <w:szCs w:val="22"/>
          <w:b w:val="1"/>
          <w:bCs w:val="1"/>
          <w:color w:val="auto"/>
        </w:rPr>
        <w:t>Item 1.</w:t>
      </w:r>
    </w:p>
    <w:p>
      <w:pPr>
        <w:spacing w:after="0" w:line="220" w:lineRule="exact"/>
        <w:rPr>
          <w:sz w:val="20"/>
          <w:szCs w:val="20"/>
          <w:color w:val="auto"/>
        </w:rPr>
      </w:pPr>
    </w:p>
    <w:p>
      <w:pPr>
        <w:ind w:left="800" w:hanging="792"/>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Tarsus Pharmaceuticals, Inc.</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15440 Laguna Canyon Road, Suite 160, Irvine, CA 92618</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9" w:lineRule="exact"/>
        <w:rPr>
          <w:sz w:val="20"/>
          <w:szCs w:val="20"/>
          <w:color w:val="auto"/>
        </w:rPr>
      </w:pPr>
    </w:p>
    <w:p>
      <w:pPr>
        <w:ind w:left="800" w:hanging="792"/>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800" w:right="5939"/>
        <w:spacing w:after="0" w:line="265"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Cormorant Global Healthcare GP, LLC Cormorant Private Healthcare Fund II, LP Cormorant Private Healthcare GP II, LLC Cormorant Private Healthcare Fund III, LP Cormorant Private Healthcare GP III, LLC Cormorant Asset Management, LP</w:t>
      </w:r>
    </w:p>
    <w:p>
      <w:pPr>
        <w:spacing w:after="0" w:line="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Bihua Chen</w:t>
      </w:r>
    </w:p>
    <w:p>
      <w:pPr>
        <w:spacing w:after="0" w:line="210" w:lineRule="exact"/>
        <w:rPr>
          <w:rFonts w:ascii="Arial" w:cs="Arial" w:eastAsia="Arial" w:hAnsi="Arial"/>
          <w:sz w:val="18"/>
          <w:szCs w:val="18"/>
          <w:color w:val="auto"/>
        </w:rPr>
      </w:pPr>
    </w:p>
    <w:p>
      <w:pPr>
        <w:ind w:left="800" w:right="5059" w:hanging="792"/>
        <w:spacing w:after="0" w:line="25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200 Clarendon Street, 52nd Floor</w:t>
      </w:r>
    </w:p>
    <w:p>
      <w:pPr>
        <w:spacing w:after="0" w:line="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Boston, MA 02116</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800" w:right="4639"/>
        <w:spacing w:after="0" w:line="252" w:lineRule="auto"/>
        <w:rPr>
          <w:rFonts w:ascii="Arial" w:cs="Arial" w:eastAsia="Arial" w:hAnsi="Arial"/>
          <w:sz w:val="18"/>
          <w:szCs w:val="18"/>
          <w:color w:val="auto"/>
        </w:rPr>
      </w:pPr>
      <w:r>
        <w:rPr>
          <w:rFonts w:ascii="Arial" w:cs="Arial" w:eastAsia="Arial" w:hAnsi="Arial"/>
          <w:sz w:val="18"/>
          <w:szCs w:val="18"/>
          <w:color w:val="auto"/>
        </w:rPr>
        <w:t>Cormorant Global Healthcare Master Fund, LP - Cayman Islands Cormorant Global Healthcare GP, LLC - Delaware Cormorant Private Healthcare Fund II, LP - Delaware Cormorant Private Healthcare GP II, LLC - Delaware Cormorant Private Healthcare Fund III, LP - Delaware Cormorant Private Healthcare GP III, LLC - Delaware Cormorant Asset Management, LP - Delaware</w:t>
      </w:r>
    </w:p>
    <w:p>
      <w:pPr>
        <w:spacing w:after="0" w:line="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Bihua Chen - United States</w:t>
      </w:r>
    </w:p>
    <w:p>
      <w:pPr>
        <w:spacing w:after="0" w:line="210" w:lineRule="exact"/>
        <w:rPr>
          <w:rFonts w:ascii="Arial" w:cs="Arial" w:eastAsia="Arial" w:hAnsi="Arial"/>
          <w:sz w:val="18"/>
          <w:szCs w:val="18"/>
          <w:color w:val="auto"/>
        </w:rPr>
      </w:pPr>
    </w:p>
    <w:p>
      <w:pPr>
        <w:ind w:left="800" w:right="7419" w:hanging="792"/>
        <w:spacing w:after="0" w:line="342" w:lineRule="auto"/>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23" w:lineRule="exact"/>
        <w:rPr>
          <w:rFonts w:ascii="Arial" w:cs="Arial" w:eastAsia="Arial" w:hAnsi="Arial"/>
          <w:sz w:val="16"/>
          <w:szCs w:val="16"/>
          <w:color w:val="auto"/>
        </w:rPr>
      </w:pPr>
    </w:p>
    <w:p>
      <w:pPr>
        <w:ind w:left="800" w:right="8199" w:hanging="792"/>
        <w:spacing w:after="0" w:line="342" w:lineRule="auto"/>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CUSIP Number 87650L103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300" w:type="dxa"/>
            <w:vAlign w:val="bottom"/>
          </w:tcPr>
          <w:p>
            <w:pPr>
              <w:spacing w:after="0"/>
              <w:rPr>
                <w:sz w:val="20"/>
                <w:szCs w:val="20"/>
                <w:color w:val="auto"/>
              </w:rPr>
            </w:pPr>
          </w:p>
        </w:tc>
        <w:tc>
          <w:tcPr>
            <w:tcW w:w="8500" w:type="dxa"/>
            <w:vAlign w:val="bottom"/>
          </w:tcPr>
          <w:p>
            <w:pPr>
              <w:ind w:left="20"/>
              <w:spacing w:after="0"/>
              <w:rPr>
                <w:sz w:val="20"/>
                <w:szCs w:val="20"/>
                <w:color w:val="auto"/>
              </w:rPr>
            </w:pPr>
            <w:r>
              <w:rPr>
                <w:rFonts w:ascii="Arial" w:cs="Arial" w:eastAsia="Arial" w:hAnsi="Arial"/>
                <w:sz w:val="18"/>
                <w:szCs w:val="18"/>
                <w:b w:val="1"/>
                <w:bCs w:val="1"/>
                <w:color w:val="auto"/>
                <w:w w:val="90"/>
              </w:rPr>
              <w:t>If this statement is filed pursuant to §§240.13d-1(b) or 240.13d-2(b) or (c), check whether the person filing is a:</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r>
      <w:tr>
        <w:trPr>
          <w:trHeight w:val="648"/>
        </w:trPr>
        <w:tc>
          <w:tcPr>
            <w:tcW w:w="6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(b)</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Bank as defined in section 3(a)(6) of the Act (15 U.S.C. 78c).</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(c)</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Insurance Company as defined in Section 3(a)(19) of the Act</w:t>
            </w:r>
          </w:p>
        </w:tc>
      </w:tr>
    </w:tbl>
    <w:p>
      <w:pPr>
        <w:spacing w:after="0" w:line="94" w:lineRule="exact"/>
        <w:rPr>
          <w:sz w:val="20"/>
          <w:szCs w:val="20"/>
          <w:color w:val="auto"/>
        </w:rPr>
      </w:pPr>
    </w:p>
    <w:p>
      <w:pPr>
        <w:ind w:left="780" w:hanging="772"/>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0000" w:type="dxa"/>
            <w:vAlign w:val="bottom"/>
          </w:tcPr>
          <w:p>
            <w:pPr>
              <w:ind w:left="300"/>
              <w:spacing w:after="0"/>
              <w:rPr>
                <w:sz w:val="20"/>
                <w:szCs w:val="20"/>
                <w:color w:val="auto"/>
              </w:rPr>
            </w:pPr>
            <w:r>
              <w:rPr>
                <w:rFonts w:ascii="Arial" w:cs="Arial" w:eastAsia="Arial" w:hAnsi="Arial"/>
                <w:sz w:val="18"/>
                <w:szCs w:val="18"/>
                <w:color w:val="auto"/>
              </w:rPr>
              <w:t>An investment adviser in accordance with §240.13d-1(b)(1)(ii)(E);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(f)</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0000" w:type="dxa"/>
            <w:vAlign w:val="bottom"/>
          </w:tcPr>
          <w:p>
            <w:pPr>
              <w:ind w:left="30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(g)</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0000" w:type="dxa"/>
            <w:vAlign w:val="bottom"/>
          </w:tcPr>
          <w:p>
            <w:pPr>
              <w:ind w:left="30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(h)</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0000" w:type="dxa"/>
            <w:vAlign w:val="bottom"/>
          </w:tcPr>
          <w:p>
            <w:pPr>
              <w:ind w:left="30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(i)</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0000" w:type="dxa"/>
            <w:vAlign w:val="bottom"/>
          </w:tcPr>
          <w:p>
            <w:pPr>
              <w:ind w:left="300"/>
              <w:spacing w:after="0"/>
              <w:rPr>
                <w:sz w:val="20"/>
                <w:szCs w:val="20"/>
                <w:color w:val="auto"/>
              </w:rPr>
            </w:pPr>
            <w:r>
              <w:rPr>
                <w:rFonts w:ascii="Arial" w:cs="Arial" w:eastAsia="Arial" w:hAnsi="Arial"/>
                <w:sz w:val="18"/>
                <w:szCs w:val="18"/>
                <w:color w:val="auto"/>
                <w:w w:val="93"/>
              </w:rPr>
              <w:t>A church plan that is excluded from the definition of an investment company under section 3(c)(14) of the Investment Company Act</w:t>
            </w:r>
          </w:p>
        </w:tc>
      </w:tr>
      <w:tr>
        <w:trPr>
          <w:trHeight w:val="230"/>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of 1940 (15 U.S.C. 80a-3);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(j)</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0000" w:type="dxa"/>
            <w:vAlign w:val="bottom"/>
          </w:tcPr>
          <w:p>
            <w:pPr>
              <w:ind w:left="300"/>
              <w:spacing w:after="0"/>
              <w:rPr>
                <w:sz w:val="20"/>
                <w:szCs w:val="20"/>
                <w:color w:val="auto"/>
              </w:rPr>
            </w:pPr>
            <w:r>
              <w:rPr>
                <w:rFonts w:ascii="Arial" w:cs="Arial" w:eastAsia="Arial" w:hAnsi="Arial"/>
                <w:sz w:val="18"/>
                <w:szCs w:val="18"/>
                <w:color w:val="auto"/>
              </w:rPr>
              <w:t>A non-U.S. institution in accordance with §240.13d–1(b)(1)(ii)(J);</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0000" w:type="dxa"/>
            <w:vAlign w:val="bottom"/>
          </w:tcPr>
          <w:p>
            <w:pPr>
              <w:ind w:left="300"/>
              <w:spacing w:after="0"/>
              <w:rPr>
                <w:sz w:val="20"/>
                <w:szCs w:val="20"/>
                <w:color w:val="auto"/>
              </w:rPr>
            </w:pPr>
            <w:r>
              <w:rPr>
                <w:rFonts w:ascii="Arial" w:cs="Arial" w:eastAsia="Arial" w:hAnsi="Arial"/>
                <w:sz w:val="18"/>
                <w:szCs w:val="18"/>
                <w:color w:val="auto"/>
              </w:rPr>
              <w:t>Group, in accordance with §240.13d-1(b)(1)(ii)(K).</w:t>
            </w:r>
          </w:p>
        </w:tc>
      </w:tr>
    </w:tbl>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2"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182" w:lineRule="exact"/>
        <w:rPr>
          <w:sz w:val="20"/>
          <w:szCs w:val="20"/>
          <w:color w:val="auto"/>
        </w:rPr>
      </w:pPr>
    </w:p>
    <w:p>
      <w:pPr>
        <w:ind w:left="800" w:hanging="792"/>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800" w:right="5660"/>
        <w:spacing w:after="0" w:line="267"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1,271,998 shares Cormorant Global Healthcare GP, LLC – 1,271,998 shares Cormorant Private Healthcare Fund II, LP – 281,422 shares Cormorant Private Healthcare GP II, LLC – 281,422 shares Cormorant Private Healthcare Fund III, LP – 351,849 shares Cormorant Private Healthcare GP III, LLC – 351,849 shares Cormorant Asset Management, LP – 1,964,268 shares</w:t>
      </w:r>
    </w:p>
    <w:p>
      <w:pPr>
        <w:spacing w:after="0" w:line="4"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Bihua Chen – 1,964,268 shares</w:t>
      </w:r>
    </w:p>
    <w:p>
      <w:pPr>
        <w:spacing w:after="0" w:line="102" w:lineRule="exact"/>
        <w:rPr>
          <w:rFonts w:ascii="Arial" w:cs="Arial" w:eastAsia="Arial" w:hAnsi="Arial"/>
          <w:sz w:val="18"/>
          <w:szCs w:val="18"/>
          <w:color w:val="auto"/>
        </w:rPr>
      </w:pPr>
    </w:p>
    <w:p>
      <w:pPr>
        <w:ind w:left="800" w:hanging="792"/>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800" w:right="6400"/>
        <w:spacing w:after="0" w:line="267"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6.33% Cormorant Global Healthcare GP, LLC – 6.33% Cormorant Private Healthcare Fund II, LP – 1.40% Cormorant Private Healthcare GP II, LLC – 1.40% Cormorant Private Healthcare Fund III, LP – 1.75% Cormorant Private Healthcare GP III, LLC – 1.75% Cormorant Asset Management, LP – 9.78%</w:t>
      </w:r>
    </w:p>
    <w:p>
      <w:pPr>
        <w:spacing w:after="0" w:line="4"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Bihua Chen – 9.78%</w:t>
      </w:r>
    </w:p>
    <w:p>
      <w:pPr>
        <w:spacing w:after="0" w:line="237" w:lineRule="exact"/>
        <w:rPr>
          <w:rFonts w:ascii="Arial" w:cs="Arial" w:eastAsia="Arial" w:hAnsi="Arial"/>
          <w:sz w:val="18"/>
          <w:szCs w:val="18"/>
          <w:color w:val="auto"/>
        </w:rPr>
      </w:pPr>
    </w:p>
    <w:p>
      <w:pPr>
        <w:ind w:left="800" w:hanging="792"/>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560" w:hanging="769"/>
        <w:spacing w:after="0"/>
        <w:tabs>
          <w:tab w:leader="none" w:pos="1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560" w:right="5540"/>
        <w:spacing w:after="0" w:line="267"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Private Healthcare Fund II, LP - 0 shares Cormorant Private Healthcare GP II, LLC - 0 shares Cormorant Private Healthcare Fund III, LP - 0 shares Cormorant Private Healthcare GP III, LLC - 0 shares Cormorant Asset Management, LP - 0 shares</w:t>
      </w:r>
    </w:p>
    <w:p>
      <w:pPr>
        <w:spacing w:after="0" w:line="4"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560" w:hanging="769"/>
        <w:spacing w:after="0"/>
        <w:tabs>
          <w:tab w:leader="none" w:pos="1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560" w:right="4880"/>
        <w:spacing w:after="0" w:line="267"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1,271,998 shares Cormorant Global Healthcare GP, LLC – 1,271,998 shares Cormorant Private Healthcare Fund II, LP – 281,422 shares Cormorant Private Healthcare GP II, LLC – 281,422 shares Cormorant Private Healthcare Fund III, LP – 351,849 shares Cormorant Private Healthcare GP III, LLC – 351,849 shares Cormorant Asset Management, LP – 1,964,268 shares</w:t>
      </w:r>
    </w:p>
    <w:p>
      <w:pPr>
        <w:spacing w:after="0" w:line="4"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Bihua Chen – 1,964,268 shares</w:t>
      </w:r>
    </w:p>
    <w:p>
      <w:pPr>
        <w:spacing w:after="0" w:line="102" w:lineRule="exact"/>
        <w:rPr>
          <w:rFonts w:ascii="Arial" w:cs="Arial" w:eastAsia="Arial" w:hAnsi="Arial"/>
          <w:sz w:val="18"/>
          <w:szCs w:val="18"/>
          <w:color w:val="auto"/>
        </w:rPr>
      </w:pPr>
    </w:p>
    <w:p>
      <w:pPr>
        <w:ind w:left="1560" w:hanging="769"/>
        <w:spacing w:after="0"/>
        <w:tabs>
          <w:tab w:leader="none" w:pos="1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ectPr>
          <w:pgSz w:w="11900" w:h="16838" w:orient="portrait"/>
          <w:cols w:equalWidth="0" w:num="1">
            <w:col w:w="11240"/>
          </w:cols>
          <w:pgMar w:left="320" w:top="121" w:right="339" w:bottom="0" w:gutter="0" w:footer="0" w:header="0"/>
        </w:sectPr>
      </w:pPr>
    </w:p>
    <w:bookmarkStart w:id="11" w:name="page12"/>
    <w:bookmarkEnd w:id="11"/>
    <w:p>
      <w:pPr>
        <w:ind w:left="1560"/>
        <w:spacing w:after="0"/>
        <w:rPr>
          <w:sz w:val="20"/>
          <w:szCs w:val="20"/>
          <w:color w:val="auto"/>
        </w:rPr>
      </w:pPr>
      <w:r>
        <w:rPr>
          <w:rFonts w:ascii="Arial" w:cs="Arial" w:eastAsia="Arial" w:hAnsi="Arial"/>
          <w:sz w:val="18"/>
          <w:szCs w:val="18"/>
          <w:color w:val="auto"/>
        </w:rPr>
        <w:t>Cormorant Global Healthcare Master Fund, LP - 0 shares</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Cormorant Global Healthcare GP, LLC - 0 shares</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Cormorant Private Healthcare Fund II, LP - 0 shares</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Cormorant Private Healthcare GP II, LLC - 0 shares</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Cormorant Private Healthcare Fund III, LP - 0 shares</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Cormorant Private Healthcare GP III, LLC - 0 shares</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Cormorant Asset Management, LP - 0 shares</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Bihua Chen - 0 shares</w:t>
      </w:r>
    </w:p>
    <w:p>
      <w:pPr>
        <w:spacing w:after="0" w:line="211" w:lineRule="exact"/>
        <w:rPr>
          <w:sz w:val="20"/>
          <w:szCs w:val="20"/>
          <w:color w:val="auto"/>
        </w:rPr>
      </w:pPr>
    </w:p>
    <w:p>
      <w:pPr>
        <w:ind w:left="1560" w:hanging="769"/>
        <w:spacing w:after="0"/>
        <w:tabs>
          <w:tab w:leader="none" w:pos="15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560" w:right="4880"/>
        <w:spacing w:after="0" w:line="267"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1,271,998 shares Cormorant Global Healthcare GP, LLC – 1,271,998 shares Cormorant Private Healthcare Fund II, LP – 281,422 shares Cormorant Private Healthcare GP II, LLC – 281,422 shares Cormorant Private Healthcare Fund III, LP – 351,849 shares Cormorant Private Healthcare GP III, LLC – 351,849 shares Cormorant Asset Management, LP – 1,964,268 shares</w:t>
      </w:r>
    </w:p>
    <w:p>
      <w:pPr>
        <w:spacing w:after="0" w:line="4"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Bihua Chen – 1,964,268 shares</w:t>
      </w:r>
    </w:p>
    <w:p>
      <w:pPr>
        <w:spacing w:after="0" w:line="200" w:lineRule="exact"/>
        <w:rPr>
          <w:rFonts w:ascii="Arial" w:cs="Arial" w:eastAsia="Arial" w:hAnsi="Arial"/>
          <w:sz w:val="18"/>
          <w:szCs w:val="18"/>
          <w:color w:val="auto"/>
        </w:rPr>
      </w:pPr>
    </w:p>
    <w:p>
      <w:pPr>
        <w:spacing w:after="0" w:line="314" w:lineRule="exact"/>
        <w:rPr>
          <w:rFonts w:ascii="Arial" w:cs="Arial" w:eastAsia="Arial" w:hAnsi="Arial"/>
          <w:sz w:val="18"/>
          <w:szCs w:val="18"/>
          <w:color w:val="auto"/>
        </w:rPr>
      </w:pPr>
    </w:p>
    <w:p>
      <w:pPr>
        <w:jc w:val="both"/>
        <w:ind w:left="660" w:hanging="4"/>
        <w:spacing w:after="0" w:line="233" w:lineRule="auto"/>
        <w:tabs>
          <w:tab w:leader="none" w:pos="1052" w:val="left"/>
        </w:tabs>
        <w:numPr>
          <w:ilvl w:val="0"/>
          <w:numId w:val="55"/>
        </w:numPr>
        <w:rPr>
          <w:rFonts w:ascii="Arial" w:cs="Arial" w:eastAsia="Arial" w:hAnsi="Arial"/>
          <w:sz w:val="22"/>
          <w:szCs w:val="22"/>
          <w:color w:val="auto"/>
        </w:rPr>
      </w:pPr>
      <w:r>
        <w:rPr>
          <w:rFonts w:ascii="Arial" w:cs="Arial" w:eastAsia="Arial" w:hAnsi="Arial"/>
          <w:sz w:val="22"/>
          <w:szCs w:val="22"/>
          <w:color w:val="auto"/>
        </w:rPr>
        <w:t>Shares reported herein for Cormorant Asset Management, LP represent shares which are beneficially by Cormorant Global Healthcare Master Fund, LP (the “Master Fund”), Cormorant Private Healthcare Fund II, LP (“Fund II”) and Cormorant Private Healthcare Fund III, LP (“Fund III”), as reported herein, and a managed account (the “Account”). Cormorant Global Healthcare GP, LLC, Cormorant Private Healthcare GP II, LLC and Cormorant Private Healthcare GP III, LLC serve as the general partners of the Master Fund, Fund II and Fund III, respectively. Cormorant Asset Management, LP serves as the investment manager to the Master Fund, Fund II, Fund III and the Account. Bihua Chen serves as the managing member of Cormorant Global Healthcare GP, LLC, Cormorant Private Healthcare GP II, LLC, Cormorant Private Healthcare GP III, LLC and the general partner of Cormorant Asset Management, LP. Each of the Reporting Persons disclaims beneficial ownership of the shares reported herein except to the extent of its or his pecuniary interest therein.</w:t>
      </w:r>
    </w:p>
    <w:p>
      <w:pPr>
        <w:spacing w:after="0" w:line="69" w:lineRule="exact"/>
        <w:rPr>
          <w:sz w:val="20"/>
          <w:szCs w:val="20"/>
          <w:color w:val="auto"/>
        </w:rPr>
      </w:pPr>
    </w:p>
    <w:p>
      <w:pPr>
        <w:jc w:val="both"/>
        <w:ind w:left="660"/>
        <w:spacing w:after="0" w:line="277" w:lineRule="auto"/>
        <w:rPr>
          <w:sz w:val="20"/>
          <w:szCs w:val="20"/>
          <w:color w:val="auto"/>
        </w:rPr>
      </w:pPr>
      <w:r>
        <w:rPr>
          <w:rFonts w:ascii="Arial" w:cs="Arial" w:eastAsia="Arial" w:hAnsi="Arial"/>
          <w:sz w:val="19"/>
          <w:szCs w:val="19"/>
          <w:color w:val="auto"/>
        </w:rPr>
        <w:t>The percentages reported herein with respect to the Reporting Persons’ holdings are calculated based upon (i) a statement in the Issuer’s Prospectus dated October 15, 2020, as filed with the Securities and Exchange Commission on October 16, 2020, that there would be 19,259,014 shares of Common Stock of the Issuer outstanding immediately after public offering to which the Prospectus related, without taking into account any additional shares of Common Stock that might be issued to the underwriters of the offering upon the exercise of their overallotment option, and (ii) the statement in the Issuer's press release dated October 20, 2020 that, at the closing of such offering, the Issuer sold an additional 825,000 shares of Common Stock in connection with the exercise in full by the underwriters of their option to purchase additional shares.</w:t>
      </w:r>
    </w:p>
    <w:p>
      <w:pPr>
        <w:spacing w:after="0" w:line="3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2" w:lineRule="exact"/>
        <w:rPr>
          <w:sz w:val="20"/>
          <w:szCs w:val="20"/>
          <w:color w:val="auto"/>
        </w:rPr>
      </w:pPr>
    </w:p>
    <w:p>
      <w:pPr>
        <w:jc w:val="center"/>
        <w:ind w:right="796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Exhibits</w:t>
        <w:tab/>
        <w:t>Exhibit</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99.1</w:t>
      </w:r>
      <w:r>
        <w:rPr>
          <w:sz w:val="20"/>
          <w:szCs w:val="20"/>
          <w:color w:val="auto"/>
        </w:rPr>
        <w:tab/>
      </w:r>
      <w:r>
        <w:rPr>
          <w:rFonts w:ascii="Arial" w:cs="Arial" w:eastAsia="Arial" w:hAnsi="Arial"/>
          <w:sz w:val="19"/>
          <w:szCs w:val="19"/>
          <w:color w:val="auto"/>
        </w:rPr>
        <w:t>Joint Filing Agreement by and among the Reporting Persons.</w:t>
      </w:r>
    </w:p>
    <w:p>
      <w:pPr>
        <w:sectPr>
          <w:pgSz w:w="11900" w:h="16838" w:orient="portrait"/>
          <w:cols w:equalWidth="0" w:num="1">
            <w:col w:w="11240"/>
          </w:cols>
          <w:pgMar w:left="320" w:top="125" w:right="339" w:bottom="0" w:gutter="0" w:footer="0" w:header="0"/>
          <w:type w:val="continuous"/>
        </w:sectPr>
      </w:pPr>
    </w:p>
    <w:bookmarkStart w:id="12" w:name="page13"/>
    <w:bookmarkEnd w:id="12"/>
    <w:p>
      <w:pPr>
        <w:spacing w:after="0"/>
        <w:tabs>
          <w:tab w:leader="none" w:pos="9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October 30,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20" w:right="1300"/>
        <w:spacing w:after="0" w:line="239" w:lineRule="auto"/>
        <w:rPr>
          <w:sz w:val="20"/>
          <w:szCs w:val="20"/>
          <w:color w:val="auto"/>
        </w:rPr>
      </w:pPr>
      <w:r>
        <w:rPr>
          <w:rFonts w:ascii="Arial" w:cs="Arial" w:eastAsia="Arial" w:hAnsi="Arial"/>
          <w:sz w:val="22"/>
          <w:szCs w:val="22"/>
          <w:color w:val="auto"/>
        </w:rPr>
        <w:t>CORMORANT GLOBAL HEALTHCARE MASTER FUND, LP By: Cormorant Global Healthcare GP, LLC</w:t>
      </w:r>
    </w:p>
    <w:p>
      <w:pPr>
        <w:ind w:left="45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GLOBAL HEALTHCARE GP, LLC</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PRIVATE HEALTHCARE FUND II, LP</w:t>
      </w:r>
    </w:p>
    <w:p>
      <w:pPr>
        <w:ind w:left="4220"/>
        <w:spacing w:after="0" w:line="238" w:lineRule="auto"/>
        <w:rPr>
          <w:sz w:val="20"/>
          <w:szCs w:val="20"/>
          <w:color w:val="auto"/>
        </w:rPr>
      </w:pPr>
      <w:r>
        <w:rPr>
          <w:rFonts w:ascii="Arial" w:cs="Arial" w:eastAsia="Arial" w:hAnsi="Arial"/>
          <w:sz w:val="22"/>
          <w:szCs w:val="22"/>
          <w:color w:val="auto"/>
        </w:rPr>
        <w:t>By: Cormorant Private Healthcare GP II, LLC</w:t>
      </w:r>
    </w:p>
    <w:p>
      <w:pPr>
        <w:ind w:left="45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PRIVATE HEALTHCARE GP II, LLC</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PRIVATE HEALTHCARE FUND III, LP</w:t>
      </w:r>
    </w:p>
    <w:p>
      <w:pPr>
        <w:ind w:left="4220"/>
        <w:spacing w:after="0" w:line="238" w:lineRule="auto"/>
        <w:rPr>
          <w:sz w:val="20"/>
          <w:szCs w:val="20"/>
          <w:color w:val="auto"/>
        </w:rPr>
      </w:pPr>
      <w:r>
        <w:rPr>
          <w:rFonts w:ascii="Arial" w:cs="Arial" w:eastAsia="Arial" w:hAnsi="Arial"/>
          <w:sz w:val="22"/>
          <w:szCs w:val="22"/>
          <w:color w:val="auto"/>
        </w:rPr>
        <w:t>By: Cormorant Private Healthcare GP III, LLC</w:t>
      </w:r>
    </w:p>
    <w:p>
      <w:pPr>
        <w:ind w:left="45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PRIVATE HEALTHCARE GP III, LLC</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ASSET MANAGEMENT, LP</w:t>
      </w:r>
    </w:p>
    <w:p>
      <w:pPr>
        <w:ind w:left="4220"/>
        <w:spacing w:after="0" w:line="238" w:lineRule="auto"/>
        <w:rPr>
          <w:sz w:val="20"/>
          <w:szCs w:val="20"/>
          <w:color w:val="auto"/>
        </w:rPr>
      </w:pPr>
      <w:r>
        <w:rPr>
          <w:rFonts w:ascii="Arial" w:cs="Arial" w:eastAsia="Arial" w:hAnsi="Arial"/>
          <w:sz w:val="22"/>
          <w:szCs w:val="22"/>
          <w:color w:val="auto"/>
        </w:rPr>
        <w:t>By: Cormorant Asset Management GP, LLC</w:t>
      </w:r>
    </w:p>
    <w:p>
      <w:pPr>
        <w:ind w:left="45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w:t>
      </w:r>
    </w:p>
    <w:p>
      <w:pPr>
        <w:sectPr>
          <w:pgSz w:w="11900" w:h="16838" w:orient="portrait"/>
          <w:cols w:equalWidth="0" w:num="1">
            <w:col w:w="11240"/>
          </w:cols>
          <w:pgMar w:left="320" w:top="112"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12" w:lineRule="exact"/>
        <w:rPr>
          <w:sz w:val="20"/>
          <w:szCs w:val="20"/>
          <w:color w:val="auto"/>
        </w:rPr>
      </w:pPr>
    </w:p>
    <w:p>
      <w:pPr>
        <w:jc w:val="both"/>
        <w:ind w:firstLine="810"/>
        <w:spacing w:after="0" w:line="238" w:lineRule="auto"/>
        <w:rPr>
          <w:sz w:val="20"/>
          <w:szCs w:val="20"/>
          <w:color w:val="auto"/>
        </w:rPr>
      </w:pPr>
      <w:r>
        <w:rPr>
          <w:rFonts w:ascii="Arial" w:cs="Arial" w:eastAsia="Arial" w:hAnsi="Arial"/>
          <w:sz w:val="22"/>
          <w:szCs w:val="22"/>
          <w:color w:val="auto"/>
        </w:rPr>
        <w:t>This Joint Filing Agreement, dated as of October 30, 2020, is by and among Cormorant Global Healthcare Master Fund, LP, Cormorant Global Healthcare GP, LLC, Cormorant Private Healthcare Fund II, LP, Cormorant Private Healthcare GP II, LLC, Cormorant Private Healthcare Fund III, LP, Cormorant Private Healthcare GP III, LLC, Cormorant Asset Management, LP and Bihua Chen (collectively, the “Filers”).</w:t>
      </w:r>
    </w:p>
    <w:p>
      <w:pPr>
        <w:spacing w:after="0" w:line="185" w:lineRule="exact"/>
        <w:rPr>
          <w:sz w:val="20"/>
          <w:szCs w:val="20"/>
          <w:color w:val="auto"/>
        </w:rPr>
      </w:pPr>
    </w:p>
    <w:p>
      <w:pPr>
        <w:jc w:val="both"/>
        <w:ind w:firstLine="810"/>
        <w:spacing w:after="0"/>
        <w:rPr>
          <w:sz w:val="20"/>
          <w:szCs w:val="20"/>
          <w:color w:val="auto"/>
        </w:rPr>
      </w:pPr>
      <w:r>
        <w:rPr>
          <w:rFonts w:ascii="Arial" w:cs="Arial" w:eastAsia="Arial" w:hAnsi="Arial"/>
          <w:sz w:val="22"/>
          <w:szCs w:val="22"/>
          <w:color w:val="auto"/>
        </w:rPr>
        <w:t>Each of the Filers may be required to file with the United States Securities and Exchange Commission a statement on Schedule 13D and/or 13G with respect to shares of Common Stock of Tarsus Pharmaceuticals, Inc. beneficially owned by them from time to time.</w:t>
      </w:r>
    </w:p>
    <w:p>
      <w:pPr>
        <w:spacing w:after="0" w:line="213" w:lineRule="exact"/>
        <w:rPr>
          <w:sz w:val="20"/>
          <w:szCs w:val="20"/>
          <w:color w:val="auto"/>
        </w:rPr>
      </w:pPr>
    </w:p>
    <w:p>
      <w:pPr>
        <w:jc w:val="both"/>
        <w:ind w:firstLine="810"/>
        <w:spacing w:after="0" w:line="238" w:lineRule="auto"/>
        <w:rPr>
          <w:sz w:val="20"/>
          <w:szCs w:val="20"/>
          <w:color w:val="auto"/>
        </w:rPr>
      </w:pPr>
      <w:r>
        <w:rPr>
          <w:rFonts w:ascii="Arial" w:cs="Arial" w:eastAsia="Arial" w:hAnsi="Arial"/>
          <w:sz w:val="22"/>
          <w:szCs w:val="22"/>
          <w:color w:val="auto"/>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spacing w:after="0" w:line="212" w:lineRule="exact"/>
        <w:rPr>
          <w:sz w:val="20"/>
          <w:szCs w:val="20"/>
          <w:color w:val="auto"/>
        </w:rPr>
      </w:pPr>
    </w:p>
    <w:p>
      <w:pPr>
        <w:jc w:val="both"/>
        <w:ind w:right="20" w:firstLine="810"/>
        <w:spacing w:after="0" w:line="250" w:lineRule="auto"/>
        <w:rPr>
          <w:sz w:val="20"/>
          <w:szCs w:val="20"/>
          <w:color w:val="auto"/>
        </w:rPr>
      </w:pPr>
      <w:r>
        <w:rPr>
          <w:rFonts w:ascii="Arial" w:cs="Arial" w:eastAsia="Arial" w:hAnsi="Arial"/>
          <w:sz w:val="22"/>
          <w:szCs w:val="22"/>
          <w:color w:val="auto"/>
        </w:rPr>
        <w:t>This Joint Filing Agreement may be terminated by any of the Filers upon written notice or such lesser period of notice as the Filers may mutually agree.</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20" w:right="1300"/>
        <w:spacing w:after="0" w:line="239" w:lineRule="auto"/>
        <w:rPr>
          <w:sz w:val="20"/>
          <w:szCs w:val="20"/>
          <w:color w:val="auto"/>
        </w:rPr>
      </w:pPr>
      <w:r>
        <w:rPr>
          <w:rFonts w:ascii="Arial" w:cs="Arial" w:eastAsia="Arial" w:hAnsi="Arial"/>
          <w:sz w:val="22"/>
          <w:szCs w:val="22"/>
          <w:color w:val="auto"/>
        </w:rPr>
        <w:t>CORMORANT GLOBAL HEALTHCARE MASTER FUND, LP By: Cormorant Global Healthcare GP, LLC</w:t>
      </w:r>
    </w:p>
    <w:p>
      <w:pPr>
        <w:ind w:left="45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GLOBAL HEALTHCARE GP, LLC</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PRIVATE HEALTHCARE FUND II, LP</w:t>
      </w:r>
    </w:p>
    <w:p>
      <w:pPr>
        <w:ind w:left="4220"/>
        <w:spacing w:after="0" w:line="238" w:lineRule="auto"/>
        <w:rPr>
          <w:sz w:val="20"/>
          <w:szCs w:val="20"/>
          <w:color w:val="auto"/>
        </w:rPr>
      </w:pPr>
      <w:r>
        <w:rPr>
          <w:rFonts w:ascii="Arial" w:cs="Arial" w:eastAsia="Arial" w:hAnsi="Arial"/>
          <w:sz w:val="22"/>
          <w:szCs w:val="22"/>
          <w:color w:val="auto"/>
        </w:rPr>
        <w:t>By: Cormorant Private Healthcare GP II, LLC</w:t>
      </w:r>
    </w:p>
    <w:p>
      <w:pPr>
        <w:ind w:left="45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PRIVATE HEALTHCARE GP II, LLC</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PRIVATE HEALTHCARE FUND III, LP</w:t>
      </w:r>
    </w:p>
    <w:p>
      <w:pPr>
        <w:ind w:left="4220"/>
        <w:spacing w:after="0" w:line="238" w:lineRule="auto"/>
        <w:rPr>
          <w:sz w:val="20"/>
          <w:szCs w:val="20"/>
          <w:color w:val="auto"/>
        </w:rPr>
      </w:pPr>
      <w:r>
        <w:rPr>
          <w:rFonts w:ascii="Arial" w:cs="Arial" w:eastAsia="Arial" w:hAnsi="Arial"/>
          <w:sz w:val="22"/>
          <w:szCs w:val="22"/>
          <w:color w:val="auto"/>
        </w:rPr>
        <w:t>By: Cormorant Private Healthcare GP III, LLC</w:t>
      </w:r>
    </w:p>
    <w:p>
      <w:pPr>
        <w:ind w:left="45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PRIVATE HEALTHCARE GP III, LLC</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ASSET MANAGEMENT, LP</w:t>
      </w:r>
    </w:p>
    <w:p>
      <w:pPr>
        <w:ind w:left="4220"/>
        <w:spacing w:after="0" w:line="238" w:lineRule="auto"/>
        <w:rPr>
          <w:sz w:val="20"/>
          <w:szCs w:val="20"/>
          <w:color w:val="auto"/>
        </w:rPr>
      </w:pPr>
      <w:r>
        <w:rPr>
          <w:rFonts w:ascii="Arial" w:cs="Arial" w:eastAsia="Arial" w:hAnsi="Arial"/>
          <w:sz w:val="22"/>
          <w:szCs w:val="22"/>
          <w:color w:val="auto"/>
        </w:rPr>
        <w:t>By: Cormorant Asset Management GP, LLC</w:t>
      </w:r>
    </w:p>
    <w:p>
      <w:pPr>
        <w:ind w:left="45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ectPr>
          <w:pgSz w:w="11900" w:h="16838" w:orient="portrait"/>
          <w:cols w:equalWidth="0" w:num="1">
            <w:col w:w="11240"/>
          </w:cols>
          <w:pgMar w:left="320" w:top="112" w:right="339" w:bottom="0" w:gutter="0" w:footer="0" w:header="0"/>
        </w:sectPr>
      </w:pPr>
    </w:p>
    <w:bookmarkStart w:id="15" w:name="page16"/>
    <w:bookmarkEnd w:id="15"/>
    <w:p>
      <w:pPr>
        <w:ind w:left="3100"/>
        <w:spacing w:after="0"/>
        <w:rPr>
          <w:sz w:val="20"/>
          <w:szCs w:val="20"/>
          <w:color w:val="auto"/>
        </w:rPr>
      </w:pPr>
      <w:r>
        <w:rPr>
          <w:rFonts w:ascii="Arial" w:cs="Arial" w:eastAsia="Arial" w:hAnsi="Arial"/>
          <w:sz w:val="19"/>
          <w:szCs w:val="19"/>
          <w:u w:val="single" w:color="auto"/>
          <w:color w:val="auto"/>
        </w:rPr>
        <w:t>/s/ Bihua Chen</w:t>
      </w:r>
    </w:p>
    <w:p>
      <w:pPr>
        <w:spacing w:after="0" w:line="43"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Bihua Chen</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lowerRoman"/>
      <w:start w:val="10"/>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bullet"/>
      <w:start w:val="1"/>
    </w:lvl>
  </w:abstractNum>
  <w:abstractNum w:abstractNumId="3">
    <w:nsid w:val="3A95F874"/>
    <w:multiLevelType w:val="hybridMultilevel"/>
    <w:lvl w:ilvl="0">
      <w:lvlJc w:val="left"/>
      <w:lvlText w:val="2"/>
      <w:numFmt w:val="bullet"/>
      <w:start w:val="1"/>
    </w:lvl>
    <w:lvl w:ilvl="1">
      <w:lvlJc w:val="left"/>
      <w:lvlText w:val="(%2)"/>
      <w:numFmt w:val="lowerLetter"/>
      <w:start w:val="1"/>
    </w:lvl>
  </w:abstractNum>
  <w:abstractNum w:abstractNumId="4">
    <w:nsid w:val="8138641"/>
    <w:multiLevelType w:val="hybridMultilevel"/>
    <w:lvl w:ilvl="0">
      <w:lvlJc w:val="left"/>
      <w:lvlText w:val="3"/>
      <w:numFmt w:val="bullet"/>
      <w:start w:val="1"/>
    </w:lvl>
  </w:abstractNum>
  <w:abstractNum w:abstractNumId="5">
    <w:nsid w:val="1E7FF521"/>
    <w:multiLevelType w:val="hybridMultilevel"/>
    <w:lvl w:ilvl="0">
      <w:lvlJc w:val="left"/>
      <w:lvlText w:val="4"/>
      <w:numFmt w:val="bullet"/>
      <w:start w:val="1"/>
    </w:lvl>
  </w:abstractNum>
  <w:abstractNum w:abstractNumId="6">
    <w:nsid w:val="7C3DBD3D"/>
    <w:multiLevelType w:val="hybridMultilevel"/>
    <w:lvl w:ilvl="0">
      <w:lvlJc w:val="left"/>
      <w:lvlText w:val="9"/>
      <w:numFmt w:val="bullet"/>
      <w:start w:val="1"/>
    </w:lvl>
  </w:abstractNum>
  <w:abstractNum w:abstractNumId="7">
    <w:nsid w:val="737B8DDC"/>
    <w:multiLevelType w:val="hybridMultilevel"/>
    <w:lvl w:ilvl="0">
      <w:lvlJc w:val="left"/>
      <w:lvlText w:val="%1"/>
      <w:numFmt w:val="decimal"/>
      <w:start w:val="10"/>
    </w:lvl>
  </w:abstractNum>
  <w:abstractNum w:abstractNumId="8">
    <w:nsid w:val="6CEAF087"/>
    <w:multiLevelType w:val="hybridMultilevel"/>
    <w:lvl w:ilvl="0">
      <w:lvlJc w:val="left"/>
      <w:lvlText w:val="1"/>
      <w:numFmt w:val="bullet"/>
      <w:start w:val="1"/>
    </w:lvl>
  </w:abstractNum>
  <w:abstractNum w:abstractNumId="9">
    <w:nsid w:val="22221A70"/>
    <w:multiLevelType w:val="hybridMultilevel"/>
    <w:lvl w:ilvl="0">
      <w:lvlJc w:val="left"/>
      <w:lvlText w:val="2"/>
      <w:numFmt w:val="bullet"/>
      <w:start w:val="1"/>
    </w:lvl>
    <w:lvl w:ilvl="1">
      <w:lvlJc w:val="left"/>
      <w:lvlText w:val="(%2)"/>
      <w:numFmt w:val="lowerLetter"/>
      <w:start w:val="1"/>
    </w:lvl>
  </w:abstractNum>
  <w:abstractNum w:abstractNumId="10">
    <w:nsid w:val="4516DDE9"/>
    <w:multiLevelType w:val="hybridMultilevel"/>
    <w:lvl w:ilvl="0">
      <w:lvlJc w:val="left"/>
      <w:lvlText w:val="3"/>
      <w:numFmt w:val="bullet"/>
      <w:start w:val="1"/>
    </w:lvl>
  </w:abstractNum>
  <w:abstractNum w:abstractNumId="11">
    <w:nsid w:val="3006C83E"/>
    <w:multiLevelType w:val="hybridMultilevel"/>
    <w:lvl w:ilvl="0">
      <w:lvlJc w:val="left"/>
      <w:lvlText w:val="4"/>
      <w:numFmt w:val="bullet"/>
      <w:start w:val="1"/>
    </w:lvl>
  </w:abstractNum>
  <w:abstractNum w:abstractNumId="12">
    <w:nsid w:val="614FD4A1"/>
    <w:multiLevelType w:val="hybridMultilevel"/>
    <w:lvl w:ilvl="0">
      <w:lvlJc w:val="left"/>
      <w:lvlText w:val="9"/>
      <w:numFmt w:val="bullet"/>
      <w:start w:val="1"/>
    </w:lvl>
  </w:abstractNum>
  <w:abstractNum w:abstractNumId="13">
    <w:nsid w:val="419AC241"/>
    <w:multiLevelType w:val="hybridMultilevel"/>
    <w:lvl w:ilvl="0">
      <w:lvlJc w:val="left"/>
      <w:lvlText w:val="%1"/>
      <w:numFmt w:val="decimal"/>
      <w:start w:val="10"/>
    </w:lvl>
  </w:abstractNum>
  <w:abstractNum w:abstractNumId="14">
    <w:nsid w:val="5577F8E1"/>
    <w:multiLevelType w:val="hybridMultilevel"/>
    <w:lvl w:ilvl="0">
      <w:lvlJc w:val="left"/>
      <w:lvlText w:val="1"/>
      <w:numFmt w:val="bullet"/>
      <w:start w:val="1"/>
    </w:lvl>
  </w:abstractNum>
  <w:abstractNum w:abstractNumId="15">
    <w:nsid w:val="440BADFC"/>
    <w:multiLevelType w:val="hybridMultilevel"/>
    <w:lvl w:ilvl="0">
      <w:lvlJc w:val="left"/>
      <w:lvlText w:val="2"/>
      <w:numFmt w:val="bullet"/>
      <w:start w:val="1"/>
    </w:lvl>
    <w:lvl w:ilvl="1">
      <w:lvlJc w:val="left"/>
      <w:lvlText w:val="(%2)"/>
      <w:numFmt w:val="lowerLetter"/>
      <w:start w:val="1"/>
    </w:lvl>
  </w:abstractNum>
  <w:abstractNum w:abstractNumId="16">
    <w:nsid w:val="5072367"/>
    <w:multiLevelType w:val="hybridMultilevel"/>
    <w:lvl w:ilvl="0">
      <w:lvlJc w:val="left"/>
      <w:lvlText w:val="3"/>
      <w:numFmt w:val="bullet"/>
      <w:start w:val="1"/>
    </w:lvl>
  </w:abstractNum>
  <w:abstractNum w:abstractNumId="17">
    <w:nsid w:val="3804823E"/>
    <w:multiLevelType w:val="hybridMultilevel"/>
    <w:lvl w:ilvl="0">
      <w:lvlJc w:val="left"/>
      <w:lvlText w:val="4"/>
      <w:numFmt w:val="bullet"/>
      <w:start w:val="1"/>
    </w:lvl>
  </w:abstractNum>
  <w:abstractNum w:abstractNumId="18">
    <w:nsid w:val="77465F01"/>
    <w:multiLevelType w:val="hybridMultilevel"/>
    <w:lvl w:ilvl="0">
      <w:lvlJc w:val="left"/>
      <w:lvlText w:val="9"/>
      <w:numFmt w:val="bullet"/>
      <w:start w:val="1"/>
    </w:lvl>
  </w:abstractNum>
  <w:abstractNum w:abstractNumId="19">
    <w:nsid w:val="7724C67E"/>
    <w:multiLevelType w:val="hybridMultilevel"/>
    <w:lvl w:ilvl="0">
      <w:lvlJc w:val="left"/>
      <w:lvlText w:val="%1"/>
      <w:numFmt w:val="decimal"/>
      <w:start w:val="10"/>
    </w:lvl>
  </w:abstractNum>
  <w:abstractNum w:abstractNumId="20">
    <w:nsid w:val="5C482A97"/>
    <w:multiLevelType w:val="hybridMultilevel"/>
    <w:lvl w:ilvl="0">
      <w:lvlJc w:val="left"/>
      <w:lvlText w:val="1"/>
      <w:numFmt w:val="bullet"/>
      <w:start w:val="1"/>
    </w:lvl>
  </w:abstractNum>
  <w:abstractNum w:abstractNumId="21">
    <w:nsid w:val="2463B9EA"/>
    <w:multiLevelType w:val="hybridMultilevel"/>
    <w:lvl w:ilvl="0">
      <w:lvlJc w:val="left"/>
      <w:lvlText w:val="2"/>
      <w:numFmt w:val="bullet"/>
      <w:start w:val="1"/>
    </w:lvl>
    <w:lvl w:ilvl="1">
      <w:lvlJc w:val="left"/>
      <w:lvlText w:val="(%2)"/>
      <w:numFmt w:val="lowerLetter"/>
      <w:start w:val="1"/>
    </w:lvl>
  </w:abstractNum>
  <w:abstractNum w:abstractNumId="22">
    <w:nsid w:val="5E884ADC"/>
    <w:multiLevelType w:val="hybridMultilevel"/>
    <w:lvl w:ilvl="0">
      <w:lvlJc w:val="left"/>
      <w:lvlText w:val="3"/>
      <w:numFmt w:val="bullet"/>
      <w:start w:val="1"/>
    </w:lvl>
  </w:abstractNum>
  <w:abstractNum w:abstractNumId="23">
    <w:nsid w:val="51EAD36B"/>
    <w:multiLevelType w:val="hybridMultilevel"/>
    <w:lvl w:ilvl="0">
      <w:lvlJc w:val="left"/>
      <w:lvlText w:val="4"/>
      <w:numFmt w:val="bullet"/>
      <w:start w:val="1"/>
    </w:lvl>
  </w:abstractNum>
  <w:abstractNum w:abstractNumId="24">
    <w:nsid w:val="2D517796"/>
    <w:multiLevelType w:val="hybridMultilevel"/>
    <w:lvl w:ilvl="0">
      <w:lvlJc w:val="left"/>
      <w:lvlText w:val="9"/>
      <w:numFmt w:val="bullet"/>
      <w:start w:val="1"/>
    </w:lvl>
  </w:abstractNum>
  <w:abstractNum w:abstractNumId="25">
    <w:nsid w:val="580BD78F"/>
    <w:multiLevelType w:val="hybridMultilevel"/>
    <w:lvl w:ilvl="0">
      <w:lvlJc w:val="left"/>
      <w:lvlText w:val="%1"/>
      <w:numFmt w:val="decimal"/>
      <w:start w:val="10"/>
    </w:lvl>
  </w:abstractNum>
  <w:abstractNum w:abstractNumId="26">
    <w:nsid w:val="153EA438"/>
    <w:multiLevelType w:val="hybridMultilevel"/>
    <w:lvl w:ilvl="0">
      <w:lvlJc w:val="left"/>
      <w:lvlText w:val="1"/>
      <w:numFmt w:val="bullet"/>
      <w:start w:val="1"/>
    </w:lvl>
  </w:abstractNum>
  <w:abstractNum w:abstractNumId="27">
    <w:nsid w:val="3855585C"/>
    <w:multiLevelType w:val="hybridMultilevel"/>
    <w:lvl w:ilvl="0">
      <w:lvlJc w:val="left"/>
      <w:lvlText w:val="2"/>
      <w:numFmt w:val="bullet"/>
      <w:start w:val="1"/>
    </w:lvl>
    <w:lvl w:ilvl="1">
      <w:lvlJc w:val="left"/>
      <w:lvlText w:val="(%2)"/>
      <w:numFmt w:val="lowerLetter"/>
      <w:start w:val="1"/>
    </w:lvl>
  </w:abstractNum>
  <w:abstractNum w:abstractNumId="28">
    <w:nsid w:val="70A64E2A"/>
    <w:multiLevelType w:val="hybridMultilevel"/>
    <w:lvl w:ilvl="0">
      <w:lvlJc w:val="left"/>
      <w:lvlText w:val="3"/>
      <w:numFmt w:val="bullet"/>
      <w:start w:val="1"/>
    </w:lvl>
  </w:abstractNum>
  <w:abstractNum w:abstractNumId="29">
    <w:nsid w:val="6A2342EC"/>
    <w:multiLevelType w:val="hybridMultilevel"/>
    <w:lvl w:ilvl="0">
      <w:lvlJc w:val="left"/>
      <w:lvlText w:val="4"/>
      <w:numFmt w:val="bullet"/>
      <w:start w:val="1"/>
    </w:lvl>
  </w:abstractNum>
  <w:abstractNum w:abstractNumId="30">
    <w:nsid w:val="2A487CB0"/>
    <w:multiLevelType w:val="hybridMultilevel"/>
    <w:lvl w:ilvl="0">
      <w:lvlJc w:val="left"/>
      <w:lvlText w:val="9"/>
      <w:numFmt w:val="bullet"/>
      <w:start w:val="1"/>
    </w:lvl>
  </w:abstractNum>
  <w:abstractNum w:abstractNumId="31">
    <w:nsid w:val="1D4ED43B"/>
    <w:multiLevelType w:val="hybridMultilevel"/>
    <w:lvl w:ilvl="0">
      <w:lvlJc w:val="left"/>
      <w:lvlText w:val="%1"/>
      <w:numFmt w:val="decimal"/>
      <w:start w:val="10"/>
    </w:lvl>
  </w:abstractNum>
  <w:abstractNum w:abstractNumId="32">
    <w:nsid w:val="725A06FB"/>
    <w:multiLevelType w:val="hybridMultilevel"/>
    <w:lvl w:ilvl="0">
      <w:lvlJc w:val="left"/>
      <w:lvlText w:val="1"/>
      <w:numFmt w:val="bullet"/>
      <w:start w:val="1"/>
    </w:lvl>
  </w:abstractNum>
  <w:abstractNum w:abstractNumId="33">
    <w:nsid w:val="2CD89A32"/>
    <w:multiLevelType w:val="hybridMultilevel"/>
    <w:lvl w:ilvl="0">
      <w:lvlJc w:val="left"/>
      <w:lvlText w:val="2"/>
      <w:numFmt w:val="bullet"/>
      <w:start w:val="1"/>
    </w:lvl>
    <w:lvl w:ilvl="1">
      <w:lvlJc w:val="left"/>
      <w:lvlText w:val="(%2)"/>
      <w:numFmt w:val="lowerLetter"/>
      <w:start w:val="1"/>
    </w:lvl>
  </w:abstractNum>
  <w:abstractNum w:abstractNumId="34">
    <w:nsid w:val="57E4CCAF"/>
    <w:multiLevelType w:val="hybridMultilevel"/>
    <w:lvl w:ilvl="0">
      <w:lvlJc w:val="left"/>
      <w:lvlText w:val="3"/>
      <w:numFmt w:val="bullet"/>
      <w:start w:val="1"/>
    </w:lvl>
  </w:abstractNum>
  <w:abstractNum w:abstractNumId="35">
    <w:nsid w:val="7A6D8D3C"/>
    <w:multiLevelType w:val="hybridMultilevel"/>
    <w:lvl w:ilvl="0">
      <w:lvlJc w:val="left"/>
      <w:lvlText w:val="4"/>
      <w:numFmt w:val="bullet"/>
      <w:start w:val="1"/>
    </w:lvl>
  </w:abstractNum>
  <w:abstractNum w:abstractNumId="36">
    <w:nsid w:val="4B588F54"/>
    <w:multiLevelType w:val="hybridMultilevel"/>
    <w:lvl w:ilvl="0">
      <w:lvlJc w:val="left"/>
      <w:lvlText w:val="9"/>
      <w:numFmt w:val="bullet"/>
      <w:start w:val="1"/>
    </w:lvl>
  </w:abstractNum>
  <w:abstractNum w:abstractNumId="37">
    <w:nsid w:val="542289EC"/>
    <w:multiLevelType w:val="hybridMultilevel"/>
    <w:lvl w:ilvl="0">
      <w:lvlJc w:val="left"/>
      <w:lvlText w:val="%1"/>
      <w:numFmt w:val="decimal"/>
      <w:start w:val="10"/>
    </w:lvl>
  </w:abstractNum>
  <w:abstractNum w:abstractNumId="38">
    <w:nsid w:val="6DE91B18"/>
    <w:multiLevelType w:val="hybridMultilevel"/>
    <w:lvl w:ilvl="0">
      <w:lvlJc w:val="left"/>
      <w:lvlText w:val="1"/>
      <w:numFmt w:val="bullet"/>
      <w:start w:val="1"/>
    </w:lvl>
  </w:abstractNum>
  <w:abstractNum w:abstractNumId="39">
    <w:nsid w:val="38437FDB"/>
    <w:multiLevelType w:val="hybridMultilevel"/>
    <w:lvl w:ilvl="0">
      <w:lvlJc w:val="left"/>
      <w:lvlText w:val="2"/>
      <w:numFmt w:val="bullet"/>
      <w:start w:val="1"/>
    </w:lvl>
    <w:lvl w:ilvl="1">
      <w:lvlJc w:val="left"/>
      <w:lvlText w:val="(%2)"/>
      <w:numFmt w:val="lowerLetter"/>
      <w:start w:val="1"/>
    </w:lvl>
  </w:abstractNum>
  <w:abstractNum w:abstractNumId="40">
    <w:nsid w:val="7644A45C"/>
    <w:multiLevelType w:val="hybridMultilevel"/>
    <w:lvl w:ilvl="0">
      <w:lvlJc w:val="left"/>
      <w:lvlText w:val="3"/>
      <w:numFmt w:val="bullet"/>
      <w:start w:val="1"/>
    </w:lvl>
  </w:abstractNum>
  <w:abstractNum w:abstractNumId="41">
    <w:nsid w:val="32FFF902"/>
    <w:multiLevelType w:val="hybridMultilevel"/>
    <w:lvl w:ilvl="0">
      <w:lvlJc w:val="left"/>
      <w:lvlText w:val="4"/>
      <w:numFmt w:val="bullet"/>
      <w:start w:val="1"/>
    </w:lvl>
  </w:abstractNum>
  <w:abstractNum w:abstractNumId="42">
    <w:nsid w:val="684A481A"/>
    <w:multiLevelType w:val="hybridMultilevel"/>
    <w:lvl w:ilvl="0">
      <w:lvlJc w:val="left"/>
      <w:lvlText w:val="9"/>
      <w:numFmt w:val="bullet"/>
      <w:start w:val="1"/>
    </w:lvl>
  </w:abstractNum>
  <w:abstractNum w:abstractNumId="43">
    <w:nsid w:val="579478FE"/>
    <w:multiLevelType w:val="hybridMultilevel"/>
    <w:lvl w:ilvl="0">
      <w:lvlJc w:val="left"/>
      <w:lvlText w:val="%1"/>
      <w:numFmt w:val="decimal"/>
      <w:start w:val="10"/>
    </w:lvl>
  </w:abstractNum>
  <w:abstractNum w:abstractNumId="44">
    <w:nsid w:val="749ABB43"/>
    <w:multiLevelType w:val="hybridMultilevel"/>
    <w:lvl w:ilvl="0">
      <w:lvlJc w:val="left"/>
      <w:lvlText w:val="1"/>
      <w:numFmt w:val="bullet"/>
      <w:start w:val="1"/>
    </w:lvl>
  </w:abstractNum>
  <w:abstractNum w:abstractNumId="45">
    <w:nsid w:val="3DC240FB"/>
    <w:multiLevelType w:val="hybridMultilevel"/>
    <w:lvl w:ilvl="0">
      <w:lvlJc w:val="left"/>
      <w:lvlText w:val="2"/>
      <w:numFmt w:val="bullet"/>
      <w:start w:val="1"/>
    </w:lvl>
    <w:lvl w:ilvl="1">
      <w:lvlJc w:val="left"/>
      <w:lvlText w:val="(%2)"/>
      <w:numFmt w:val="lowerLetter"/>
      <w:start w:val="1"/>
    </w:lvl>
  </w:abstractNum>
  <w:abstractNum w:abstractNumId="46">
    <w:nsid w:val="1BA026FA"/>
    <w:multiLevelType w:val="hybridMultilevel"/>
    <w:lvl w:ilvl="0">
      <w:lvlJc w:val="left"/>
      <w:lvlText w:val="3"/>
      <w:numFmt w:val="bullet"/>
      <w:start w:val="1"/>
    </w:lvl>
  </w:abstractNum>
  <w:abstractNum w:abstractNumId="47">
    <w:nsid w:val="79A1DEAA"/>
    <w:multiLevelType w:val="hybridMultilevel"/>
    <w:lvl w:ilvl="0">
      <w:lvlJc w:val="left"/>
      <w:lvlText w:val="4"/>
      <w:numFmt w:val="bullet"/>
      <w:start w:val="1"/>
    </w:lvl>
  </w:abstractNum>
  <w:abstractNum w:abstractNumId="48">
    <w:nsid w:val="75C6C33A"/>
    <w:multiLevelType w:val="hybridMultilevel"/>
    <w:lvl w:ilvl="0">
      <w:lvlJc w:val="left"/>
      <w:lvlText w:val="9"/>
      <w:numFmt w:val="bullet"/>
      <w:start w:val="1"/>
    </w:lvl>
  </w:abstractNum>
  <w:abstractNum w:abstractNumId="49">
    <w:nsid w:val="12E685FB"/>
    <w:multiLevelType w:val="hybridMultilevel"/>
    <w:lvl w:ilvl="0">
      <w:lvlJc w:val="left"/>
      <w:lvlText w:val="%1"/>
      <w:numFmt w:val="decimal"/>
      <w:start w:val="10"/>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lowerLetter"/>
      <w:start w:val="4"/>
    </w:lvl>
  </w:abstractNum>
  <w:abstractNum w:abstractNumId="53">
    <w:nsid w:val="4F4EF005"/>
    <w:multiLevelType w:val="hybridMultilevel"/>
    <w:lvl w:ilvl="0">
      <w:lvlJc w:val="left"/>
      <w:lvlText w:val="(%1)"/>
      <w:numFmt w:val="lowerLetter"/>
      <w:start w:val="1"/>
    </w:lvl>
    <w:lvl w:ilvl="1">
      <w:lvlJc w:val="left"/>
      <w:lvlText w:val="(%2)"/>
      <w:numFmt w:val="lowerRoman"/>
      <w:start w:val="1"/>
    </w:lvl>
  </w:abstractNum>
  <w:abstractNum w:abstractNumId="54">
    <w:nsid w:val="23F9C13C"/>
    <w:multiLevelType w:val="hybridMultilevel"/>
    <w:lvl w:ilvl="0">
      <w:lvlJc w:val="left"/>
      <w:lvlText w:val="***"/>
      <w:numFmt w:val="bullet"/>
      <w:start w:val="1"/>
    </w:lvl>
    <w:lvl w:ilvl="1">
      <w:lvlJc w:val="left"/>
      <w:lvlText w:val="(%2)"/>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2020-10-30T15:02:32Z</dcterms:created>
  <dcterms:modified xsi:type="dcterms:W3CDTF">2020-10-30T15:02:32Z</dcterms:modified>
</cp:coreProperties>
</file>