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96862d8k.htm"/>
      <w:bookmarkStart w:id="1" w:name="ksd59686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TARSUS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81-4717861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035" w:type="dxa"/>
        <w:jc w:val="left"/>
        <w:tblInd w:w="0" w:type="dxa"/>
        <w:tblLayout w:type="fixed"/>
        <w:tblCellMar>
          <w:top w:w="0" w:type="dxa"/>
          <w:left w:w="0" w:type="dxa"/>
          <w:bottom w:w="0" w:type="dxa"/>
          <w:right w:w="0" w:type="dxa"/>
        </w:tblCellMar>
      </w:tblPr>
      <w:tblGrid>
        <w:gridCol w:w="6035"/>
      </w:tblGrid>
      <w:tr>
        <w:trPr/>
        <w:tc>
          <w:tcPr>
            <w:tcW w:w="603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center"/>
              <w:rPr>
                <w:b/>
              </w:rPr>
            </w:pPr>
            <w:r>
              <w:rPr>
                <w:b/>
              </w:rPr>
              <w:t>15440 Laguna Canyon Road, Suite 160</w:t>
            </w:r>
          </w:p>
        </w:tc>
      </w:tr>
      <w:tr>
        <w:trPr/>
        <w:tc>
          <w:tcPr>
            <w:tcW w:w="6035" w:type="dxa"/>
            <w:tcBorders/>
            <w:vAlign w:val="center"/>
          </w:tcPr>
          <w:p>
            <w:pPr>
              <w:pStyle w:val="TableContents"/>
              <w:bidi w:val="0"/>
              <w:spacing w:before="0" w:after="283"/>
              <w:jc w:val="center"/>
              <w:rPr>
                <w:b/>
              </w:rPr>
            </w:pPr>
            <w:r>
              <w:rPr>
                <w:b/>
              </w:rPr>
              <w:t>Irvine, CA 92618</w:t>
            </w:r>
          </w:p>
        </w:tc>
      </w:tr>
      <w:tr>
        <w:trPr/>
        <w:tc>
          <w:tcPr>
            <w:tcW w:w="6035"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(949) 409-9820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4265"/>
        <w:gridCol w:w="60"/>
        <w:gridCol w:w="740"/>
        <w:gridCol w:w="60"/>
        <w:gridCol w:w="264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TARS</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Global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80"/>
        <w:gridCol w:w="3785"/>
      </w:tblGrid>
      <w:tr>
        <w:trPr/>
        <w:tc>
          <w:tcPr>
            <w:tcW w:w="98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 2023, Tarsus Pharmaceuticals, Inc., a Delaware corporation (the “Company”), entered into an Underwriting Agreement (the “Underwriting Agreement”) with Goldman Sachs &amp; Co. LLC, BofA Securities, Inc. and Guggenheim Securities, LLC, acting as representatives of the underwriters named in the Underwriting Agreement (the “Underwriters”), relating to the sale of 5,714,285 shares of the Company’s common stock, par value $0.0001 per share (the “Offering”). The price to the public in the Offering was $17.50 per share, and the Underwriters have agreed to purchase the shares from the Company pursuant to the Underwriting Agreement at a price of $16.45 per share. Under the terms of the Underwriting Agreement, the Company granted the Underwriters an option, exercisable for 30 days, to purchase up to an additional 857,142 shares. The net proceeds to the Company from the Offering are expected to be approximately $93.6 million, after deducting underwriting discounts and commissions and estimated Offering expenses payable by the Company, assuming no exercise by the Underwriters of their option to purchase additional shares of common stock. The transactions contemplated by the Underwriting Agreement are expected to close on August 4, 2023,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shelf registration statement on Form S-3, filed with the Securities and Exchange Commission (“SEC”) on November 1, 2021, which was declared effective on November 5, 2021 (File No. 333-260665) and the prospectus included therein (the “Registration Statement”), a preliminary prospectus supplement, dated July 31, 2023, filed with the SEC pursuant to Rule 424(b) under the Securities Act of 1933, as amended (the “Securities Act”), and a final prospectus supplement dated August 1, 2023, filed with the SEC pursuant to 424(b)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A copy of the Underwriting Agreement is filed as Exhibit 1.1 to this Current Report and is incorporated herein by reference. The foregoing description of the terms of the Underwriting Agreement is qualified in its entirety by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is attached hereto as an exhibit to provide interested persons with information regarding its terms, but is not intended to provide any other factual information about the Company. The representations, warranties and covenants contained in the Underwriting Agreement were made only for purposes of the Underwriting Agreement as of specific dates indicated therein, were solely for the benefit of the parties to the Underwriting Agreement, and may be subject to limitations agreed upon by the parties, including being qualified by confidential disclosures exchanged between the parties in connection with the execution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legal opinion, including the related consent, of Gunderson Dettmer Stough Villeneuve Franklin &amp; Hachigian, LLP relating to the legality of the issuance and sale of the shares of the Company’s common stock in the Offering is filed as Exhibit 5.1 to this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from time to time in the Company’s SEC filings. </w:t>
      </w:r>
      <w:r>
        <w:br w:type="page"/>
      </w:r>
    </w:p>
    <w:p>
      <w:pPr>
        <w:pStyle w:val="HorizontalLine"/>
        <w:bidi w:val="0"/>
        <w:jc w:val="left"/>
        <w:rPr/>
      </w:pPr>
      <w:r>
        <w:rPr/>
      </w:r>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31, 2023, the Company issued a press release to announce a proposed offering of $100.0 million of shares of its common stock, pursuant to the Registration Statement (the “Offering Press Release”). A copy of the Offering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August 1, 2023, the Company also issued a press release to announce that it had priced a $100.0 million offering (the “Pricing Press Release”). A copy of the Pricing Press Release is attached hereto as Exhibit 99.2 and is incorporated herein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596862dex11.htm">
              <w:r>
                <w:rPr>
                  <w:rStyle w:val="InternetLink"/>
                </w:rPr>
                <w:t xml:space="preserve">Underwriting Agreement, dated August 1, 2023, by and among the Company, Goldman Sachs &amp; Co. LLC, BofA Securities, Inc. and Guggenheim Securities, LLC.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596862dex51.htm">
              <w:r>
                <w:rPr>
                  <w:rStyle w:val="InternetLink"/>
                </w:rPr>
                <w:t xml:space="preserve">Opinion and Consent of Gunderson Dettmer Stough Villeneuve Franklin &amp; Hachigian, LLP.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596862dex51.htm">
              <w:r>
                <w:rPr>
                  <w:rStyle w:val="InternetLink"/>
                </w:rPr>
                <w:t xml:space="preserve">Consent of Gunderson Dettmer Stough Villeneuve Franklin &amp; Hachigian, LLP (included in Exhibit 5.1).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596862dex991.htm">
              <w:r>
                <w:rPr>
                  <w:rStyle w:val="InternetLink"/>
                </w:rPr>
                <w:t xml:space="preserve">Press release issued by the Company, dated July 31, 2023, titled “Tarsus Announces Proposed $100.0 Million Underwritten Public Offering of Shares of its Common Stock”.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596862dex992.htm">
              <w:r>
                <w:rPr>
                  <w:rStyle w:val="InternetLink"/>
                </w:rPr>
                <w:t xml:space="preserve">Press release issued by the Company, dated August 1, 2023, titled “Tarsus Announces Pricing of $100.0 Million Underwritten Public Offering of Common Stock”.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Cover Page Interactive Data File (embedded within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670" w:type="dxa"/>
        <w:jc w:val="left"/>
        <w:tblInd w:w="0" w:type="dxa"/>
        <w:tblLayout w:type="fixed"/>
        <w:tblCellMar>
          <w:top w:w="0" w:type="dxa"/>
          <w:left w:w="0" w:type="dxa"/>
          <w:bottom w:w="0" w:type="dxa"/>
          <w:right w:w="0" w:type="dxa"/>
        </w:tblCellMar>
      </w:tblPr>
      <w:tblGrid>
        <w:gridCol w:w="2075"/>
        <w:gridCol w:w="60"/>
        <w:gridCol w:w="60"/>
        <w:gridCol w:w="60"/>
        <w:gridCol w:w="365"/>
        <w:gridCol w:w="60"/>
        <w:gridCol w:w="599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2,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15" w:type="dxa"/>
            <w:gridSpan w:val="3"/>
            <w:tcBorders/>
            <w:vAlign w:val="center"/>
          </w:tcPr>
          <w:p>
            <w:pPr>
              <w:pStyle w:val="TableContents"/>
              <w:bidi w:val="0"/>
              <w:spacing w:before="0" w:after="283"/>
              <w:jc w:val="left"/>
              <w:rPr/>
            </w:pPr>
            <w:r>
              <w:rPr/>
              <w:t>Tarsus Pharmaceuticals,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05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Farrow</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Jeffrey S. Farrow</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Chief Financial Officer and Chief Strategy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i/>
              </w:rPr>
            </w:pPr>
            <w:r>
              <w:rPr>
                <w:i/>
              </w:rPr>
              <w:t>(Principal Financial Officer and Principal Accounting Officer)</w:t>
            </w:r>
          </w:p>
        </w:tc>
      </w:tr>
    </w:tbl>
    <w:p>
      <w:pPr>
        <w:pStyle w:val="TextBody"/>
        <w:bidi w:val="0"/>
        <w:spacing w:before="0" w:after="0"/>
        <w:jc w:val="right"/>
        <w:rPr>
          <w:rFonts w:ascii="Times New Roman" w:hAnsi="Times New Roman"/>
          <w:b/>
          <w:sz w:val="20"/>
        </w:rPr>
      </w:pPr>
      <w:bookmarkStart w:id="2" w:name="d596862dex11.htm"/>
      <w:bookmarkStart w:id="3" w:name="ksd59686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5,714,285 Shares of Common Stock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360" w:after="0"/>
        <w:jc w:val="left"/>
        <w:rPr>
          <w:rFonts w:ascii="Times New Roman" w:hAnsi="Times New Roman"/>
          <w:sz w:val="20"/>
        </w:rPr>
      </w:pPr>
      <w:r>
        <w:rPr>
          <w:rFonts w:ascii="Times New Roman" w:hAnsi="Times New Roman"/>
          <w:sz w:val="20"/>
        </w:rPr>
        <w:t xml:space="preserve">Dated: August 1,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5,714,285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 2023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12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Tarsus Pharmaceuticals, Inc., a Delaware corporation (the </w:t>
      </w:r>
      <w:r>
        <w:rPr>
          <w:rFonts w:ascii="Times New Roman" w:hAnsi="Times New Roman"/>
          <w:b/>
          <w:sz w:val="20"/>
        </w:rPr>
        <w:t>Company</w:t>
      </w:r>
      <w:r>
        <w:rPr>
          <w:rFonts w:ascii="Times New Roman" w:hAnsi="Times New Roman"/>
          <w:sz w:val="20"/>
        </w:rPr>
        <w:t>), confirms its agreement with Goldman Sachs &amp; Co. LLC (</w:t>
      </w:r>
      <w:r>
        <w:rPr>
          <w:rFonts w:ascii="Times New Roman" w:hAnsi="Times New Roman"/>
          <w:b/>
          <w:sz w:val="20"/>
        </w:rPr>
        <w:t>Goldman</w:t>
      </w:r>
      <w:r>
        <w:rPr>
          <w:rFonts w:ascii="Times New Roman" w:hAnsi="Times New Roman"/>
          <w:sz w:val="20"/>
        </w:rPr>
        <w:t>), BofA Securities, Inc. (</w:t>
      </w:r>
      <w:r>
        <w:rPr>
          <w:rFonts w:ascii="Times New Roman" w:hAnsi="Times New Roman"/>
          <w:b/>
          <w:sz w:val="20"/>
        </w:rPr>
        <w:t>BofA</w:t>
      </w:r>
      <w:r>
        <w:rPr>
          <w:rFonts w:ascii="Times New Roman" w:hAnsi="Times New Roman"/>
          <w:sz w:val="20"/>
        </w:rPr>
        <w:t>), Guggenheim Securities, LLC (</w:t>
      </w:r>
      <w:r>
        <w:rPr>
          <w:rFonts w:ascii="Times New Roman" w:hAnsi="Times New Roman"/>
          <w:b/>
          <w:sz w:val="20"/>
        </w:rPr>
        <w:t>Guggenheim</w:t>
      </w:r>
      <w:r>
        <w:rPr>
          <w:rFonts w:ascii="Times New Roman" w:hAnsi="Times New Roman"/>
          <w:sz w:val="20"/>
        </w:rPr>
        <w:t>) and each of the other underwriters named in Schedule A hereto (collectively, the </w:t>
      </w:r>
      <w:r>
        <w:rPr>
          <w:rFonts w:ascii="Times New Roman" w:hAnsi="Times New Roman"/>
          <w:b/>
          <w:sz w:val="20"/>
        </w:rPr>
        <w:t>Underwriters</w:t>
      </w:r>
      <w:r>
        <w:rPr>
          <w:rFonts w:ascii="Times New Roman" w:hAnsi="Times New Roman"/>
          <w:sz w:val="20"/>
        </w:rPr>
        <w:t>, which term shall also include any underwriter substituted as hereinafter provided in Section 10 hereof), for whom Goldman, BofA and Guggenheim are acting as representatives (in such capacity, the </w:t>
      </w:r>
      <w:r>
        <w:rPr>
          <w:rFonts w:ascii="Times New Roman" w:hAnsi="Times New Roman"/>
          <w:b/>
          <w:sz w:val="20"/>
        </w:rPr>
        <w:t>Representatives</w:t>
      </w:r>
      <w:r>
        <w:rPr>
          <w:rFonts w:ascii="Times New Roman" w:hAnsi="Times New Roman"/>
          <w:sz w:val="20"/>
        </w:rPr>
        <w:t>), with respect to (i) the sale by the Company and the purchase by the Underwriters, acting severally and not jointly, of the respective numbers of shares of common stock, par value $0.0001 per share, of the Company (</w:t>
      </w:r>
      <w:r>
        <w:rPr>
          <w:rFonts w:ascii="Times New Roman" w:hAnsi="Times New Roman"/>
          <w:b/>
          <w:sz w:val="20"/>
        </w:rPr>
        <w:t>Common Stock</w:t>
      </w:r>
      <w:r>
        <w:rPr>
          <w:rFonts w:ascii="Times New Roman" w:hAnsi="Times New Roman"/>
          <w:sz w:val="20"/>
        </w:rPr>
        <w:t>) set forth in Schedule A hereto and (ii) the grant by the Company to the Underwriters, acting severally and not jointly, of the option described in Section 2(b) hereof to purchase all or any part of 857,142 additional shares of Common Stock. The aforesaid 5,714,285 shares of Common Stock (the </w:t>
      </w:r>
      <w:r>
        <w:rPr>
          <w:rFonts w:ascii="Times New Roman" w:hAnsi="Times New Roman"/>
          <w:b/>
          <w:sz w:val="20"/>
        </w:rPr>
        <w:t>Initial Securities</w:t>
      </w:r>
      <w:r>
        <w:rPr>
          <w:rFonts w:ascii="Times New Roman" w:hAnsi="Times New Roman"/>
          <w:sz w:val="20"/>
        </w:rPr>
        <w:t>) to be purchased by the Underwriters and all or any part of the 857,142 shares of Common Stock subject to the option described in Section 2(b) hereof (the </w:t>
      </w:r>
      <w:r>
        <w:rPr>
          <w:rFonts w:ascii="Times New Roman" w:hAnsi="Times New Roman"/>
          <w:b/>
          <w:sz w:val="20"/>
        </w:rPr>
        <w:t>Option Securities</w:t>
      </w:r>
      <w:r>
        <w:rPr>
          <w:rFonts w:ascii="Times New Roman" w:hAnsi="Times New Roman"/>
          <w:sz w:val="20"/>
        </w:rPr>
        <w:t>) are herein called, collectively,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understands that the Underwriters propose to make a public offering of the Securities as soon as the Representatives deem advisable after this underwriting agreement (the </w:t>
      </w:r>
      <w:r>
        <w:rPr>
          <w:rFonts w:ascii="Times New Roman" w:hAnsi="Times New Roman"/>
          <w:b/>
          <w:sz w:val="20"/>
        </w:rPr>
        <w:t>Agreement</w:t>
      </w:r>
      <w:r>
        <w:rPr>
          <w:rFonts w:ascii="Times New Roman" w:hAnsi="Times New Roman"/>
          <w:sz w:val="20"/>
        </w:rPr>
        <w:t xml:space="preserve">) has been executed and delivered.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shelf registration statement on Form S-3 (File No. 333-260665), covering the public offering and sale of certain securities, including the Securities, under the Securities Act of 1933, as amended (the </w:t>
      </w:r>
      <w:r>
        <w:rPr>
          <w:rFonts w:ascii="Times New Roman" w:hAnsi="Times New Roman"/>
          <w:b/>
          <w:sz w:val="20"/>
        </w:rPr>
        <w:t>1933 Act</w:t>
      </w:r>
      <w:r>
        <w:rPr>
          <w:rFonts w:ascii="Times New Roman" w:hAnsi="Times New Roman"/>
          <w:sz w:val="20"/>
        </w:rPr>
        <w:t>) and the rules and regulations promulgated thereunder (the </w:t>
      </w:r>
      <w:r>
        <w:rPr>
          <w:rFonts w:ascii="Times New Roman" w:hAnsi="Times New Roman"/>
          <w:b/>
          <w:sz w:val="20"/>
        </w:rPr>
        <w:t>1933 Act Regulations</w:t>
      </w:r>
      <w:r>
        <w:rPr>
          <w:rFonts w:ascii="Times New Roman" w:hAnsi="Times New Roman"/>
          <w:sz w:val="20"/>
        </w:rPr>
        <w:t>), which shelf registration statement has been declared effective by the Commission.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hAnsi="Times New Roman"/>
          <w:b/>
          <w:sz w:val="20"/>
        </w:rPr>
        <w:t>Rule 430B</w:t>
      </w:r>
      <w:r>
        <w:rPr>
          <w:rFonts w:ascii="Times New Roman" w:hAnsi="Times New Roman"/>
          <w:sz w:val="20"/>
        </w:rPr>
        <w:t>), and is referred to herein as the </w:t>
      </w:r>
      <w:r>
        <w:rPr>
          <w:rFonts w:ascii="Times New Roman" w:hAnsi="Times New Roman"/>
          <w:b/>
          <w:sz w:val="20"/>
        </w:rPr>
        <w:t>Registration Statement</w:t>
      </w:r>
      <w:r>
        <w:rPr>
          <w:rFonts w:ascii="Times New Roman" w:hAnsi="Times New Roman"/>
          <w:sz w:val="20"/>
        </w:rPr>
        <w:t>; provided, however, that the </w:t>
      </w:r>
      <w:r>
        <w:rPr>
          <w:rFonts w:ascii="Times New Roman" w:hAnsi="Times New Roman"/>
          <w:b/>
          <w:sz w:val="20"/>
        </w:rPr>
        <w:t>Registration Statement</w:t>
      </w:r>
      <w:r>
        <w:rPr>
          <w:rFonts w:ascii="Times New Roman" w:hAnsi="Times New Roman"/>
          <w:sz w:val="20"/>
        </w:rPr>
        <w: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Any registration statement filed pursuant to Rule 462(b) of the 1933 Act Regulations is herein called the </w:t>
      </w:r>
      <w:r>
        <w:rPr>
          <w:rFonts w:ascii="Times New Roman" w:hAnsi="Times New Roman"/>
          <w:b/>
          <w:sz w:val="20"/>
        </w:rPr>
        <w:t>Rule 462(b) Registration Statement</w:t>
      </w:r>
      <w:r>
        <w:rPr>
          <w:rFonts w:ascii="Times New Roman" w:hAnsi="Times New Roman"/>
          <w:sz w:val="20"/>
        </w:rPr>
        <w:t> and, after such filing, the term </w:t>
      </w:r>
      <w:r>
        <w:rPr>
          <w:rFonts w:ascii="Times New Roman" w:hAnsi="Times New Roman"/>
          <w:b/>
          <w:sz w:val="20"/>
        </w:rPr>
        <w:t>Registration Statement</w:t>
      </w:r>
      <w:r>
        <w:rPr>
          <w:rFonts w:ascii="Times New Roman" w:hAnsi="Times New Roman"/>
          <w:sz w:val="20"/>
        </w:rPr>
        <w: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w:t>
      </w:r>
      <w:r>
        <w:rPr>
          <w:rFonts w:ascii="Times New Roman" w:hAnsi="Times New Roman"/>
          <w:b/>
          <w:sz w:val="20"/>
        </w:rPr>
        <w:t>preliminary prospectus</w:t>
      </w:r>
      <w:r>
        <w:rPr>
          <w:rFonts w:ascii="Times New Roman" w:hAnsi="Times New Roman"/>
          <w:sz w:val="20"/>
        </w:rPr>
        <w:t>. Promptly after execution and delivery of this Agreement, the Company will prepare and file a final prospectus relating to the Securities in accordance with the provisions of Rule 424(b) under the 1933 Act Regulations (</w:t>
      </w:r>
      <w:r>
        <w:rPr>
          <w:rFonts w:ascii="Times New Roman" w:hAnsi="Times New Roman"/>
          <w:b/>
          <w:sz w:val="20"/>
        </w:rPr>
        <w:t>Rule 424(b)</w:t>
      </w:r>
      <w:r>
        <w:rPr>
          <w:rFonts w:ascii="Times New Roman" w:hAnsi="Times New Roman"/>
          <w:sz w:val="20"/>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Times New Roman" w:hAnsi="Times New Roman"/>
          <w:b/>
          <w:sz w:val="20"/>
        </w:rPr>
        <w:t>Prospectus</w:t>
      </w:r>
      <w:r>
        <w:rPr>
          <w:rFonts w:ascii="Times New Roman" w:hAnsi="Times New Roman"/>
          <w:sz w:val="20"/>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Applicable Time</w:t>
      </w:r>
      <w:r>
        <w:rPr>
          <w:rFonts w:ascii="Times New Roman" w:hAnsi="Times New Roman"/>
          <w:sz w:val="20"/>
        </w:rPr>
        <w:t xml:space="preserve"> means 6:15 P.M., New York City time, on August 1, 2023 or such other time as agreed by the Company and the Representatives.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General Disclosure Package</w:t>
      </w:r>
      <w:r>
        <w:rPr>
          <w:rFonts w:ascii="Times New Roman" w:hAnsi="Times New Roman"/>
          <w:sz w:val="20"/>
        </w:rPr>
        <w:t xml:space="preserv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Issuer Free Writing Prospectus</w:t>
      </w:r>
      <w:r>
        <w:rPr>
          <w:rFonts w:ascii="Times New Roman" w:hAnsi="Times New Roman"/>
          <w:sz w:val="20"/>
        </w:rPr>
        <w:t> means any issuer free writing prospectus, as defined in Rule 433 of the 1933 Act Regulations (</w:t>
      </w:r>
      <w:r>
        <w:rPr>
          <w:rFonts w:ascii="Times New Roman" w:hAnsi="Times New Roman"/>
          <w:b/>
          <w:sz w:val="20"/>
        </w:rPr>
        <w:t>Rule 433</w:t>
      </w:r>
      <w:r>
        <w:rPr>
          <w:rFonts w:ascii="Times New Roman" w:hAnsi="Times New Roman"/>
          <w:sz w:val="20"/>
        </w:rPr>
        <w:t>), including without limitation any free writing prospectus (as defined in Rule 405 of the 1933 Act Regulations (</w:t>
      </w:r>
      <w:r>
        <w:rPr>
          <w:rFonts w:ascii="Times New Roman" w:hAnsi="Times New Roman"/>
          <w:b/>
          <w:sz w:val="20"/>
        </w:rPr>
        <w:t>Rule 405</w:t>
      </w:r>
      <w:r>
        <w:rPr>
          <w:rFonts w:ascii="Times New Roman" w:hAnsi="Times New Roman"/>
          <w:sz w:val="20"/>
        </w:rPr>
        <w:t xml:space="preserve">))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Issuer General Use Free Writing Prospectus</w:t>
      </w:r>
      <w:r>
        <w:rPr>
          <w:rFonts w:ascii="Times New Roman" w:hAnsi="Times New Roman"/>
          <w:sz w:val="20"/>
        </w:rPr>
        <w:t xml:space="preserve"> means any Issuer Free Writing Prospectus that is intended for general distribution to prospective investors, as evidenced by its being specified in Schedule B-2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Issuer Limited Use Free Writing Prospectus</w:t>
      </w:r>
      <w:r>
        <w:rPr>
          <w:rFonts w:ascii="Times New Roman" w:hAnsi="Times New Roman"/>
          <w:sz w:val="20"/>
        </w:rPr>
        <w:t xml:space="preserve"> means any Issuer Free Writing Prospectus that is not an Issuer General Use Free Writing Prospectus.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Testing-the-Waters Communication</w:t>
      </w:r>
      <w:r>
        <w:rPr>
          <w:rFonts w:ascii="Times New Roman" w:hAnsi="Times New Roman"/>
          <w:sz w:val="20"/>
        </w:rPr>
        <w:t xml:space="preserve"> means any oral or written communication with potential investors undertaken in reliance on Section 5(d) of, or Rule 163B under, the 1933 Act.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Written Testing-the-Waters Communication</w:t>
      </w:r>
      <w:r>
        <w:rPr>
          <w:rFonts w:ascii="Times New Roman" w:hAnsi="Times New Roman"/>
          <w:sz w:val="20"/>
        </w:rPr>
        <w:t xml:space="preserve"> means any Testing-the-Waters Communication that is a written communication within the meaning of Rule 405 under the 1933 Act.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financial statements and schedules and other information which is contained, included or stated (or other references of like import) in the Registration Statement, any preliminary prospectus or the Prospectus shall include all such financial statements and schedules and other information which is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Act, as amended (the </w:t>
      </w:r>
      <w:r>
        <w:rPr>
          <w:rFonts w:ascii="Times New Roman" w:hAnsi="Times New Roman"/>
          <w:b/>
          <w:sz w:val="20"/>
        </w:rPr>
        <w:t>1934 Act</w:t>
      </w:r>
      <w:r>
        <w:rPr>
          <w:rFonts w:ascii="Times New Roman" w:hAnsi="Times New Roman"/>
          <w:sz w:val="20"/>
        </w:rPr>
        <w:t>), and the rules and regulations promulgated thereunder (the </w:t>
      </w:r>
      <w:r>
        <w:rPr>
          <w:rFonts w:ascii="Times New Roman" w:hAnsi="Times New Roman"/>
          <w:b/>
          <w:sz w:val="20"/>
        </w:rPr>
        <w:t>1934 Regulations</w:t>
      </w:r>
      <w:r>
        <w:rPr>
          <w:rFonts w:ascii="Times New Roman" w:hAnsi="Times New Roman"/>
          <w:sz w:val="20"/>
        </w:rPr>
        <w:t xml:space="preserve">), which is incorporated by reference in or otherwise deemed by 1933 Act Regulations to be a part of or included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the Closing Time (as defined below) and any Date of Delivery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for primary offerings.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and at each deemed effective date with respect to the Underwriters pursuant to Rule 430B(f)(2) under the 1933 Act Regulations,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1934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the Closing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discount figure appearing in the fifth paragraph under the caption Underwriting and the information contained in the tenth, eleventh and twelfth paragraphs under the caption Underwriting.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or, in the case of Testing-the-Waters Communications made in reliance on Rule 163B, with entities that the Company reasonably believes are qualified institutional buyers or institutions that are accredited investors within the meaning of Rule 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Emerging Growth Company Status.</w:t>
      </w:r>
      <w:r>
        <w:rPr>
          <w:rFonts w:ascii="Times New Roman" w:hAnsi="Times New Roman"/>
          <w:sz w:val="20"/>
        </w:rPr>
        <w:t xml:space="preserve"> From the time of the initial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Independent Accountants</w:t>
      </w:r>
      <w:r>
        <w:rPr>
          <w:rFonts w:ascii="Times New Roman" w:hAnsi="Times New Roman"/>
          <w:sz w:val="20"/>
        </w:rPr>
        <w:t xml:space="preserve">. The accountants who certified the financial statements and supporting schedules, if any, included in the Registration Statement, the General Disclosure Package and the Prospectus are an independent registered public accounting firm as required by the 1933 Act, the 1933 Act Regulations, the 1934 Act, the 1934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Financial Statements</w:t>
      </w:r>
      <w:r>
        <w:rPr>
          <w:rFonts w:ascii="Times New Roman" w:hAnsi="Times New Roman"/>
          <w:sz w:val="20"/>
        </w:rPr>
        <w:t>. The financial statements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involved. The supporting schedules, if any, present fairly, in all material respects, in accordance with GAAP the information required to be stated therein. Except as incorporated by reference therein, no historical or pro forma financial statements or supporting schedules are required to be incorporated by reference in the Registration Statement, the General Disclosure Package or the Prospectus under the 1933 Act or the 1933 Act Regulations, the 1934 Act or the 1934 Act Regulations.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No Material Adverse Change in Business</w:t>
      </w:r>
      <w:r>
        <w:rPr>
          <w:rFonts w:ascii="Times New Roman" w:hAnsi="Times New Roman"/>
          <w:sz w:val="20"/>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sz w:val="20"/>
        </w:rPr>
        <w:t>Material Adverse Effect</w:t>
      </w:r>
      <w:r>
        <w:rPr>
          <w:rFonts w:ascii="Times New Roman" w:hAnsi="Times New Roman"/>
          <w:sz w:val="20"/>
        </w:rPr>
        <w:t xml:space="preserve">),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Good Standing of Subsidiaries</w:t>
      </w:r>
      <w:r>
        <w:rPr>
          <w:rFonts w:ascii="Times New Roman" w:hAnsi="Times New Roman"/>
          <w:sz w:val="20"/>
        </w:rPr>
        <w:t xml:space="preserve">. The Company has no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Capitalization</w:t>
      </w:r>
      <w:r>
        <w:rPr>
          <w:rFonts w:ascii="Times New Roman" w:hAnsi="Times New Roman"/>
          <w:sz w:val="20"/>
        </w:rPr>
        <w:t xml:space="preserve">.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Authorization and Description of Securities</w:t>
      </w:r>
      <w:r>
        <w:rPr>
          <w:rFonts w:ascii="Times New Roman" w:hAnsi="Times New Roman"/>
          <w:sz w:val="20"/>
        </w:rPr>
        <w:t xml:space="preserve">.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Violations, Defaults and Conflicts</w:t>
      </w:r>
      <w:r>
        <w:rPr>
          <w:rFonts w:ascii="Times New Roman" w:hAnsi="Times New Roman"/>
          <w:sz w:val="20"/>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hAnsi="Times New Roman"/>
          <w:b/>
          <w:sz w:val="20"/>
        </w:rPr>
        <w:t>Agreements and Instruments</w:t>
      </w:r>
      <w:r>
        <w:rPr>
          <w:rFonts w:ascii="Times New Roman" w:hAnsi="Times New Roman"/>
          <w:sz w:val="20"/>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hAnsi="Times New Roman"/>
          <w:b/>
          <w:sz w:val="20"/>
        </w:rPr>
        <w:t>Governmental Entity</w:t>
      </w:r>
      <w:r>
        <w:rPr>
          <w:rFonts w:ascii="Times New Roman" w:hAnsi="Times New Roman"/>
          <w:sz w:val="20"/>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Times New Roman" w:hAnsi="Times New Roman"/>
          <w:b/>
          <w:sz w:val="20"/>
        </w:rPr>
        <w:t>Repayment Event</w:t>
      </w:r>
      <w:r>
        <w:rPr>
          <w:rFonts w:ascii="Times New Roman" w:hAnsi="Times New Roman"/>
          <w:sz w:val="20"/>
        </w:rPr>
        <w:t xml:space="preserve">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Absence of Labor Dispute</w:t>
      </w:r>
      <w:r>
        <w:rPr>
          <w:rFonts w:ascii="Times New Roman" w:hAnsi="Times New Roman"/>
          <w:sz w:val="20"/>
        </w:rPr>
        <w:t xml:space="preserve">.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Except as disclosed in the Registration Statement, the General Disclosure Package and the Prospectus, there is no action, suit, proceeding, inquiry or investigation before or brought by any Governmental Entity (including, without limitation, the U.S. Food and Drug Administration (the </w:t>
      </w:r>
      <w:r>
        <w:rPr>
          <w:rFonts w:ascii="Times New Roman" w:hAnsi="Times New Roman"/>
          <w:b/>
          <w:sz w:val="20"/>
        </w:rPr>
        <w:t>FDA</w:t>
      </w:r>
      <w:r>
        <w:rPr>
          <w:rFonts w:ascii="Times New Roman" w:hAnsi="Times New Roman"/>
          <w:sz w:val="20"/>
        </w:rPr>
        <w:t>) and the European Medicines Agency (the </w:t>
      </w:r>
      <w:r>
        <w:rPr>
          <w:rFonts w:ascii="Times New Roman" w:hAnsi="Times New Roman"/>
          <w:b/>
          <w:sz w:val="20"/>
        </w:rPr>
        <w:t>EMA</w:t>
      </w:r>
      <w:r>
        <w:rPr>
          <w:rFonts w:ascii="Times New Roman" w:hAnsi="Times New Roman"/>
          <w:sz w:val="20"/>
        </w:rPr>
        <w:t xml:space="preserve">)) now pending or, to the knowledge of the Company, threatened, against or affecting the Company or any of its subsidiaries, which, singly or in the aggregate,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singly or in the aggregate,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the General Disclosure Package or the Prospectus or to be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the Financial Industry Regulatory Authority, Inc. (</w:t>
      </w:r>
      <w:r>
        <w:rPr>
          <w:rFonts w:ascii="Times New Roman" w:hAnsi="Times New Roman"/>
          <w:b/>
          <w:sz w:val="20"/>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The Company and its subsidiaries possess such permits, licenses, approvals, clearances, certificates, consents and other authorizations issued by the appropriate Governmental Entities necessary to conduct the business as described in the Registration Statement, the General Disclosure Package and the Prospectus (collectively, </w:t>
      </w:r>
      <w:r>
        <w:rPr>
          <w:rFonts w:ascii="Times New Roman" w:hAnsi="Times New Roman"/>
          <w:b/>
          <w:sz w:val="20"/>
        </w:rPr>
        <w:t>Governmental Licenses</w:t>
      </w:r>
      <w:r>
        <w:rPr>
          <w:rFonts w:ascii="Times New Roman" w:hAnsi="Times New Roman"/>
          <w:sz w:val="20"/>
        </w:rPr>
        <w:t>),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them (</w:t>
      </w:r>
      <w:r>
        <w:rPr>
          <w:rFonts w:ascii="Times New Roman" w:hAnsi="Times New Roman"/>
          <w:b/>
          <w:sz w:val="20"/>
        </w:rPr>
        <w:t>Applicable Laws</w:t>
      </w:r>
      <w:r>
        <w:rPr>
          <w:rFonts w:ascii="Times New Roman" w:hAnsi="Times New Roman"/>
          <w:sz w:val="20"/>
        </w:rPr>
        <w:t xml:space="preserve">),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Governmental Licenses required by any such Applicable Laws, except where being in contravention of any of the foregoing representations or warranties, singly or in the aggregate,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materially interfere with the use made and proposed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Except as would not reasonably be expected to have a Material Adverse Effect, the Company and its subsidiaries own or possess, have a valid 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Times New Roman" w:hAnsi="Times New Roman"/>
          <w:b/>
          <w:sz w:val="20"/>
        </w:rPr>
        <w:t>Intellectual Property</w:t>
      </w:r>
      <w:r>
        <w:rPr>
          <w:rFonts w:ascii="Times New Roman" w:hAnsi="Times New Roman"/>
          <w:sz w:val="20"/>
        </w:rPr>
        <w:t>) necessary to carry on the business now operated by them and as proposed to be operated as described in the Registration Statement, the General Disclosure Package and the Prospectus. Except as would not reasonably be expected to have a Material Adverse Effect, (i) neither the Company nor any of its subsidiaries has received any notice of nor has engaged in any infringement, misappropriation or other violation of or conflict regarding any Intellectual Property of any third party, (ii) 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Times New Roman" w:hAnsi="Times New Roman"/>
          <w:b/>
          <w:sz w:val="20"/>
        </w:rPr>
        <w:t>Company Intellectual Property</w:t>
      </w:r>
      <w:r>
        <w:rPr>
          <w:rFonts w:ascii="Times New Roman" w:hAnsi="Times New Roman"/>
          <w:sz w:val="20"/>
        </w:rPr>
        <w:t xml:space="preserve">)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No third party is infringing, misappropriating or otherwise violating any of the Company Intellectual Property and there is no pending or threatened action, suit, proceeding or claim by the Company or any of its subsidiaries against a third party regarding the 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 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 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Environmental Laws</w:t>
      </w:r>
      <w:r>
        <w:rPr>
          <w:rFonts w:ascii="Times New Roman" w:hAnsi="Times New Roman"/>
          <w:sz w:val="20"/>
        </w:rPr>
        <w:t>. Except as would not, singly or in the aggregate, reasonably be expected to result in a Material Adverse Effect, (A)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discharge, emission or handling of Hazardous Materials (collectively, </w:t>
      </w:r>
      <w:r>
        <w:rPr>
          <w:rFonts w:ascii="Times New Roman" w:hAnsi="Times New Roman"/>
          <w:b/>
          <w:sz w:val="20"/>
        </w:rPr>
        <w:t>Environmental Laws</w:t>
      </w:r>
      <w:r>
        <w:rPr>
          <w:rFonts w:ascii="Times New Roman" w:hAnsi="Times New Roman"/>
          <w:sz w:val="20"/>
        </w:rPr>
        <w:t xml:space="preserve">),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Accounting Controls and Disclosure Controls</w:t>
      </w:r>
      <w:r>
        <w:rPr>
          <w:rFonts w:ascii="Times New Roman" w:hAnsi="Times New Roman"/>
          <w:sz w:val="20"/>
        </w:rPr>
        <w:t xml:space="preserve">. The Company and each of its subsidiaries maintain effective internal control over financial reporting (as defined under Rules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disclosed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maintains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Compliance with the Sarbanes-Oxley Act.</w:t>
      </w:r>
      <w:r>
        <w:rPr>
          <w:rFonts w:ascii="Times New Roman" w:hAnsi="Times New Roman"/>
          <w:sz w:val="20"/>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hAnsi="Times New Roman"/>
          <w:b/>
          <w:sz w:val="20"/>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Payment of Taxes</w:t>
      </w:r>
      <w:r>
        <w:rPr>
          <w:rFonts w:ascii="Times New Roman" w:hAnsi="Times New Roman"/>
          <w:sz w:val="20"/>
        </w:rPr>
        <w:t xml:space="preserve">. All United States federal, state, local and non-U.S. income tax returns of the Company and its subsidiaries required by law to be filed have been filed as of the date hereof (after giving effect to any extensions provided by law that have been requested) and all taxes shown by such returns or otherwise assessed, which are due and payable, have been paid, except assessments against which appeals have been or will be promptly taken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fiscal year ended December 31, 2022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Insurance</w:t>
      </w:r>
      <w:r>
        <w:rPr>
          <w:rFonts w:ascii="Times New Roman" w:hAnsi="Times New Roman"/>
          <w:sz w:val="20"/>
        </w:rPr>
        <w:t xml:space="preserve">.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Investment Company Act</w:t>
      </w:r>
      <w:r>
        <w:rPr>
          <w:rFonts w:ascii="Times New Roman" w:hAnsi="Times New Roman"/>
          <w:sz w:val="20"/>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hAnsi="Times New Roman"/>
          <w:b/>
          <w:sz w:val="20"/>
        </w:rPr>
        <w:t>1940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Absence of Manipulation</w:t>
      </w:r>
      <w:r>
        <w:rPr>
          <w:rFonts w:ascii="Times New Roman" w:hAnsi="Times New Roman"/>
          <w:sz w:val="20"/>
        </w:rPr>
        <w:t xml:space="preserve">.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Foreign Corrupt Practices Act</w:t>
      </w:r>
      <w:r>
        <w:rPr>
          <w:rFonts w:ascii="Times New Roman" w:hAnsi="Times New Roman"/>
          <w:sz w:val="20"/>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b/>
          <w:sz w:val="20"/>
        </w:rPr>
        <w:t>FCPA</w:t>
      </w:r>
      <w:r>
        <w:rPr>
          <w:rFonts w:ascii="Times New Roman" w:hAnsi="Times New Roman"/>
          <w:sz w:val="20"/>
        </w:rPr>
        <w:t xml:space="preserve">),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hAnsi="Times New Roman"/>
          <w:b/>
          <w:sz w:val="20"/>
        </w:rPr>
        <w:t>Money Laundering Laws</w:t>
      </w:r>
      <w:r>
        <w:rPr>
          <w:rFonts w:ascii="Times New Roman" w:hAnsi="Times New Roman"/>
          <w:sz w:val="20"/>
        </w:rPr>
        <w:t xml:space="preserve">); and no action, suit or proceeding by or before any Governmental Entity involving the Company or any of its subsidiaries with respect to the Money Laundering Laws is pending or, to the best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OFAC</w:t>
      </w:r>
      <w:r>
        <w:rPr>
          <w:rFonts w:ascii="Times New Roman" w:hAnsi="Times New Roman"/>
          <w:sz w:val="20"/>
        </w:rPr>
        <w:t>. None of the Company, any of its subsidiaries, director or officer or, to the knowledge of the Company, any director or officer of the Company or its subsidiaries, as applicable, agent, employee, affiliate or representative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Times New Roman" w:hAnsi="Times New Roman"/>
          <w:b/>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(xxxiv) [Reserved].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Lending Relationship</w:t>
      </w:r>
      <w:r>
        <w:rPr>
          <w:rFonts w:ascii="Times New Roman" w:hAnsi="Times New Roman"/>
          <w:i/>
          <w:sz w:val="20"/>
        </w:rPr>
        <w:t xml:space="preserve">. </w:t>
      </w:r>
      <w:r>
        <w:rPr>
          <w:rFonts w:ascii="Times New Roman" w:hAnsi="Times New Roman"/>
          <w:sz w:val="20"/>
        </w:rPr>
        <w:t xml:space="preserve">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Information Technology, Cybersecurity and Data Protection</w:t>
      </w:r>
      <w:r>
        <w:rPr>
          <w:rFonts w:ascii="Times New Roman" w:hAnsi="Times New Roman"/>
          <w:sz w:val="20"/>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 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Times New Roman" w:hAnsi="Times New Roman"/>
          <w:b/>
          <w:sz w:val="20"/>
        </w:rPr>
        <w:t>IT Systems and Data</w:t>
      </w:r>
      <w:r>
        <w:rPr>
          <w:rFonts w:ascii="Times New Roman" w:hAnsi="Times New Roman"/>
          <w:sz w:val="20"/>
        </w:rPr>
        <w:t xml:space="preserve">);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 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currently proposed to be operated as described in the Registration Statement, the General Disclosure Package and the Prospectus.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protected health information, consumer information and other confidential information of the Company, its subsidiaries and any third parties in their possession (</w:t>
      </w:r>
      <w:r>
        <w:rPr>
          <w:rFonts w:ascii="Times New Roman" w:hAnsi="Times New Roman"/>
          <w:b/>
          <w:sz w:val="20"/>
        </w:rPr>
        <w:t>Sensitive Company Data</w:t>
      </w:r>
      <w:r>
        <w:rPr>
          <w:rFonts w:ascii="Times New Roman" w:hAnsi="Times New Roman"/>
          <w:sz w:val="20"/>
        </w:rPr>
        <w:t xml:space="preserve">),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Data Protection Laws</w:t>
      </w:r>
      <w:r>
        <w:rPr>
          <w:rFonts w:ascii="Times New Roman" w:hAnsi="Times New Roman"/>
          <w:sz w:val="20"/>
        </w:rPr>
        <w:t xml:space="preserve">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and the 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 xml:space="preserve">No Rated Securities. </w:t>
      </w:r>
      <w:r>
        <w:rPr>
          <w:rFonts w:ascii="Times New Roman" w:hAnsi="Times New Roman"/>
          <w:sz w:val="20"/>
        </w:rPr>
        <w:t xml:space="preserve">Neither the Company nor its subsidiaries have any debt securities or preferred stock that are rated by any nationally recognized statistical rating organization (as defined in Section 3(a)(62) of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ERISA Compliance</w:t>
      </w:r>
      <w:r>
        <w:rPr>
          <w:rFonts w:ascii="Times New Roman" w:hAnsi="Times New Roman"/>
          <w:sz w:val="20"/>
        </w:rPr>
        <w:t>. Except as would not, singly or in the aggregate, reasonably be expected to result in a Material Adverse Effect, (A) the Company and its subsidiaries and any Employee Benefit Plan (as defined under the Employee Retirement Income Security Act of 1974, as amended, and the regulations and published interpretations promulgated thereunder (collectively, </w:t>
      </w:r>
      <w:r>
        <w:rPr>
          <w:rFonts w:ascii="Times New Roman" w:hAnsi="Times New Roman"/>
          <w:b/>
          <w:sz w:val="20"/>
        </w:rPr>
        <w:t>ERISA</w:t>
      </w:r>
      <w:r>
        <w:rPr>
          <w:rFonts w:ascii="Times New Roman" w:hAnsi="Times New Roman"/>
          <w:sz w:val="20"/>
        </w:rPr>
        <w:t>)) for which the Company, its subsidiaries or its or their ERISA Affiliates (as defined below) would have any liability (each, a </w:t>
      </w:r>
      <w:r>
        <w:rPr>
          <w:rFonts w:ascii="Times New Roman" w:hAnsi="Times New Roman"/>
          <w:b/>
          <w:sz w:val="20"/>
        </w:rPr>
        <w:t>Plan</w:t>
      </w:r>
      <w:r>
        <w:rPr>
          <w:rFonts w:ascii="Times New Roman" w:hAnsi="Times New Roman"/>
          <w:sz w:val="20"/>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those assumptions used to fund such Plan), (D) 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(E) each Plan that is intended to be 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Times New Roman" w:hAnsi="Times New Roman"/>
          <w:b/>
          <w:sz w:val="20"/>
        </w:rPr>
        <w:t>ERISA Affiliate</w:t>
      </w:r>
      <w:r>
        <w:rPr>
          <w:rFonts w:ascii="Times New Roman" w:hAnsi="Times New Roman"/>
          <w:sz w:val="20"/>
        </w:rPr>
        <w:t xml:space="preserve"> means, with respect to the Company, any member of any group of organizations described in Sections 414(b), (c), (m) or (o) of the Code of which the Company or such subsidiary is a member.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Regulatory Matters</w:t>
      </w:r>
      <w:r>
        <w:rPr>
          <w:rFonts w:ascii="Times New Roman" w:hAnsi="Times New Roman"/>
          <w:sz w:val="20"/>
        </w:rPr>
        <w:t>. (i) Except as disclosed in the Registration Statement, the General Disclosure Package and the Prospectus,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Times New Roman" w:hAnsi="Times New Roman"/>
          <w:b/>
          <w:sz w:val="20"/>
        </w:rPr>
        <w:t>FFDCA</w:t>
      </w:r>
      <w:r>
        <w:rPr>
          <w:rFonts w:ascii="Times New Roman" w:hAnsi="Times New Roman"/>
          <w:sz w:val="20"/>
        </w:rPr>
        <w:t>), the Anti-Kickback Statute (42 U.S.C. 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hAnsi="Times New Roman"/>
          <w:b/>
          <w:sz w:val="20"/>
        </w:rPr>
        <w:t>HIPAA</w:t>
      </w:r>
      <w:r>
        <w:rPr>
          <w:rFonts w:ascii="Times New Roman" w:hAnsi="Times New Roman"/>
          <w:sz w:val="20"/>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storage, import, export or disposal of the Companys product candidates, each as amended from time to time (collectively, </w:t>
      </w:r>
      <w:r>
        <w:rPr>
          <w:rFonts w:ascii="Times New Roman" w:hAnsi="Times New Roman"/>
          <w:b/>
          <w:sz w:val="20"/>
        </w:rPr>
        <w:t>Health Care Laws</w:t>
      </w:r>
      <w:r>
        <w:rPr>
          <w:rFonts w:ascii="Times New Roman" w:hAnsi="Times New Roman"/>
          <w:sz w:val="20"/>
        </w:rPr>
        <w:t>); (ii) the Company and its subsidiaries are and have been in compliance with applicable Health Care Laws, except where instances of non-compliance would not, singly or in the aggregate, reasonably be expected to result in a Material Adverse Effect;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Times New Roman" w:hAnsi="Times New Roman"/>
          <w:b/>
          <w:sz w:val="20"/>
        </w:rPr>
        <w:t>Governmental Authority</w:t>
      </w:r>
      <w:r>
        <w:rPr>
          <w:rFonts w:ascii="Times New Roman" w:hAnsi="Times New Roman"/>
          <w:sz w:val="20"/>
        </w:rPr>
        <w:t xml:space="preserve">) or third party alleging that any product operation or activity is in violation of any Health Care Laws and, to the Companys knowledge, no such claim, action, suit, proceeding, hearing, enforcement, investigation, arbitration or other action is threatened;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their respective directors, officers, employees or agents is or has been debarred, suspended or excluded, or has been convicted of any crime or engaged in any conduct that would result in a debarment, suspension or exclusion from any federal or state government health care program or, to the knowledge of the Company, is subject to a governmental inquiry, investigation, proceeding, or other similar action that would 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Preclinical Studies and Clinical Trials</w:t>
      </w:r>
      <w:r>
        <w:rPr>
          <w:rFonts w:ascii="Times New Roman" w:hAnsi="Times New Roman"/>
          <w:sz w:val="20"/>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Times New Roman" w:hAnsi="Times New Roman"/>
          <w:b/>
          <w:sz w:val="20"/>
        </w:rPr>
        <w:t>Regulatory Authorities</w:t>
      </w:r>
      <w:r>
        <w:rPr>
          <w:rFonts w:ascii="Times New Roman" w:hAnsi="Times New Roman"/>
          <w:sz w:val="20"/>
        </w:rPr>
        <w:t xml:space="preserve">) and all other applicable Health Care Laws, except as would not, singly or in the aggregate, reasonably be expected to have a Material Adverse Effect; the descriptions in the Registration Statement, the General Disclosure Package or the Prospectus of the results of such 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the General Disclosure Package and the Prospectus, the results of which would reasonably call into question in any material respect the results of the preclinical studies and clinical trials described in the Registration Statement, the General Disclosure Package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the General Disclosure Package and the Prospectus, or (ii) the material modification of any preclinical studies or clinical trials that would cause them to materially differ from their descriptions in the Registration Statement, the General Disclosure Package and the Prospectus, other than ordinary course communications with respect to modifications in connection with the design and implementation of such preclinical studies or clinical trials,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Health Care Products Manufacturing</w:t>
      </w:r>
      <w:r>
        <w:rPr>
          <w:rFonts w:ascii="Times New Roman" w:hAnsi="Times New Roman"/>
          <w:sz w:val="20"/>
        </w:rPr>
        <w:t xml:space="preserve">.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candidates) subject to a Governmental Authority (including FDA or EMA) shutdown or import or export prohibition, nor received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FDA, EMA or other Governmental Authority warning letters, or untitled letters alleging or asserting material noncompliance with any applicable Health Care Laws, requests to make material changes to the Companys or its subsidiaries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No Safety Notices</w:t>
      </w:r>
      <w:r>
        <w:rPr>
          <w:rFonts w:ascii="Times New Roman" w:hAnsi="Times New Roman"/>
          <w:sz w:val="20"/>
        </w:rPr>
        <w:t>. (i) There have been no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w:t>
      </w:r>
      <w:r>
        <w:rPr>
          <w:rFonts w:ascii="Times New Roman" w:hAnsi="Times New Roman"/>
          <w:b/>
          <w:sz w:val="20"/>
        </w:rPr>
        <w:t>Safety Notices</w:t>
      </w:r>
      <w:r>
        <w:rPr>
          <w:rFonts w:ascii="Times New Roman" w:hAnsi="Times New Roman"/>
          <w:sz w:val="20"/>
        </w:rPr>
        <w:t xml:space="preserve">) and (ii) there are no facts that would be reasonably likely to result in (x) a Safety Notice with respect to the Companys or its subsidiaries product candidates, or (y) a material change in labeling of any of the Companys or its subsidiaries product candidates or (z) a termination or suspension of marketing or testing of any of the Companys or its subsidiaries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 Certificates</w:t>
      </w:r>
      <w:r>
        <w:rPr>
          <w:rFonts w:ascii="Times New Roman" w:hAnsi="Times New Roman"/>
          <w:sz w:val="20"/>
        </w:rPr>
        <w:t xml:space="preserve">. Any certificate signed by any officer of the Company or any of its subsidiaries delivered to the Representatives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Securities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 Securities</w:t>
      </w:r>
      <w:r>
        <w:rPr>
          <w:rFonts w:ascii="Times New Roman" w:hAnsi="Times New Roman"/>
          <w:sz w:val="20"/>
        </w:rPr>
        <w:t>. In addition, on the basis of the representations and warranties herein contained and subject to the terms and conditions herein set forth, the Company hereby grants an option to the Underwriters, severally and not jointly, to purchase up to an additional 857,142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and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hAnsi="Times New Roman"/>
          <w:b/>
          <w:sz w:val="20"/>
        </w:rPr>
        <w:t>Date of Delivery</w:t>
      </w:r>
      <w:r>
        <w:rPr>
          <w:rFonts w:ascii="Times New Roman" w:hAnsi="Times New Roman"/>
          <w:sz w:val="20"/>
        </w:rPr>
        <w:t xml:space="preserve">)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w:t>
      </w:r>
      <w:r>
        <w:rPr>
          <w:rFonts w:ascii="Times New Roman" w:hAnsi="Times New Roman"/>
          <w:sz w:val="20"/>
        </w:rPr>
        <w:t>. Payment of the purchase price for, and delivery of certificates or security entitlements for, the Initial Securities shall be made at the offices of Cooley LLP, 10265 Science Center Drive, San Diego, California 92121,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w:t>
      </w:r>
      <w:r>
        <w:rPr>
          <w:rFonts w:ascii="Times New Roman" w:hAnsi="Times New Roman"/>
          <w:b/>
          <w:sz w:val="20"/>
        </w:rPr>
        <w:t>Closing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Section 3(b), will comply with the requirements of Rule 430B, and will promptly notify the Representatives, and confirm the notice in writing (which may be by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Continued Compliance with Securities Laws</w:t>
      </w:r>
      <w:r>
        <w:rPr>
          <w:rFonts w:ascii="Times New Roman" w:hAnsi="Times New Roman"/>
          <w:sz w:val="20"/>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hAnsi="Times New Roman"/>
          <w:b/>
          <w:sz w:val="20"/>
        </w:rPr>
        <w:t>Rule 172</w:t>
      </w:r>
      <w:r>
        <w:rPr>
          <w:rFonts w:ascii="Times New Roman" w:hAnsi="Times New Roman"/>
          <w:sz w:val="20"/>
        </w:rPr>
        <w:t xml:space="preserve">),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24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Registration Statements</w:t>
      </w:r>
      <w:r>
        <w:rPr>
          <w:rFonts w:ascii="Times New Roman" w:hAnsi="Times New Roman"/>
          <w:sz w:val="20"/>
        </w:rPr>
        <w:t xml:space="preserve">. The Company has furnished or will deliver to the Representatives and counsel for the Underwriters, if requested,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if requested,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Blue Sky Qualifications</w:t>
      </w:r>
      <w:r>
        <w:rPr>
          <w:rFonts w:ascii="Times New Roman" w:hAnsi="Times New Roman"/>
          <w:sz w:val="20"/>
        </w:rPr>
        <w:t xml:space="preserve">. The Company will use its reasonable best efforts, in cooperation with the 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the manner specified in the Registration Statement, the General Disclosure Package and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reasonable best efforts to effect and maintain the listing of the Common Stock (including the Securities) on the Nasdaq Global Select Market or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Restriction on Sale of Securities</w:t>
      </w:r>
      <w:r>
        <w:rPr>
          <w:rFonts w:ascii="Times New Roman" w:hAnsi="Times New Roman"/>
          <w:sz w:val="20"/>
        </w:rPr>
        <w:t xml:space="preserve">. During a period of 90 days from the date of the Prospectus (the Lock-Up Period), the Company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other than the filing of a prospectus or prospectus supplement (which shall state that no sales shall be made pursuant to such prospectus or prospectus supplement within the first 60 days from the date of the Prospectus) solely related to the issuance and sale of Common Stock issuable pursuant to the terms of that certain Open Market Sale AgreementSM by and between the Registrant and Jefferies LLC, (ii) enter into any swap, hedging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(B) any shares of Common Stock issued by the Company upon the exercise of an option or warrant or the conversion of a security, in each case, outstanding on the date hereof and referred to in the Registration Statement, the General Disclosure Package and the Prospectus, (C)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(E) any shares of Common Stock issued pursuant to any non-employee director compensation plan or program or dividend reinvestment plan referred to in the Registration Statement, the General Disclosure Package and the Prospectus, (F)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(G) the issuance of shares of Common Stock,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w:t>
      </w:r>
      <w:r>
        <w:rPr>
          <w:rFonts w:ascii="Times New Roman" w:hAnsi="Times New Roman"/>
          <w:i/>
          <w:sz w:val="20"/>
        </w:rPr>
        <w:t>provided</w:t>
      </w:r>
      <w:r>
        <w:rPr>
          <w:rFonts w:ascii="Times New Roman" w:hAnsi="Times New Roman"/>
          <w:sz w:val="20"/>
        </w:rPr>
        <w:t xml:space="preserve"> that the aggregate number of shares of Common Stock, restricted stock awards and shares of Common Stock issuable upon the conversion, exercise or exchange of securities (on an as converted or as exercised basis, as the case may be) issued pursuant to this clause (G) shall not exceed 5% of the total number of shares of Common Stock issued and outstanding immediately following the issuance and sale of the Securities at the Closing Time pursuant hereto, </w:t>
      </w:r>
      <w:r>
        <w:rPr>
          <w:rFonts w:ascii="Times New Roman" w:hAnsi="Times New Roman"/>
          <w:i/>
          <w:sz w:val="20"/>
        </w:rPr>
        <w:t>provided, further,</w:t>
      </w:r>
      <w:r>
        <w:rPr>
          <w:rFonts w:ascii="Times New Roman" w:hAnsi="Times New Roman"/>
          <w:sz w:val="20"/>
        </w:rPr>
        <w:t xml:space="preserve"> that each recipient of shares of Common Stock, restricted stock awards or securities convertible into or exercisable or exchangeable for shares of Common Stock pursuant to this clause agrees to be bound by the terms of the lock-up or shall execute a lock-up agreement substantially in the form of Exhibit A hereto, or (H) beginning on the 61st day from the date of the Prospectus, shares of Common Stock sold pursuant to that certain Open Market Sale AgreementSM by and between the Registrant and Jefferies LLC (provided that no public filings regarding such sales or announcement regarding such sales shall be required or be voluntarily made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provided, however, that the Company shall not be required to notify the Representatives of any statements or omissions in the Issuer Free Writing Prospectus prepared or authorized by the Company made in reliance upon and in conformity with the Underwriter Information .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Certification Regarding Beneficial Owners</w:t>
      </w:r>
      <w:r>
        <w:rPr>
          <w:rFonts w:ascii="Times New Roman" w:hAnsi="Times New Roman"/>
          <w:sz w:val="20"/>
        </w:rPr>
        <w:t xml:space="preserve">. The Company will deliver to the Representatives upon the reasonable request of the Representatives, on the date of execution of this 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so determined by the Company and the Representatives in their reasonable judgment,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Emerging Growth Company Status</w:t>
      </w:r>
      <w:r>
        <w:rPr>
          <w:rFonts w:ascii="Times New Roman" w:hAnsi="Times New Roman"/>
          <w:sz w:val="20"/>
        </w:rPr>
        <w:t xml:space="preserve">. The Company will promptly notify the Representatives if the Company ceases to be an Emerging Growth Company at any time prior to the later of (i) completion of the distribution of the Securities within the meaning of the 1933 Act and (ii) completion of the 90-day restricted period referred to in Section 3(i).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subject to the limitation set forth in clause (viii) 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if any (it being understood that the Underwriters will pay or cause to be paid the travel and lodging expenses of their representatives),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above shall not exceed $30,000 in the aggregate,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Representatives in accordance with the provisions of Section 5, Section 9(a)(i) or (iii) or Section 10 hereof, the Company shall reimburse the Underwriters for their reasonable and documented out-of-pocket expenses, including the reasonable and documented fees and disbursements of counsel for the Underwriters; provided that, if this Agreement is terminated by the Representatives pursuant to Section 10 hereof, the Company will have no obligation to reimburse any 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including any Rule 462(b)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Company</w:t>
      </w:r>
      <w:r>
        <w:rPr>
          <w:rFonts w:ascii="Times New Roman" w:hAnsi="Times New Roman"/>
          <w:sz w:val="20"/>
        </w:rPr>
        <w:t xml:space="preserve">. At the Closing Time, the Representatives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the opinion and negative assurance letter, each dated the Closing Time, of Gunderson Dettmer Stough Villeneuve Franklin &amp; Hachigian, LLP, counsel for the Company, in form and substance reasonably satisfactory to counsel for the Underwriters, together with signed or reproduced copies of such letter for each of the other Underwriters; </w:t>
      </w:r>
    </w:p>
    <w:p>
      <w:pPr>
        <w:pStyle w:val="TextBody"/>
        <w:bidi w:val="0"/>
        <w:spacing w:before="120" w:after="0"/>
        <w:jc w:val="left"/>
        <w:rPr>
          <w:rFonts w:ascii="Times New Roman" w:hAnsi="Times New Roman"/>
          <w:sz w:val="20"/>
        </w:rPr>
      </w:pPr>
      <w:r>
        <w:rPr>
          <w:rFonts w:ascii="Times New Roman" w:hAnsi="Times New Roman"/>
          <w:sz w:val="20"/>
        </w:rPr>
        <w:t xml:space="preserve">(ii) the opinions, dated the Closing Time, of (i) Hogan Lovells US LLP and (ii) Hogan Lovells International LLP, each, regulatory counsel for the Company, in form and substance reasonably satisfactory to counsel for the Underwriters, together with signed or reproduced copies of such letters for each of the other Underwriters; and </w:t>
      </w:r>
    </w:p>
    <w:p>
      <w:pPr>
        <w:pStyle w:val="TextBody"/>
        <w:bidi w:val="0"/>
        <w:spacing w:before="120" w:after="0"/>
        <w:jc w:val="left"/>
        <w:rPr>
          <w:rFonts w:ascii="Times New Roman" w:hAnsi="Times New Roman"/>
          <w:sz w:val="20"/>
        </w:rPr>
      </w:pPr>
      <w:r>
        <w:rPr>
          <w:rFonts w:ascii="Times New Roman" w:hAnsi="Times New Roman"/>
          <w:sz w:val="20"/>
        </w:rPr>
        <w:t xml:space="preserve">(iii) the opinion, dated the Closing Time, of Knobbe Martens Olson &amp; Bear LLP, intellectual property counsel for the Company, in form and substance reasonably satisfactory to counsel for the Underwriters, together with signed or reproduced copies of such letter for each of the other Underwriters.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Underwriters</w:t>
      </w:r>
      <w:r>
        <w:rPr>
          <w:rFonts w:ascii="Times New Roman" w:hAnsi="Times New Roman"/>
          <w:sz w:val="20"/>
        </w:rPr>
        <w:t xml:space="preserve">. At the Closing Time, the Representatives shall have received the opinion and negative assurance letter, dated the Closing Time, of Cooley LLP, counsel for the Underwriters, together with signed or reproduced copies of such letter for each of the other Underwriters, in form and substance reasonably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Representatives shall have received from Ernst &amp; 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Bring-down Comfort Letter</w:t>
      </w:r>
      <w:r>
        <w:rPr>
          <w:rFonts w:ascii="Times New Roman" w:hAnsi="Times New Roman"/>
          <w:sz w:val="20"/>
        </w:rPr>
        <w:t xml:space="preserve">. At the Closing Time, the Representatives shall have received from Ernst &amp; Young, LLP a letter, dated as of the Closing Time, to the effect that they reaffirm the statements made in the letter furnished pursuant to subsection (e) of this Section, except that the specified date referred to shall be a date not more than three business days prior to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Approval of Listing</w:t>
      </w:r>
      <w:r>
        <w:rPr>
          <w:rFonts w:ascii="Times New Roman" w:hAnsi="Times New Roman"/>
          <w:sz w:val="20"/>
        </w:rPr>
        <w:t xml:space="preserve">. At the Closing Time, the Securities shall have been approved for listing on the Nasdaq Global Select Market, subject only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Objection</w:t>
      </w:r>
      <w:r>
        <w:rPr>
          <w:rFonts w:ascii="Times New Roman" w:hAnsi="Times New Roman"/>
          <w:sz w:val="20"/>
        </w:rPr>
        <w:t xml:space="preserve">. FINRA shall have confirmed that it has not raised any objection with respect to the fairness and reasonableness of the underwriting terms and arrangements relating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Lock-up Agreements</w:t>
      </w:r>
      <w:r>
        <w:rPr>
          <w:rFonts w:ascii="Times New Roman" w:hAnsi="Times New Roman"/>
          <w:sz w:val="20"/>
        </w:rPr>
        <w:t xml:space="preserve">. At the date of this Agreement, the Representatives shall have received an agreement substantially in the form of Exhibit A hereto signed by the persons listed on Schedule C 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Maintenance of Rating</w:t>
      </w:r>
      <w:r>
        <w:rPr>
          <w:rFonts w:ascii="Times New Roman" w:hAnsi="Times New Roman"/>
          <w:sz w:val="20"/>
        </w:rPr>
        <w:t xml:space="preserve">. Neither the Company nor its subsidiaries have any debt securities or preferred stock that are rated by any nationally recognized statistical rating agency (as defined in Section 3(a)(62)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Chief Financial Officers Certificate</w:t>
      </w:r>
      <w:r>
        <w:rPr>
          <w:rFonts w:ascii="Times New Roman" w:hAnsi="Times New Roman"/>
          <w:sz w:val="20"/>
        </w:rPr>
        <w:t xml:space="preserve">. At the time of the execution of this Agreement and at the Closing Time, the Representatives shall have received from the chief financial officer of the Company a certificate with respect to certain financial data contained in the General Disclosure Package and the Prospectus in a form reasonably satisfactory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Conditions to Purchase of Option Securities</w:t>
      </w:r>
      <w:r>
        <w:rPr>
          <w:rFonts w:ascii="Times New Roman" w:hAnsi="Times New Roman"/>
          <w:sz w:val="20"/>
        </w:rPr>
        <w:t xml:space="preserve">. In the event that the Underwriters exercise their option provided in Section 2(b) hereof to 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Officers Certificate</w:t>
      </w:r>
      <w:r>
        <w:rPr>
          <w:rFonts w:ascii="Times New Roman" w:hAnsi="Times New Roman"/>
          <w:sz w:val="20"/>
        </w:rPr>
        <w:t xml:space="preserve">. A certificate, dated such Date of Delivery, of the Chief Executive Officer or a Vice President of the Company and of the chief financial or chief accounting officer of the Company confirming that the certificate delivered at the Closing Time pursuant to Section 5(d) hereof remains true and correct as of such Date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Opinions of Counsel for Company</w:t>
      </w:r>
      <w:r>
        <w:rPr>
          <w:rFonts w:ascii="Times New Roman" w:hAnsi="Times New Roman"/>
          <w:sz w:val="20"/>
        </w:rPr>
        <w:t xml:space="preserve">. If requested by the Representatives, (A) the opinion and negative assurance letter of Gunderson Dettmer Stough Villeneuve Franklin &amp; Hachigian, LLP, counsel for the Company, (B) the opinion of Hogan Lovells US LLP, regulatory counsel for the Company and (C) the opinion of Knobbe Martens Olson &amp; Bear LLP, intellectual property counsel for the Company, each in form and substance reasonably satisfactory to counsel for the Underwriters, dated such Date of Delivery, relating to the Option Securities to be purchased on such Date of Delivery and otherwise to the same effect as the opinion of such firm required by Section 5(b) 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Opinion of Counsel for Underwriters</w:t>
      </w:r>
      <w:r>
        <w:rPr>
          <w:rFonts w:ascii="Times New Roman" w:hAnsi="Times New Roman"/>
          <w:sz w:val="20"/>
        </w:rPr>
        <w:t xml:space="preserve">. If requested by the Representatives, the opinion of Cooley LLP, counsel for the Underwriters, dated such Date of Delivery, relating to the Option Securities to be purchased on such Date of Delivery and otherwise to the same effect as the opinion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Bring-down Comfort Letter</w:t>
      </w:r>
      <w:r>
        <w:rPr>
          <w:rFonts w:ascii="Times New Roman" w:hAnsi="Times New Roman"/>
          <w:sz w:val="20"/>
        </w:rPr>
        <w:t xml:space="preserve">. If requested by the Representatives, a letter from Ernst &amp; Young,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Chief Financial Officers Certificate</w:t>
      </w:r>
      <w:r>
        <w:rPr>
          <w:rFonts w:ascii="Times New Roman" w:hAnsi="Times New Roman"/>
          <w:sz w:val="20"/>
        </w:rPr>
        <w:t xml:space="preserve">. A certificate from the chief financial officer of the Company, in form and substance satisfactory to the Underwriters and dated such Date of Delivery, substantially in the same form and substance as the letter furnished to the Representatives pursuant to Section 5(k) hereof.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 Documents</w:t>
      </w:r>
      <w:r>
        <w:rPr>
          <w:rFonts w:ascii="Times New Roman" w:hAnsi="Times New Roman"/>
          <w:sz w:val="20"/>
        </w:rPr>
        <w:t xml:space="preserve">. At the Closing Time and at each Date of Delivery (if any) counsel for the Underwriters shall have been furnished with such documents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The Company agrees to indemnify and hold harmless each Underwriter, its affiliates (as such term is defined in Rule 501(b) under the 1933 Act (each, an </w:t>
      </w:r>
      <w:r>
        <w:rPr>
          <w:rFonts w:ascii="Times New Roman" w:hAnsi="Times New Roman"/>
          <w:b/>
          <w:sz w:val="20"/>
        </w:rPr>
        <w:t>Affiliate</w:t>
      </w:r>
      <w:r>
        <w:rPr>
          <w:rFonts w:ascii="Times New Roman" w:hAnsi="Times New Roman"/>
          <w:sz w:val="20"/>
        </w:rPr>
        <w:t xml:space="preserve">)), its selling agents and each person, if any, who controls any Underwriter within the meaning of Section 15 of the 1933 Act or Section 20 of the 1934 Act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hAnsi="Times New Roman"/>
          <w:b/>
          <w:sz w:val="20"/>
        </w:rPr>
        <w:t>Marketing Materials</w:t>
      </w:r>
      <w:r>
        <w:rPr>
          <w:rFonts w:ascii="Times New Roman" w:hAnsi="Times New Roman"/>
          <w:sz w:val="20"/>
        </w:rPr>
        <w:t xml:space="preserve">), including any roadshow or investor presentations made to investors by the Company (whether in person or electronically) or the omission or alleged omission in any preliminary prospectus, Issuer Free Writing Prospectus, any Written Testing-the-Waters Communication, Prospectus or any Marketing Materials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Issuer Free Writing Prospectus, Written Testing-the-Waters Communication or the Prospectus (or any amendment or supplement thereto)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commissions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If one or more of the Underwriters shall fail at the Closing Time or a Date of Delivery to purchase the Securities which it or they are obligated to purchase under this Agreement (the </w:t>
      </w:r>
      <w:r>
        <w:rPr>
          <w:rFonts w:ascii="Times New Roman" w:hAnsi="Times New Roman"/>
          <w:b/>
          <w:sz w:val="20"/>
        </w:rPr>
        <w:t>Defaulted Securities</w:t>
      </w:r>
      <w:r>
        <w:rPr>
          <w:rFonts w:ascii="Times New Roman" w:hAnsi="Times New Roman"/>
          <w:sz w:val="20"/>
        </w:rPr>
        <w:t xml:space="preserve">),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Goldman Sachs &amp; Co. LLC, 200 West Street, New York, New York 10282-2198, Attention: Registration Department; BofA Securities, Inc., One Bryant Park, New York, New York 10036, Attention: Syndicate Department (email: dg.ecm_execution_services@bofa.com), with a copy to ECM Legal (email: dg.ecm_legal@bofa.com); and Guggenheim Securities, LLC, 330 Madison Avenue, New York, New York 10017, Attention: Head of Equity Capital Markets; and with a copy to Cooley LLP at 10265 Science Center Drive, San Diego, California 92121, Attention: Charlie Kim. Notices to the Company shall be directed to it at 15440 Laguna Canyon Road, Irvine, California 92618, Attention: Bobak Azamian; with a copy to Gunderson Dettmer Stough Villeneuve Franklin &amp; Hachigian, LLP at 3570 Carmel Mountain Road, Suite 200, San Diego, California 92130, Attention: Ilan Lovinsky.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Section 13,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Consent to Jurisdiction; Waiver of Immunity</w:t>
      </w:r>
      <w:r>
        <w:rPr>
          <w:rFonts w:ascii="Times New Roman" w:hAnsi="Times New Roman"/>
          <w:sz w:val="20"/>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0"/>
        <w:gridCol w:w="3716"/>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TARSUS PHARMACEUTICALS, INC.</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Bobak Azamian, MD, PhD</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bidi w:val="0"/>
              <w:spacing w:before="0" w:after="283"/>
              <w:jc w:val="left"/>
              <w:rPr/>
            </w:pPr>
            <w:r>
              <w:rPr/>
              <w:t>Name: Bobak Azamian, MD, PhD</w:t>
            </w:r>
          </w:p>
        </w:tc>
      </w:tr>
      <w:tr>
        <w:trPr/>
        <w:tc>
          <w:tcPr>
            <w:tcW w:w="3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CONFIRMED AND ACCEPTED, </w:t>
      </w:r>
    </w:p>
    <w:p>
      <w:pPr>
        <w:pStyle w:val="TextBody"/>
        <w:bidi w:val="0"/>
        <w:spacing w:before="0" w:after="0"/>
        <w:jc w:val="left"/>
        <w:rPr>
          <w:rFonts w:ascii="Times New Roman" w:hAnsi="Times New Roman"/>
          <w:sz w:val="20"/>
        </w:rPr>
      </w:pPr>
      <w:r>
        <w:rPr>
          <w:rFonts w:ascii="Times New Roman" w:hAnsi="Times New Roman"/>
          <w:sz w:val="20"/>
        </w:rPr>
        <w:t xml:space="preserve">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2"/>
        <w:gridCol w:w="79"/>
        <w:gridCol w:w="3541"/>
      </w:tblGrid>
      <w:tr>
        <w:trPr/>
        <w:tc>
          <w:tcPr>
            <w:tcW w:w="462"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Danielle Freeman</w:t>
            </w:r>
          </w:p>
        </w:tc>
      </w:tr>
      <w:tr>
        <w:trPr/>
        <w:tc>
          <w:tcPr>
            <w:tcW w:w="4082" w:type="dxa"/>
            <w:gridSpan w:val="3"/>
            <w:tcBorders/>
          </w:tcPr>
          <w:p>
            <w:pPr>
              <w:pStyle w:val="TableContents"/>
              <w:bidi w:val="0"/>
              <w:spacing w:before="0" w:after="283"/>
              <w:jc w:val="center"/>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462"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Butz</w:t>
            </w:r>
          </w:p>
        </w:tc>
      </w:tr>
      <w:tr>
        <w:trPr/>
        <w:tc>
          <w:tcPr>
            <w:tcW w:w="4082" w:type="dxa"/>
            <w:gridSpan w:val="3"/>
            <w:tcBorders/>
          </w:tcPr>
          <w:p>
            <w:pPr>
              <w:pStyle w:val="TableContents"/>
              <w:bidi w:val="0"/>
              <w:spacing w:before="0" w:after="283"/>
              <w:jc w:val="center"/>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GUGGENHEIM SECURITIES, LLC</w:t>
            </w:r>
          </w:p>
        </w:tc>
      </w:tr>
      <w:tr>
        <w:trPr>
          <w:trHeight w:val="240" w:hRule="atLeast"/>
        </w:trPr>
        <w:tc>
          <w:tcPr>
            <w:tcW w:w="462"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r>
      <w:tr>
        <w:trPr/>
        <w:tc>
          <w:tcPr>
            <w:tcW w:w="462"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Jordan Bliss</w:t>
            </w:r>
          </w:p>
        </w:tc>
      </w:tr>
      <w:tr>
        <w:trPr/>
        <w:tc>
          <w:tcPr>
            <w:tcW w:w="4082" w:type="dxa"/>
            <w:gridSpan w:val="3"/>
            <w:tcBorders/>
          </w:tcPr>
          <w:p>
            <w:pPr>
              <w:pStyle w:val="TableContents"/>
              <w:bidi w:val="0"/>
              <w:spacing w:before="0" w:after="283"/>
              <w:jc w:val="center"/>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as Representatives of the other Underwriters named in Schedule A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per share for the Securities shall be $17.50.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Securities to be paid by the several Underwriters shall be $16.45, being an amount equal to the public offering price set forth above less $1.05 per share, subject to adjustment in accordance with Section 2(b) for dividends or distributions declared by the Company and payable on the Initial Securities but not payable on the Option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8"/>
        <w:gridCol w:w="399"/>
        <w:gridCol w:w="88"/>
        <w:gridCol w:w="1477"/>
        <w:gridCol w:w="63"/>
      </w:tblGrid>
      <w:tr>
        <w:trPr/>
        <w:tc>
          <w:tcPr>
            <w:tcW w:w="81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78" w:type="dxa"/>
            <w:tcBorders/>
            <w:vAlign w:val="bottom"/>
          </w:tcPr>
          <w:p>
            <w:pPr>
              <w:pStyle w:val="TableContents"/>
              <w:bidi w:val="0"/>
              <w:spacing w:before="0" w:after="283"/>
              <w:jc w:val="left"/>
              <w:rPr/>
            </w:pPr>
            <w:r>
              <w:rPr/>
              <w:t>Name of Underwriter</w:t>
            </w:r>
          </w:p>
        </w:tc>
        <w:tc>
          <w:tcPr>
            <w:tcW w:w="399"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Initial Securities</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2,371,428</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1,685,714</w:t>
            </w:r>
          </w:p>
        </w:tc>
        <w:tc>
          <w:tcPr>
            <w:tcW w:w="63"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1,142,857</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514,286</w:t>
            </w:r>
          </w:p>
        </w:tc>
        <w:tc>
          <w:tcPr>
            <w:tcW w:w="63" w:type="dxa"/>
            <w:tcBorders/>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5,714,285</w:t>
            </w:r>
          </w:p>
        </w:tc>
        <w:tc>
          <w:tcPr>
            <w:tcW w:w="63" w:type="dxa"/>
            <w:tcBorders/>
            <w:shd w:fill="CCEEFF" w:val="clear"/>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selling 5,714,285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granted an option to the Underwriters, severally and not jointly, to purchase up to an additional 857,142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per share for the Securities shall be $17.50.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C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List of Persons and Entities Subject to Lock-Up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Andrew Goldberg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Aziz Mottiwala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Bhaskar Chaudhauri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Bobak Azamian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Bobak Azamian, as Trustee of the Bobak Azamian Living Trust, established April 16, 2018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Bryan Wahl, M.D., J.D.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Dianne Whitfield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Elizabeth Yeu-Lin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9.</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Flying L Investments XI,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 Farrow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Jose Trevejo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Rosemary Crane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Morrison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Sesha Neervannan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Wendy Yarno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J. Link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C-1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FROM DIRECTORS, OFFICERS OR OTHER STOCKHOLDERS PURSUANT TO SECTION 5(i) </w:t>
      </w:r>
    </w:p>
    <w:p>
      <w:pPr>
        <w:pStyle w:val="TextBody"/>
        <w:bidi w:val="0"/>
        <w:spacing w:before="240" w:after="0"/>
        <w:jc w:val="center"/>
        <w:rPr>
          <w:rFonts w:ascii="Times New Roman" w:hAnsi="Times New Roman"/>
          <w:sz w:val="20"/>
        </w:rPr>
      </w:pPr>
      <w:r>
        <w:rPr>
          <w:rFonts w:ascii="Times New Roman" w:hAnsi="Times New Roman"/>
          <w:sz w:val="20"/>
        </w:rPr>
        <w:t xml:space="preserve">[], 2023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to be named in the </w:t>
      </w:r>
    </w:p>
    <w:p>
      <w:pPr>
        <w:pStyle w:val="TextBody"/>
        <w:bidi w:val="0"/>
        <w:spacing w:before="0" w:after="0"/>
        <w:jc w:val="left"/>
        <w:rPr>
          <w:rFonts w:ascii="Times New Roman" w:hAnsi="Times New Roman"/>
          <w:sz w:val="20"/>
        </w:rPr>
      </w:pPr>
      <w:r>
        <w:rPr>
          <w:rFonts w:ascii="Times New Roman" w:hAnsi="Times New Roman"/>
          <w:sz w:val="20"/>
        </w:rPr>
        <w:t xml:space="preserve">within-mentioned Underwriting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c/o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Goldman Sachs &amp; Co.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Proposed Public Offering by Tarsus Pharmaceuticals,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 stockholder and/or a stock option holder and/or an officer and/or a director, as applicable, of Tarsus Pharmaceuticals, Inc., a Delaware corporation (the Company), understands that Goldman Sachs &amp; Co. LLC (Goldman), BofA Securities, Inc. (BofA) and Guggenheim Securities, LLC (Guggenheim)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 confer upon the undersigned as a stockholder and/or a stock option 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Lock-Up Period), the undersigned will not, without the prior written consent of the Representatives (it being understood that to the extent that prior to the consummation of the Public Offering, any such Underwriter ceases to participate in the Public Offering, such Underwriter shall cease to be a Representative hereunder), (i) directly or indirectly, offer, pledge, sell, contract to sell, sell any option or contract to purchase, purchase any option or contract to sell, grant any option, right or warrant to purchase or otherwise transfer or dispose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(ii) enter into any swap, hedging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transfer the Lock-Up Securities without the prior written consent of the Representatives, provided that (1) in the case of clause (i) through (vi) and (ix) below, the Representatives receive a signed lock-up agreement for the balance of the Lock-Up Period from each donee, trustee, distributee, or transferee, as the case may be, (2) (A) in the clauses (i) through (v) below, any such transfer shall not involve a disposition for value, (B) in the cases of clause (i)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(v) through (ix) below, any filing under Section 16 of the Exchange Act made during the Lock-Up Period shall clearly indicate in the footnotes the circumstances of the transfer, and (3) the undersigned does not otherwise voluntarily effect any public filing or report regarding such transfers during the Lock-Up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 xml:space="preserve">bona fide </w:t>
            </w:r>
            <w:r>
              <w:rPr>
                <w:rFonts w:ascii="Times New Roman" w:hAnsi="Times New Roman"/>
                <w:sz w:val="20"/>
              </w:rPr>
              <w:t xml:space="preserve">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general or limited partners, members, stockholders or other equity holders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that, directly or indirectly, controls or manages, is controlled or managed by, or is under common control or management with,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upon the death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of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settlement of restricted stock units or exercise of options, warrants or other rights to acquire shares of Common Stock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any security convertible, exercisable for or settled into shares of Common Stock of the Company by way of net exercise, net settlement and/or to cover withholding tax obligations in connection with such exercise or settlement pursuant to an employee benefit plan, option, restricted stock unit or warrant or other right disclosed in the prospectus for the Public Offering or any document incorporated by reference therein, provided that any such shares of the Common Stock issued upon settlement of such restricted stock unit or exercise of such option, warrant or other right shall be subject to the restrictions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pursuant to agreements under which the Company has exercised its option to repurchase such shares or has exercised a right of first refusal with respect to transfers of such shares upon termination of service of the undersigned, so long as such agreement or right of first refusal is disclosed in the prospectus or any document incorporated by reference therein, for the Public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undersigned may sell shares of Common Stock of the Company purchased by the undersigned from the underwriters in the Public Offering or on the open market following the Public Offering if and only if (i) such sales are not required to be reported in any public report or filing with the SEC, or otherwise and (ii) the undersigned does not otherwise voluntarily effect any public filing or report regarding such sales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undersigned may establish a trading plan pursuant to Rule 10b5-1 under the Exchange Act (a 10b5-1 Trading Plan), provided that (A) any required filing under the Exchange Act made by the Company or any person regarding the establishment of such plan during the Lock-Up Period shall state that the undersigned is not permitted to sell, transfer or otherwise dispose of securities under such plan during the Lock-Up Period in contravention of this lock-up agreement and (B) no sales are made during the Lock-Up Period pursuant to such plan and (ii) the undersigned may sell shares of Common Stock or transfer as a distribution to general or limited partners, members, stockholders or other equity holders of the undersigned pursuant to a 10b5-1 Trading Plan, provided that such plan was established prior to the execution of this lock-up agreement by the undersigned and provided to the Representatives, and provided further that (x) any filing under Section 16(a) of the Exchange Act that is made in connection with any such sales during the Lock-Up Period shall state that such sales have been executed under a 10b5-1 Trading Plan and shall also state the date such 10b5-1 Trading Plan was adopted and (y) the undersigned does not otherwise voluntarily effect any public filing or report regarding such sales or transfers during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the Lock-Up Period described herein and related restrictions shall automatically terminate upon the earliest to occur, if any, of (i) either the Company, on the one hand, or the Representatives, on the other hand, advising the other in writing prior to the execution of the Underwriting Agreement that it has determined not to proceed with the Public Offering, (ii) the termination of the Underwriting Agreement before payment for and delivery of the Common Stock to be sold thereunder, (iii) the registration statement filed under the Securities Act with respect to the Public Offering contemplated by the Underwriting Agreement is withdrawn or (iv) September 30, 2023, in the event the closing of the Public Offering shall not have occurred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i/>
              </w:rPr>
              <w:t>If signatory is an individual</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w:t>
            </w:r>
            <w:r>
              <w:rPr>
                <w:u w:val="single"/>
              </w:rPr>
              <w:t>                                                 </w:t>
            </w:r>
          </w:p>
        </w:tc>
      </w:tr>
      <w:tr>
        <w:trPr/>
        <w:tc>
          <w:tcPr>
            <w:tcW w:w="4082" w:type="dxa"/>
            <w:tcBorders/>
          </w:tcPr>
          <w:p>
            <w:pPr>
              <w:pStyle w:val="TableContents"/>
              <w:bidi w:val="0"/>
              <w:spacing w:before="0" w:after="283"/>
              <w:jc w:val="left"/>
              <w:rPr/>
            </w:pPr>
            <w:r>
              <w:rPr/>
              <w:t>Name:</w:t>
            </w:r>
            <w:r>
              <w:rPr>
                <w:u w:val="single"/>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i/>
              </w:rPr>
              <w:t>If signatory is an entity</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Entity:</w:t>
            </w:r>
            <w:r>
              <w:rPr>
                <w:u w:val="single"/>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w:t>
            </w:r>
            <w:r>
              <w:rPr>
                <w:u w:val="single"/>
              </w:rPr>
              <w:t>                                                 </w:t>
            </w:r>
          </w:p>
        </w:tc>
      </w:tr>
      <w:tr>
        <w:trPr/>
        <w:tc>
          <w:tcPr>
            <w:tcW w:w="4082" w:type="dxa"/>
            <w:tcBorders/>
          </w:tcPr>
          <w:p>
            <w:pPr>
              <w:pStyle w:val="TableContents"/>
              <w:bidi w:val="0"/>
              <w:spacing w:before="0" w:after="283"/>
              <w:jc w:val="left"/>
              <w:rPr/>
            </w:pPr>
            <w:r>
              <w:rPr/>
              <w:t>Name:</w:t>
            </w:r>
            <w:r>
              <w:rPr>
                <w:u w:val="single"/>
              </w:rPr>
              <w:t>                                                       </w:t>
            </w:r>
          </w:p>
        </w:tc>
      </w:tr>
      <w:tr>
        <w:trPr/>
        <w:tc>
          <w:tcPr>
            <w:tcW w:w="4082" w:type="dxa"/>
            <w:tcBorders/>
          </w:tcPr>
          <w:p>
            <w:pPr>
              <w:pStyle w:val="TableContents"/>
              <w:bidi w:val="0"/>
              <w:spacing w:before="0" w:after="283"/>
              <w:jc w:val="left"/>
              <w:rPr/>
            </w:pPr>
            <w:r>
              <w:rPr/>
              <w:t>Title:</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p>
    <w:p>
      <w:pPr>
        <w:pStyle w:val="TextBody"/>
        <w:bidi w:val="0"/>
        <w:spacing w:before="0" w:after="0"/>
        <w:jc w:val="right"/>
        <w:rPr>
          <w:rFonts w:ascii="Times New Roman" w:hAnsi="Times New Roman"/>
          <w:b/>
          <w:sz w:val="20"/>
        </w:rPr>
      </w:pPr>
      <w:bookmarkStart w:id="4" w:name="d596862dex51.htm"/>
      <w:bookmarkStart w:id="5" w:name="ksd59686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1381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August 1, 2023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You have requested our opinion with respect to certain matters in connection with the sale and issuance by Tarsus Pharmaceuticals, Inc., a Delaware corporation (the </w:t>
      </w:r>
      <w:r>
        <w:rPr>
          <w:rFonts w:ascii="Times New Roman" w:hAnsi="Times New Roman"/>
          <w:b/>
          <w:i/>
          <w:sz w:val="20"/>
        </w:rPr>
        <w:t>Company</w:t>
      </w:r>
      <w:r>
        <w:rPr>
          <w:rFonts w:ascii="Times New Roman" w:hAnsi="Times New Roman"/>
          <w:sz w:val="20"/>
        </w:rPr>
        <w:t>), of up to an aggregate of 6,571,427 shares of the Companys common stock, par value $0.0001 per share (the </w:t>
      </w:r>
      <w:r>
        <w:rPr>
          <w:rFonts w:ascii="Times New Roman" w:hAnsi="Times New Roman"/>
          <w:b/>
          <w:i/>
          <w:sz w:val="20"/>
        </w:rPr>
        <w:t>Shares</w:t>
      </w:r>
      <w:r>
        <w:rPr>
          <w:rFonts w:ascii="Times New Roman" w:hAnsi="Times New Roman"/>
          <w:sz w:val="20"/>
        </w:rPr>
        <w:t>), (including up to an aggregate of 857,142 shares that may be sold pursuant to the exercise of an option granted by the Company to the underwriters), pursuant to (i) a shelf registration statement on Form S-3 (File No. 333-260665)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on November 1, 2021, and declared effective by the Commission on November 5, 2021 (the </w:t>
      </w:r>
      <w:r>
        <w:rPr>
          <w:rFonts w:ascii="Times New Roman" w:hAnsi="Times New Roman"/>
          <w:b/>
          <w:i/>
          <w:sz w:val="20"/>
        </w:rPr>
        <w:t>Base Prospectus</w:t>
      </w:r>
      <w:r>
        <w:rPr>
          <w:rFonts w:ascii="Times New Roman" w:hAnsi="Times New Roman"/>
          <w:sz w:val="20"/>
        </w:rPr>
        <w:t>), as supplemented by the prospectus supplement dated August 1, 2023, filed with the Commission pursuant to Rule 424(b) under the Act (the </w:t>
      </w:r>
      <w:r>
        <w:rPr>
          <w:rFonts w:ascii="Times New Roman" w:hAnsi="Times New Roman"/>
          <w:b/>
          <w:i/>
          <w:sz w:val="20"/>
        </w:rPr>
        <w:t>Prospectus Supplement</w:t>
      </w:r>
      <w:r>
        <w:rPr>
          <w:rFonts w:ascii="Times New Roman" w:hAnsi="Times New Roman"/>
          <w:sz w:val="20"/>
        </w:rPr>
        <w:t> and together with the Base Prospectus, the </w:t>
      </w:r>
      <w:r>
        <w:rPr>
          <w:rFonts w:ascii="Times New Roman" w:hAnsi="Times New Roman"/>
          <w:b/>
          <w:i/>
          <w:sz w:val="20"/>
        </w:rPr>
        <w:t>Prospectus</w:t>
      </w:r>
      <w:r>
        <w:rPr>
          <w:rFonts w:ascii="Times New Roman" w:hAnsi="Times New Roman"/>
          <w:sz w:val="20"/>
        </w:rPr>
        <w:t>) and (ii) an underwriting agreement dated August 1, 2023, and entered into by and among the Company and Goldman Sachs &amp; Co. LLC, BofA Securities, Inc. and Guggenheim Securities, LLC, as representatives of the several underwriters (the </w:t>
      </w:r>
      <w:r>
        <w:rPr>
          <w:rFonts w:ascii="Times New Roman" w:hAnsi="Times New Roman"/>
          <w:b/>
          <w:i/>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and the Prospectus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w:t>
      </w:r>
    </w:p>
    <w:p>
      <w:pPr>
        <w:pStyle w:val="TextBody"/>
        <w:bidi w:val="0"/>
        <w:spacing w:before="240" w:after="0"/>
        <w:jc w:val="left"/>
        <w:rPr>
          <w:rFonts w:ascii="Times New Roman" w:hAnsi="Times New Roman"/>
          <w:sz w:val="20"/>
        </w:rPr>
      </w:pPr>
      <w:r>
        <w:rPr>
          <w:rFonts w:ascii="Times New Roman" w:hAnsi="Times New Roman"/>
          <w:sz w:val="20"/>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hAnsi="Times New Roman"/>
          <w:b/>
          <w:i/>
          <w:sz w:val="20"/>
        </w:rPr>
        <w:t>DGCL</w:t>
      </w:r>
      <w:r>
        <w:rPr>
          <w:rFonts w:ascii="Times New Roman" w:hAnsi="Times New Roman"/>
          <w:sz w:val="20"/>
        </w:rPr>
        <w:t xml:space="preserve">). Our opinion is based on these laws as in effect on the date hereof, and we disclaim any obligation to advise you of facts,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24550" cy="3905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Legal Matters included in the Prospectus and to the filing of this opinion as an exhibit to the Companys Current Report on Form 8-K to be filed with the Commission on August 2, 2023.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Gunderson Dettmer Stough Villeneuve Franklin &amp; Hachigian, LLP</w:t>
            </w:r>
          </w:p>
        </w:tc>
      </w:tr>
      <w:tr>
        <w:trPr/>
        <w:tc>
          <w:tcPr>
            <w:tcW w:w="4082" w:type="dxa"/>
            <w:tcBorders/>
          </w:tcPr>
          <w:p>
            <w:pPr>
              <w:pStyle w:val="TableContents"/>
              <w:bidi w:val="0"/>
              <w:spacing w:before="0" w:after="283"/>
              <w:jc w:val="left"/>
              <w:rPr/>
            </w:pPr>
            <w:r>
              <w:rPr/>
              <w:t>GUNDERSON DETTMER STOUGH</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VILLENEUVE FRANKLIN &amp; HACHIGIAN, LLP</w:t>
            </w:r>
          </w:p>
        </w:tc>
      </w:tr>
    </w:tbl>
    <w:p>
      <w:pPr>
        <w:pStyle w:val="TextBody"/>
        <w:bidi w:val="0"/>
        <w:spacing w:before="0" w:after="0"/>
        <w:jc w:val="right"/>
        <w:rPr>
          <w:rFonts w:ascii="Times New Roman" w:hAnsi="Times New Roman"/>
          <w:b/>
          <w:sz w:val="20"/>
        </w:rPr>
      </w:pPr>
      <w:bookmarkStart w:id="6" w:name="d596862dex991.htm"/>
      <w:bookmarkStart w:id="7" w:name="ksd596862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600200" cy="1162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1162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Tarsus Announces Proposed $100.0 Million Underwritten Public 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July 31, 2023 </w:t>
      </w:r>
    </w:p>
    <w:p>
      <w:pPr>
        <w:pStyle w:val="TextBody"/>
        <w:bidi w:val="0"/>
        <w:spacing w:before="240" w:after="0"/>
        <w:jc w:val="left"/>
        <w:rPr>
          <w:rFonts w:ascii="Times New Roman" w:hAnsi="Times New Roman"/>
          <w:sz w:val="20"/>
        </w:rPr>
      </w:pPr>
      <w:r>
        <w:rPr>
          <w:rFonts w:ascii="Times New Roman" w:hAnsi="Times New Roman"/>
          <w:sz w:val="20"/>
        </w:rPr>
        <w:t xml:space="preserve">IRVINE, Calif., July 31, 2023 (GLOBAL NEWSWIRE)  Tarsus Pharmaceuticals, Inc. (Nasdaq: TARS) (the Company or Tarsus), whose mission is to focus on unmet needs and apply proven science and new technology to revolutionize treatment for patients, starting with eye care, today announced the commencement of an underwritten public offering of $100.0 million of shares of its common stock. Tarsus also intends to grant the underwriters a 30-day option to purchase up to an additional $15.0 million of shares of common stock offered in the proposed offering. All shares in the proposed offering are to be sold by Tarsus. The offering is subject to market and other conditions, and there can be no assurance as to whether or when the offering may be completed, or as to the actual size or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BofA Securities, Guggenheim Securities, LLC and Oppenheimer &amp; Co.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registration statement relating to the shares to be sold in the proposed offering has been filed with the U.S. Securities and Exchange Commission (SEC) as was declared effective on November 5, 2021. Copies of the registration statement can be accessed through the SECs website at </w:t>
      </w:r>
      <w:r>
        <w:rPr>
          <w:rFonts w:ascii="Times New Roman" w:hAnsi="Times New Roman"/>
          <w:i/>
          <w:sz w:val="20"/>
        </w:rPr>
        <w:t>www.sec.gov</w:t>
      </w:r>
      <w:r>
        <w:rPr>
          <w:rFonts w:ascii="Times New Roman" w:hAnsi="Times New Roman"/>
          <w:sz w:val="20"/>
        </w:rPr>
        <w:t>. The offering will be made only by means of prospectus. A preliminary prospectus supplement related to the offering (including the accompanying prospectus) will be filed with the SEC and will be available on the SECs website located at </w:t>
      </w:r>
      <w:r>
        <w:rPr>
          <w:rFonts w:ascii="Times New Roman" w:hAnsi="Times New Roman"/>
          <w:i/>
          <w:sz w:val="20"/>
        </w:rPr>
        <w:t>www.sec.gov</w:t>
      </w:r>
      <w:r>
        <w:rPr>
          <w:rFonts w:ascii="Times New Roman" w:hAnsi="Times New Roman"/>
          <w:sz w:val="20"/>
        </w:rPr>
        <w:t xml:space="preserve">. Copies of the preliminary prospectus supplement and the accompanying prospectus may also be obtained, when available, from: Goldman Sachs &amp; Co. LLC, Attention: Prospectus Department, 200 West Street, New York, New York 10282, by telephone at (866) 471-2526, or by email at prospectus-ny@ny.email.gs.com; BofA Securities, NC1-022-02-25, 201 North Tryon Street, Charlotte, North Carolina 28255-0001, Attention: Prospectus Department, or by email at dg.prospectus_requests@bofa.com; Guggenheim Securities, LLC, Attention: Equity Syndicate Department, 330 Madison Avenue, 8th Floor, New York, NY 10017, by telephone at (212) 518-9544, or by email at GSEquityProspectusDelivery@guggenheimpartners.com; or Oppenheimer &amp; Co. Inc., Attention: Syndicate Prospectus Department, 85 Broad Street, 26th Floor, New York, New York 10004, by telephone at (212) 667-8055, or by email at EquityProspectus@opco.com.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Tarsus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XDEMVYTM (lotilaner ophthalmic solution) 0.25% is FDA approved in the United States for the treatment of Demodex blepharitis. Tarsus is also developing TP-03 for the treatment of Meibomian Gland Disease, which is currently being studied in a Phase 2a clinical trial. In addition, Tarsus is developing TP-04 for the potential treatment of Rosacea and TP-05, an oral tablet for the prevention of Lyme disease. TP-04 and TP-05 are both currently being studied in Phase 2a clinical trials to evaluate safety, tolerability, and proof-of activity. </w:t>
      </w:r>
    </w:p>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proposed public offering and the grant to the underwriters of an option to purchase additional shares.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2022 filed on March 17, 2023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Adrienne Kemp </w:t>
      </w:r>
    </w:p>
    <w:p>
      <w:pPr>
        <w:pStyle w:val="TextBody"/>
        <w:bidi w:val="0"/>
        <w:spacing w:before="0" w:after="0"/>
        <w:jc w:val="left"/>
        <w:rPr>
          <w:rFonts w:ascii="Times New Roman" w:hAnsi="Times New Roman"/>
          <w:sz w:val="20"/>
        </w:rPr>
      </w:pPr>
      <w:r>
        <w:rPr>
          <w:rFonts w:ascii="Times New Roman" w:hAnsi="Times New Roman"/>
          <w:sz w:val="20"/>
        </w:rPr>
        <w:t xml:space="preserve">Sr.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(949) 922-0801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akemp@tarsusrx.com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David Nakasone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(949) 620-3223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DNakasone@tarsusrx.com </w:t>
      </w:r>
    </w:p>
    <w:p>
      <w:pPr>
        <w:pStyle w:val="TextBody"/>
        <w:bidi w:val="0"/>
        <w:spacing w:before="0" w:after="0"/>
        <w:jc w:val="right"/>
        <w:rPr>
          <w:rFonts w:ascii="Times New Roman" w:hAnsi="Times New Roman"/>
          <w:b/>
          <w:sz w:val="20"/>
        </w:rPr>
      </w:pPr>
      <w:bookmarkStart w:id="8" w:name="d596862dex992.htm"/>
      <w:bookmarkStart w:id="9" w:name="ksd596862dex992"/>
      <w:bookmarkEnd w:id="8"/>
      <w:bookmarkEnd w:id="9"/>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600200" cy="1162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00200" cy="11620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Tarsus Announces Pricing of $100.0 Million Underwritten Public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IRVINE, Calif., August 1, 2023  Tarsus Pharmaceuticals, Inc. (Nasdaq: TARS) (the Company or Tarsus), whose mission is to focus on unmet needs and apply proven science and new technology to revolutionize treatment for patients, starting with eye care, today announced the pricing of an underwritten public offering of 5,714,285 shares of its common stock at a public offering price of $17.50 per share, before underwriting discounts and commissions. In addition, Tarsus has granted the underwriters a 30-day option to purchase up to an additional 857,142 shares of common stock at the public offering price, less underwriting discounts and commissions. The gross proceeds from the offering, before deducting underwriting discounts and commissions and other offering expenses payable by Tarsus, are expected to be approximately $100.0 million, excluding any exercise of the underwriters option to purchase additional shares. The offering is expected to close August 4, 2023,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BofA Securities, Guggenheim Securities, LLC and Oppenheimer &amp; Co.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registration statement relating to the shares to be sold in the offering has been filed with the U.S. Securities and Exchange Commission (the SEC) and was declared effective on November 5, 2021. Copies of the registration statement can be accessed through the SECs website at </w:t>
      </w:r>
      <w:r>
        <w:rPr>
          <w:rFonts w:ascii="Times New Roman" w:hAnsi="Times New Roman"/>
          <w:sz w:val="20"/>
          <w:u w:val="single"/>
        </w:rPr>
        <w:t>www.sec.gov</w:t>
      </w:r>
      <w:r>
        <w:rPr>
          <w:rFonts w:ascii="Times New Roman" w:hAnsi="Times New Roman"/>
          <w:sz w:val="20"/>
        </w:rPr>
        <w:t xml:space="preserve">. The offering is being made only by means of a prospectus supplement and the accompanying prospectus which forms a part of the effective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 preliminary prospectus supplement related to the offering (including the accompanying prospectus) has been filed with the SEC and is available on the SECs website located at www.sec.gov. Copies of the final prospectus supplement and the accompanying prospectus may also be obtained, when available, from: Goldman Sachs &amp; Co. LLC, Attention: Prospectus Department, 200 West Street, New York, New York 10282, by telephone at (866) 471-2526, or by email at prospectus-ny@ny.email.gs.com; BofA Securities, NC1-022-02-25, 201 North Tryon Street, Charlotte, North Carolina 28255-0001, Attention: Prospectus Department, or by email at dg.prospectus_requests@bofa.com; Guggenheim Securities, LLC, Attention: Equity Syndicate Department, 330 Madison Avenue, 8th Floor, New York, NY 10017, by telephone at (212) 518-9544, or by email at GSEquityProspectusDelivery@guggenheimpartners.com; or Oppenheimer &amp; Co. Inc., Attention: Syndicate Prospectus Department, 85 Broad Street, 26th Floor, New York, New York 10004, by telephone at (212) 667-8055, or by email at EquityProspectus@opco.com.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Tarsus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XDEMVYTM (lotilaner ophthalmic solution) 0.25% is FDA approved in the United States for the treatment of Demodex blepharitis. Tarsus is also developing TP-03 for the treatment of Meibomian Gland Disease, which is currently being studied in a Phase 2a clinical trial. In addition, Tarsus is developing TP-04 for the potential treatment of Rosacea and TP-05, an oral tablet for the prevention of Lyme disease. TP-04 and TP-05 are both currently being studied in Phase 2a clinical trials to evaluate safety, tolerability, and proof-of activity.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market conditions and satisfaction of customary closing conditions related to the public offering.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2022, filed on March 17, 2023,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b/>
          <w:sz w:val="20"/>
        </w:rPr>
        <w:t>Contacts</w:t>
      </w:r>
      <w:r>
        <w:rPr>
          <w:rFonts w:ascii="Times New Roman" w:hAnsi="Times New Roman"/>
          <w:sz w:val="20"/>
        </w:rPr>
        <w:t xml:space="preserve">: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Adrienne Kemp </w:t>
      </w:r>
    </w:p>
    <w:p>
      <w:pPr>
        <w:pStyle w:val="TextBody"/>
        <w:bidi w:val="0"/>
        <w:spacing w:before="0" w:after="0"/>
        <w:jc w:val="left"/>
        <w:rPr>
          <w:rFonts w:ascii="Times New Roman" w:hAnsi="Times New Roman"/>
          <w:sz w:val="20"/>
        </w:rPr>
      </w:pPr>
      <w:r>
        <w:rPr>
          <w:rFonts w:ascii="Times New Roman" w:hAnsi="Times New Roman"/>
          <w:sz w:val="20"/>
        </w:rPr>
        <w:t xml:space="preserve">Sr.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(949) 922-0801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AKemp@tarsusrx.com </w:t>
      </w:r>
    </w:p>
    <w:p>
      <w:pPr>
        <w:pStyle w:val="TextBody"/>
        <w:bidi w:val="0"/>
        <w:spacing w:before="240" w:after="0"/>
        <w:jc w:val="left"/>
        <w:rPr>
          <w:rFonts w:ascii="Times New Roman" w:hAnsi="Times New Roman"/>
          <w:sz w:val="20"/>
        </w:rPr>
      </w:pPr>
      <w:r>
        <w:rPr>
          <w:rFonts w:ascii="Times New Roman" w:hAnsi="Times New Roman"/>
          <w:sz w:val="20"/>
          <w:u w:val="single"/>
        </w:rPr>
        <w:t>Investor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David Nakasone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(949) 620-3223 </w:t>
      </w:r>
    </w:p>
    <w:p>
      <w:pPr>
        <w:pStyle w:val="TextBody"/>
        <w:bidi w:val="0"/>
        <w:spacing w:before="0" w:after="0"/>
        <w:jc w:val="left"/>
        <w:rPr>
          <w:rFonts w:ascii="Times New Roman" w:hAnsi="Times New Roman"/>
          <w:sz w:val="20"/>
        </w:rPr>
      </w:pPr>
      <w:r>
        <w:rPr>
          <w:rFonts w:ascii="Times New Roman" w:hAnsi="Times New Roman"/>
          <w:sz w:val="20"/>
          <w:u w:val="single"/>
        </w:rPr>
        <w:t>DNakasone@tarsusrx.com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27275</Words>
  <Characters>144606</Characters>
  <CharactersWithSpaces>171660</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