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5" w:lineRule="exact"/>
        <w:rPr>
          <w:sz w:val="24"/>
          <w:szCs w:val="24"/>
          <w:color w:val="auto"/>
        </w:rPr>
      </w:pPr>
    </w:p>
    <w:p>
      <w:pPr>
        <w:ind w:left="4820"/>
        <w:spacing w:after="0"/>
        <w:rPr>
          <w:sz w:val="20"/>
          <w:szCs w:val="20"/>
          <w:color w:val="auto"/>
        </w:rPr>
      </w:pPr>
      <w:r>
        <w:rPr>
          <w:rFonts w:ascii="Arial" w:cs="Arial" w:eastAsia="Arial" w:hAnsi="Arial"/>
          <w:sz w:val="22"/>
          <w:szCs w:val="22"/>
          <w:color w:val="auto"/>
        </w:rPr>
        <w:t>_______________</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231F20"/>
        </w:rPr>
        <w:t>CURRENT REPORT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231F20"/>
        </w:rPr>
        <w:t>Pursuant to Section 13 OR 15(d) of The Securities Exchange Act of 1934</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(date of earliest event reported): June 22, 2023</w:t>
      </w:r>
    </w:p>
    <w:p>
      <w:pPr>
        <w:spacing w:after="0" w:line="217" w:lineRule="exact"/>
        <w:rPr>
          <w:sz w:val="24"/>
          <w:szCs w:val="24"/>
          <w:color w:val="auto"/>
        </w:rPr>
      </w:pPr>
    </w:p>
    <w:p>
      <w:pPr>
        <w:ind w:left="4820"/>
        <w:spacing w:after="0"/>
        <w:rPr>
          <w:sz w:val="20"/>
          <w:szCs w:val="20"/>
          <w:color w:val="auto"/>
        </w:rPr>
      </w:pPr>
      <w:r>
        <w:rPr>
          <w:rFonts w:ascii="Arial" w:cs="Arial" w:eastAsia="Arial" w:hAnsi="Arial"/>
          <w:sz w:val="22"/>
          <w:szCs w:val="22"/>
          <w:color w:val="auto"/>
        </w:rPr>
        <w:t>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TARSUS PHARMACEUTICALS,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4" w:lineRule="exact"/>
        <w:rPr>
          <w:sz w:val="24"/>
          <w:szCs w:val="24"/>
          <w:color w:val="auto"/>
        </w:rPr>
      </w:pPr>
    </w:p>
    <w:p>
      <w:pPr>
        <w:ind w:left="4820"/>
        <w:spacing w:after="0"/>
        <w:rPr>
          <w:sz w:val="20"/>
          <w:szCs w:val="20"/>
          <w:color w:val="auto"/>
        </w:rPr>
      </w:pPr>
      <w:r>
        <w:rPr>
          <w:rFonts w:ascii="Arial" w:cs="Arial" w:eastAsia="Arial" w:hAnsi="Arial"/>
          <w:sz w:val="22"/>
          <w:szCs w:val="22"/>
          <w:color w:val="auto"/>
        </w:rPr>
        <w:t>_______________</w:t>
      </w:r>
    </w:p>
    <w:p>
      <w:pPr>
        <w:spacing w:after="0" w:line="20" w:lineRule="exact"/>
        <w:rPr>
          <w:sz w:val="24"/>
          <w:szCs w:val="24"/>
          <w:color w:val="auto"/>
        </w:rPr>
      </w:pPr>
    </w:p>
    <w:tbl>
      <w:tblPr>
        <w:tblLayout w:type="fixed"/>
        <w:tblInd w:w="980" w:type="dxa"/>
        <w:tblCellMar>
          <w:top w:w="0" w:type="dxa"/>
          <w:left w:w="0" w:type="dxa"/>
          <w:bottom w:w="0" w:type="dxa"/>
          <w:right w:w="0" w:type="dxa"/>
        </w:tblCellMar>
      </w:tblPr>
      <w:tr>
        <w:trPr>
          <w:trHeight w:val="210"/>
        </w:trPr>
        <w:tc>
          <w:tcPr>
            <w:tcW w:w="3060" w:type="dxa"/>
            <w:vAlign w:val="bottom"/>
          </w:tcPr>
          <w:p>
            <w:pPr>
              <w:jc w:val="center"/>
              <w:ind w:right="588"/>
              <w:spacing w:after="0"/>
              <w:rPr>
                <w:sz w:val="20"/>
                <w:szCs w:val="20"/>
                <w:color w:val="auto"/>
              </w:rPr>
            </w:pPr>
            <w:r>
              <w:rPr>
                <w:rFonts w:ascii="Arial" w:cs="Arial" w:eastAsia="Arial" w:hAnsi="Arial"/>
                <w:sz w:val="16"/>
                <w:szCs w:val="16"/>
                <w:b w:val="1"/>
                <w:bCs w:val="1"/>
                <w:color w:val="auto"/>
                <w:w w:val="91"/>
              </w:rPr>
              <w:t>Delaware</w:t>
            </w:r>
          </w:p>
        </w:tc>
        <w:tc>
          <w:tcPr>
            <w:tcW w:w="2940" w:type="dxa"/>
            <w:vAlign w:val="bottom"/>
            <w:vMerge w:val="restart"/>
          </w:tcPr>
          <w:p>
            <w:pPr>
              <w:jc w:val="right"/>
              <w:ind w:right="1108"/>
              <w:spacing w:after="0"/>
              <w:rPr>
                <w:sz w:val="20"/>
                <w:szCs w:val="20"/>
                <w:color w:val="auto"/>
              </w:rPr>
            </w:pPr>
            <w:r>
              <w:rPr>
                <w:rFonts w:ascii="Arial" w:cs="Arial" w:eastAsia="Arial" w:hAnsi="Arial"/>
                <w:sz w:val="16"/>
                <w:szCs w:val="16"/>
                <w:b w:val="1"/>
                <w:bCs w:val="1"/>
                <w:color w:val="auto"/>
              </w:rPr>
              <w:t>001-39614</w:t>
            </w:r>
          </w:p>
        </w:tc>
        <w:tc>
          <w:tcPr>
            <w:tcW w:w="2700" w:type="dxa"/>
            <w:vAlign w:val="bottom"/>
          </w:tcPr>
          <w:p>
            <w:pPr>
              <w:jc w:val="right"/>
              <w:ind w:right="488"/>
              <w:spacing w:after="0"/>
              <w:rPr>
                <w:sz w:val="20"/>
                <w:szCs w:val="20"/>
                <w:color w:val="auto"/>
              </w:rPr>
            </w:pPr>
            <w:r>
              <w:rPr>
                <w:rFonts w:ascii="Arial" w:cs="Arial" w:eastAsia="Arial" w:hAnsi="Arial"/>
                <w:sz w:val="16"/>
                <w:szCs w:val="16"/>
                <w:b w:val="1"/>
                <w:bCs w:val="1"/>
                <w:color w:val="auto"/>
              </w:rPr>
              <w:t>81-4717861</w:t>
            </w:r>
          </w:p>
        </w:tc>
        <w:tc>
          <w:tcPr>
            <w:tcW w:w="0" w:type="dxa"/>
            <w:vAlign w:val="bottom"/>
          </w:tcPr>
          <w:p>
            <w:pPr>
              <w:spacing w:after="0"/>
              <w:rPr>
                <w:sz w:val="1"/>
                <w:szCs w:val="1"/>
                <w:color w:val="auto"/>
              </w:rPr>
            </w:pPr>
          </w:p>
        </w:tc>
      </w:tr>
      <w:tr>
        <w:trPr>
          <w:trHeight w:val="108"/>
        </w:trPr>
        <w:tc>
          <w:tcPr>
            <w:tcW w:w="3060" w:type="dxa"/>
            <w:vAlign w:val="bottom"/>
          </w:tcPr>
          <w:p>
            <w:pPr>
              <w:spacing w:after="0"/>
              <w:rPr>
                <w:sz w:val="9"/>
                <w:szCs w:val="9"/>
                <w:color w:val="auto"/>
              </w:rPr>
            </w:pPr>
          </w:p>
        </w:tc>
        <w:tc>
          <w:tcPr>
            <w:tcW w:w="2940" w:type="dxa"/>
            <w:vAlign w:val="bottom"/>
            <w:vMerge w:val="continue"/>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3060" w:type="dxa"/>
            <w:vAlign w:val="bottom"/>
          </w:tcPr>
          <w:p>
            <w:pPr>
              <w:jc w:val="center"/>
              <w:ind w:right="588"/>
              <w:spacing w:after="0"/>
              <w:rPr>
                <w:sz w:val="20"/>
                <w:szCs w:val="20"/>
                <w:color w:val="auto"/>
              </w:rPr>
            </w:pPr>
            <w:r>
              <w:rPr>
                <w:rFonts w:ascii="Arial" w:cs="Arial" w:eastAsia="Arial" w:hAnsi="Arial"/>
                <w:sz w:val="13"/>
                <w:szCs w:val="13"/>
                <w:b w:val="1"/>
                <w:bCs w:val="1"/>
                <w:color w:val="auto"/>
                <w:w w:val="88"/>
              </w:rPr>
              <w:t>(State or other jurisdiction of incorporation)</w:t>
            </w:r>
          </w:p>
        </w:tc>
        <w:tc>
          <w:tcPr>
            <w:tcW w:w="2940" w:type="dxa"/>
            <w:vAlign w:val="bottom"/>
          </w:tcPr>
          <w:p>
            <w:pPr>
              <w:jc w:val="center"/>
              <w:ind w:right="48"/>
              <w:spacing w:after="0"/>
              <w:rPr>
                <w:sz w:val="20"/>
                <w:szCs w:val="20"/>
                <w:color w:val="auto"/>
              </w:rPr>
            </w:pPr>
            <w:r>
              <w:rPr>
                <w:rFonts w:ascii="Arial" w:cs="Arial" w:eastAsia="Arial" w:hAnsi="Arial"/>
                <w:sz w:val="13"/>
                <w:szCs w:val="13"/>
                <w:b w:val="1"/>
                <w:bCs w:val="1"/>
                <w:color w:val="auto"/>
                <w:w w:val="88"/>
              </w:rPr>
              <w:t>(Commission File Number)</w:t>
            </w:r>
          </w:p>
        </w:tc>
        <w:tc>
          <w:tcPr>
            <w:tcW w:w="2700" w:type="dxa"/>
            <w:vAlign w:val="bottom"/>
          </w:tcPr>
          <w:p>
            <w:pPr>
              <w:jc w:val="center"/>
              <w:ind w:left="708"/>
              <w:spacing w:after="0"/>
              <w:rPr>
                <w:sz w:val="20"/>
                <w:szCs w:val="20"/>
                <w:color w:val="auto"/>
              </w:rPr>
            </w:pPr>
            <w:r>
              <w:rPr>
                <w:rFonts w:ascii="Arial" w:cs="Arial" w:eastAsia="Arial" w:hAnsi="Arial"/>
                <w:sz w:val="13"/>
                <w:szCs w:val="13"/>
                <w:b w:val="1"/>
                <w:bCs w:val="1"/>
                <w:color w:val="auto"/>
                <w:w w:val="90"/>
              </w:rPr>
              <w:t>(I.R.S. Employer Identification No.)</w:t>
            </w:r>
          </w:p>
        </w:tc>
        <w:tc>
          <w:tcPr>
            <w:tcW w:w="0" w:type="dxa"/>
            <w:vAlign w:val="bottom"/>
          </w:tcPr>
          <w:p>
            <w:pPr>
              <w:spacing w:after="0"/>
              <w:rPr>
                <w:sz w:val="1"/>
                <w:szCs w:val="1"/>
                <w:color w:val="auto"/>
              </w:rPr>
            </w:pPr>
          </w:p>
        </w:tc>
      </w:tr>
    </w:tbl>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15440 Laguna Canyon Road, Suite 160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Irvine, CA 92618</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231F20"/>
        </w:rPr>
        <w:t>(Address of principal executive offices, including Zip Code)</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(949) 409-9820</w:t>
      </w:r>
    </w:p>
    <w:p>
      <w:pPr>
        <w:spacing w:after="0" w:line="22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91" w:lineRule="exact"/>
        <w:rPr>
          <w:sz w:val="24"/>
          <w:szCs w:val="24"/>
          <w:color w:val="auto"/>
        </w:rPr>
      </w:pPr>
    </w:p>
    <w:p>
      <w:pPr>
        <w:ind w:left="380" w:hanging="354"/>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75" w:lineRule="exact"/>
        <w:rPr>
          <w:rFonts w:ascii="MS PGothic" w:cs="MS PGothic" w:eastAsia="MS PGothic" w:hAnsi="MS PGothic"/>
          <w:sz w:val="16"/>
          <w:szCs w:val="16"/>
          <w:color w:val="auto"/>
        </w:rPr>
      </w:pPr>
    </w:p>
    <w:p>
      <w:pPr>
        <w:ind w:left="380" w:hanging="354"/>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231F20"/>
        </w:rPr>
        <w:t>Soliciting material pursuant to Rule 14a-12 under the Exchange Act (17 CFR 240.14a-12)</w:t>
      </w:r>
    </w:p>
    <w:p>
      <w:pPr>
        <w:spacing w:after="0" w:line="147" w:lineRule="exact"/>
        <w:rPr>
          <w:rFonts w:ascii="MS PGothic" w:cs="MS PGothic" w:eastAsia="MS PGothic" w:hAnsi="MS PGothic"/>
          <w:sz w:val="16"/>
          <w:szCs w:val="16"/>
          <w:color w:val="auto"/>
        </w:rPr>
      </w:pPr>
    </w:p>
    <w:p>
      <w:pPr>
        <w:ind w:left="380" w:hanging="354"/>
        <w:spacing w:after="0"/>
        <w:tabs>
          <w:tab w:leader="none" w:pos="380" w:val="left"/>
        </w:tabs>
        <w:numPr>
          <w:ilvl w:val="0"/>
          <w:numId w:val="1"/>
        </w:numPr>
        <w:rPr>
          <w:rFonts w:ascii="MS PGothic" w:cs="MS PGothic" w:eastAsia="MS PGothic" w:hAnsi="MS PGothic"/>
          <w:sz w:val="32"/>
          <w:szCs w:val="32"/>
          <w:color w:val="auto"/>
          <w:vertAlign w:val="superscript"/>
        </w:rPr>
      </w:pPr>
      <w:r>
        <w:rPr>
          <w:rFonts w:ascii="Arial" w:cs="Arial" w:eastAsia="Arial" w:hAnsi="Arial"/>
          <w:sz w:val="16"/>
          <w:szCs w:val="16"/>
          <w:color w:val="231F20"/>
        </w:rPr>
        <w:t>Pre-commencement communications pursuant to Rule 14d-2(b) under the Exchange Act (17 CFR 240.14d-2(b))</w:t>
      </w:r>
    </w:p>
    <w:p>
      <w:pPr>
        <w:spacing w:after="0" w:line="239" w:lineRule="exact"/>
        <w:rPr>
          <w:rFonts w:ascii="MS PGothic" w:cs="MS PGothic" w:eastAsia="MS PGothic" w:hAnsi="MS PGothic"/>
          <w:sz w:val="32"/>
          <w:szCs w:val="32"/>
          <w:color w:val="auto"/>
          <w:vertAlign w:val="superscript"/>
        </w:rPr>
      </w:pPr>
    </w:p>
    <w:p>
      <w:pPr>
        <w:ind w:left="380" w:hanging="354"/>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231F20"/>
        </w:rPr>
        <w:t>Pre-commencement communications pursuant to Rule 13e-4(c) under the Exchange Act (17 CFR 240.13e-4(c))</w:t>
      </w:r>
    </w:p>
    <w:p>
      <w:pPr>
        <w:spacing w:after="0" w:line="3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179"/>
        </w:trPr>
        <w:tc>
          <w:tcPr>
            <w:tcW w:w="476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16"/>
                <w:szCs w:val="16"/>
                <w:color w:val="auto"/>
                <w:w w:val="91"/>
              </w:rPr>
              <w:t>Common Stock, $0.0001 par value per share</w:t>
            </w:r>
          </w:p>
        </w:tc>
        <w:tc>
          <w:tcPr>
            <w:tcW w:w="192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16"/>
                <w:szCs w:val="16"/>
                <w:color w:val="auto"/>
                <w:w w:val="93"/>
              </w:rPr>
              <w:t>TARS</w:t>
            </w:r>
          </w:p>
        </w:tc>
        <w:tc>
          <w:tcPr>
            <w:tcW w:w="4560" w:type="dxa"/>
            <w:vAlign w:val="bottom"/>
          </w:tcPr>
          <w:p>
            <w:pPr>
              <w:jc w:val="center"/>
              <w:spacing w:after="0" w:line="179" w:lineRule="exact"/>
              <w:rPr>
                <w:sz w:val="20"/>
                <w:szCs w:val="20"/>
                <w:color w:val="auto"/>
              </w:rPr>
            </w:pPr>
            <w:r>
              <w:rPr>
                <w:rFonts w:ascii="Arial" w:cs="Arial" w:eastAsia="Arial" w:hAnsi="Arial"/>
                <w:sz w:val="16"/>
                <w:szCs w:val="16"/>
                <w:color w:val="auto"/>
                <w:w w:val="93"/>
              </w:rPr>
              <w:t>The Nasdaq Stock Market LLC</w:t>
            </w:r>
          </w:p>
        </w:tc>
      </w:tr>
      <w:tr>
        <w:trPr>
          <w:trHeight w:val="206"/>
        </w:trPr>
        <w:tc>
          <w:tcPr>
            <w:tcW w:w="476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4560" w:type="dxa"/>
            <w:vAlign w:val="bottom"/>
          </w:tcPr>
          <w:p>
            <w:pPr>
              <w:jc w:val="center"/>
              <w:spacing w:after="0"/>
              <w:rPr>
                <w:sz w:val="20"/>
                <w:szCs w:val="20"/>
                <w:color w:val="auto"/>
              </w:rPr>
            </w:pPr>
            <w:r>
              <w:rPr>
                <w:rFonts w:ascii="Arial" w:cs="Arial" w:eastAsia="Arial" w:hAnsi="Arial"/>
                <w:sz w:val="16"/>
                <w:szCs w:val="16"/>
                <w:color w:val="auto"/>
                <w:w w:val="92"/>
              </w:rPr>
              <w:t>Nasdaq Global Select Market</w:t>
            </w:r>
          </w:p>
        </w:tc>
      </w:tr>
      <w:tr>
        <w:trPr>
          <w:trHeight w:val="33"/>
        </w:trPr>
        <w:tc>
          <w:tcPr>
            <w:tcW w:w="4760" w:type="dxa"/>
            <w:vAlign w:val="bottom"/>
            <w:tcBorders>
              <w:right w:val="single" w:sz="8" w:color="auto"/>
            </w:tcBorders>
          </w:tcPr>
          <w:p>
            <w:pPr>
              <w:spacing w:after="0"/>
              <w:rPr>
                <w:sz w:val="2"/>
                <w:szCs w:val="2"/>
                <w:color w:val="auto"/>
              </w:rPr>
            </w:pPr>
          </w:p>
        </w:tc>
        <w:tc>
          <w:tcPr>
            <w:tcW w:w="1920" w:type="dxa"/>
            <w:vAlign w:val="bottom"/>
            <w:tcBorders>
              <w:right w:val="single" w:sz="8" w:color="auto"/>
            </w:tcBorders>
          </w:tcPr>
          <w:p>
            <w:pPr>
              <w:spacing w:after="0"/>
              <w:rPr>
                <w:sz w:val="2"/>
                <w:szCs w:val="2"/>
                <w:color w:val="auto"/>
              </w:rPr>
            </w:pPr>
          </w:p>
        </w:tc>
        <w:tc>
          <w:tcPr>
            <w:tcW w:w="4560" w:type="dxa"/>
            <w:vAlign w:val="bottom"/>
          </w:tcPr>
          <w:p>
            <w:pPr>
              <w:spacing w:after="0"/>
              <w:rPr>
                <w:sz w:val="2"/>
                <w:szCs w:val="2"/>
                <w:color w:val="auto"/>
              </w:rPr>
            </w:pPr>
          </w:p>
        </w:tc>
      </w:tr>
    </w:tbl>
    <w:p>
      <w:pPr>
        <w:spacing w:after="0" w:line="301" w:lineRule="exact"/>
        <w:rPr>
          <w:sz w:val="24"/>
          <w:szCs w:val="24"/>
          <w:color w:val="auto"/>
        </w:rPr>
      </w:pPr>
    </w:p>
    <w:p>
      <w:pPr>
        <w:ind w:right="80"/>
        <w:spacing w:after="0" w:line="211"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Arial" w:cs="Arial" w:eastAsia="Arial" w:hAnsi="Arial"/>
          <w:sz w:val="16"/>
          <w:szCs w:val="16"/>
          <w:color w:val="231F20"/>
        </w:rPr>
        <w:t>Emerging growth company</w:t>
      </w:r>
      <w:r>
        <w:rPr>
          <w:rFonts w:ascii="Arial" w:cs="Arial" w:eastAsia="Arial" w:hAnsi="Arial"/>
          <w:sz w:val="16"/>
          <w:szCs w:val="16"/>
          <w:color w:val="auto"/>
        </w:rPr>
        <w:t xml:space="preserve"> </w:t>
      </w:r>
      <w:r>
        <w:rPr>
          <w:rFonts w:ascii="MS PGothic" w:cs="MS PGothic" w:eastAsia="MS PGothic" w:hAnsi="MS PGothic"/>
          <w:sz w:val="16"/>
          <w:szCs w:val="16"/>
          <w:color w:val="231F20"/>
        </w:rPr>
        <w:t>☒</w:t>
      </w:r>
    </w:p>
    <w:p>
      <w:pPr>
        <w:spacing w:after="0" w:line="187" w:lineRule="exact"/>
        <w:rPr>
          <w:sz w:val="24"/>
          <w:szCs w:val="24"/>
          <w:color w:val="auto"/>
        </w:rPr>
      </w:pPr>
    </w:p>
    <w:p>
      <w:pPr>
        <w:ind w:right="58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815340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On June 22, 2023, Tarsus Pharmaceuticals, Inc. (the “Company”) held its Annual Meeting of Stockholders (the “Annual Meeting”). The Company filed its definitive proxy statement for the proposals voted upon at the Annual Meeting with the Securities and Exchange Commission on April 26, 2023 (the “Proxy Statement”).</w:t>
      </w:r>
    </w:p>
    <w:p>
      <w:pPr>
        <w:spacing w:after="0" w:line="209"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color w:val="auto"/>
        </w:rPr>
        <w:t>At the close of business on April 19, 2023, the record date of the Annual Meeting, the Company had 26,803,307 shares of common stock outstanding and entitled to vote. The holders of a total of 22,180,888 shares of common stock were present at the Annual Meeting, either in person or by proxy, which total constituted a quorum of the issued and outstanding shares on the record date of the Annual Meeting.</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proposals were submitted to the Company’s stockholders at the Annual Meeting:</w:t>
      </w:r>
    </w:p>
    <w:p>
      <w:pPr>
        <w:spacing w:after="0" w:line="239"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election of three nominees as Class III directors to serve until the Company’s 2026 annual meeting of stockholders.</w:t>
      </w:r>
    </w:p>
    <w:p>
      <w:pPr>
        <w:spacing w:after="0" w:line="238" w:lineRule="exact"/>
        <w:rPr>
          <w:rFonts w:ascii="Arial" w:cs="Arial" w:eastAsia="Arial" w:hAnsi="Arial"/>
          <w:sz w:val="18"/>
          <w:szCs w:val="18"/>
          <w:color w:val="auto"/>
        </w:rPr>
      </w:pPr>
    </w:p>
    <w:p>
      <w:pPr>
        <w:ind w:left="660" w:right="100" w:hanging="4"/>
        <w:spacing w:after="0" w:line="261" w:lineRule="auto"/>
        <w:tabs>
          <w:tab w:leader="none" w:pos="130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ratification of the appointment of Ernst &amp; Young LLP as the Company’s independent registered public accounting firm for the fiscal year ending December 31, 2023.</w:t>
      </w:r>
    </w:p>
    <w:p>
      <w:pPr>
        <w:spacing w:after="0" w:line="198"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The number of votes cast for and against or withheld and the number of abstentions and broker non-votes with respect to each matter voted upon, as applicable, are set forth below:</w:t>
      </w:r>
    </w:p>
    <w:p>
      <w:pPr>
        <w:spacing w:after="0" w:line="210"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Board of Directors Election Results</w:t>
      </w:r>
    </w:p>
    <w:p>
      <w:pPr>
        <w:spacing w:after="0" w:line="239"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The following nominees were elected to serve as Class III directors for a term that will continue until the 2026 annual meeting of stockholders or until their respective successors have been duly elected and qualified. The number of votes cast for and withheld and the number broker non-votes for each nominee were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ind w:left="2140"/>
              <w:spacing w:after="0"/>
              <w:rPr>
                <w:sz w:val="20"/>
                <w:szCs w:val="20"/>
                <w:color w:val="auto"/>
              </w:rPr>
            </w:pPr>
            <w:r>
              <w:rPr>
                <w:rFonts w:ascii="Arial" w:cs="Arial" w:eastAsia="Arial" w:hAnsi="Arial"/>
                <w:sz w:val="18"/>
                <w:szCs w:val="18"/>
                <w:b w:val="1"/>
                <w:bCs w:val="1"/>
                <w:color w:val="auto"/>
              </w:rPr>
              <w:t>Director Name</w:t>
            </w:r>
          </w:p>
        </w:tc>
        <w:tc>
          <w:tcPr>
            <w:tcW w:w="100" w:type="dxa"/>
            <w:vAlign w:val="bottom"/>
          </w:tcPr>
          <w:p>
            <w:pPr>
              <w:spacing w:after="0"/>
              <w:rPr>
                <w:sz w:val="20"/>
                <w:szCs w:val="20"/>
                <w:color w:val="auto"/>
              </w:rPr>
            </w:pPr>
          </w:p>
        </w:tc>
        <w:tc>
          <w:tcPr>
            <w:tcW w:w="1820" w:type="dxa"/>
            <w:vAlign w:val="bottom"/>
          </w:tcPr>
          <w:p>
            <w:pPr>
              <w:jc w:val="right"/>
              <w:ind w:right="450"/>
              <w:spacing w:after="0"/>
              <w:rPr>
                <w:sz w:val="20"/>
                <w:szCs w:val="20"/>
                <w:color w:val="auto"/>
              </w:rPr>
            </w:pPr>
            <w:r>
              <w:rPr>
                <w:rFonts w:ascii="Arial" w:cs="Arial" w:eastAsia="Arial" w:hAnsi="Arial"/>
                <w:sz w:val="18"/>
                <w:szCs w:val="18"/>
                <w:b w:val="1"/>
                <w:bCs w:val="1"/>
                <w:color w:val="auto"/>
              </w:rPr>
              <w:t>Votes For</w:t>
            </w:r>
          </w:p>
        </w:tc>
        <w:tc>
          <w:tcPr>
            <w:tcW w:w="100" w:type="dxa"/>
            <w:vAlign w:val="bottom"/>
          </w:tcPr>
          <w:p>
            <w:pPr>
              <w:spacing w:after="0"/>
              <w:rPr>
                <w:sz w:val="20"/>
                <w:szCs w:val="20"/>
                <w:color w:val="auto"/>
              </w:rPr>
            </w:pPr>
          </w:p>
        </w:tc>
        <w:tc>
          <w:tcPr>
            <w:tcW w:w="1820" w:type="dxa"/>
            <w:vAlign w:val="bottom"/>
          </w:tcPr>
          <w:p>
            <w:pPr>
              <w:jc w:val="right"/>
              <w:ind w:right="230"/>
              <w:spacing w:after="0"/>
              <w:rPr>
                <w:sz w:val="20"/>
                <w:szCs w:val="20"/>
                <w:color w:val="auto"/>
              </w:rPr>
            </w:pPr>
            <w:r>
              <w:rPr>
                <w:rFonts w:ascii="Arial" w:cs="Arial" w:eastAsia="Arial" w:hAnsi="Arial"/>
                <w:sz w:val="18"/>
                <w:szCs w:val="18"/>
                <w:b w:val="1"/>
                <w:bCs w:val="1"/>
                <w:color w:val="auto"/>
              </w:rPr>
              <w:t>Votes Withheld</w:t>
            </w:r>
          </w:p>
        </w:tc>
        <w:tc>
          <w:tcPr>
            <w:tcW w:w="80" w:type="dxa"/>
            <w:vAlign w:val="bottom"/>
          </w:tcPr>
          <w:p>
            <w:pPr>
              <w:spacing w:after="0"/>
              <w:rPr>
                <w:sz w:val="20"/>
                <w:szCs w:val="20"/>
                <w:color w:val="auto"/>
              </w:rPr>
            </w:pPr>
          </w:p>
        </w:tc>
        <w:tc>
          <w:tcPr>
            <w:tcW w:w="1900" w:type="dxa"/>
            <w:vAlign w:val="bottom"/>
          </w:tcPr>
          <w:p>
            <w:pPr>
              <w:jc w:val="right"/>
              <w:ind w:right="170"/>
              <w:spacing w:after="0"/>
              <w:rPr>
                <w:sz w:val="20"/>
                <w:szCs w:val="20"/>
                <w:color w:val="auto"/>
              </w:rPr>
            </w:pPr>
            <w:r>
              <w:rPr>
                <w:rFonts w:ascii="Arial" w:cs="Arial" w:eastAsia="Arial" w:hAnsi="Arial"/>
                <w:sz w:val="18"/>
                <w:szCs w:val="18"/>
                <w:b w:val="1"/>
                <w:bCs w:val="1"/>
                <w:color w:val="auto"/>
              </w:rPr>
              <w:t>Broker Non-Votes</w:t>
            </w:r>
          </w:p>
        </w:tc>
      </w:tr>
      <w:tr>
        <w:trPr>
          <w:trHeight w:val="27"/>
        </w:trPr>
        <w:tc>
          <w:tcPr>
            <w:tcW w:w="5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Andrew Goldberg, M.D.</w:t>
            </w: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16,181,432</w:t>
            </w: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1,018,819</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4,980,637</w:t>
            </w: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Scott Morrison</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14,672,806</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2,527,445</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4,980,637</w:t>
            </w:r>
          </w:p>
        </w:tc>
      </w:tr>
      <w:tr>
        <w:trPr>
          <w:trHeight w:val="26"/>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Wendy Yarno, MBA</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16,555,347</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644,904</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4,980,637</w:t>
            </w:r>
          </w:p>
        </w:tc>
      </w:tr>
      <w:tr>
        <w:trPr>
          <w:trHeight w:val="26"/>
        </w:trPr>
        <w:tc>
          <w:tcPr>
            <w:tcW w:w="5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r>
    </w:tbl>
    <w:p>
      <w:pPr>
        <w:spacing w:after="0" w:line="296"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The following directors, in addition to Dr. Goldberg, Mr. Morrison, and Ms. Yarno, will continue to serve as members of our Board of Directors until the expiration of their respective terms or until their respective successors have been duly elected and qualified: Bobak Azamian, M.D., Ph.D., Rosemary Crane, MBA, William Link, Ph.D., Bhaskar Chaudhuri, Ph.D., and Elizabeth Yeu-Lin, M.D.</w:t>
      </w:r>
    </w:p>
    <w:p>
      <w:pPr>
        <w:spacing w:after="0" w:line="209"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Ratification of Ernst &amp; Young LLP as our independent registered public accounting firm</w:t>
      </w:r>
    </w:p>
    <w:p>
      <w:pPr>
        <w:spacing w:after="0" w:line="239"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Our stockholders approved the ratification of the appointment of Ernst &amp; Young LLP as our independent registered public accounting firm for the fiscal year ending December 31, 2023. The number of votes cast for and against and the number of abstentions for this proposal were as follows (there were no broker non-votes for this proposal):</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6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4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0"/>
              </w:rPr>
              <w:t>Abstain</w:t>
            </w:r>
          </w:p>
        </w:tc>
      </w:tr>
      <w:tr>
        <w:trPr>
          <w:trHeight w:val="27"/>
        </w:trPr>
        <w:tc>
          <w:tcPr>
            <w:tcW w:w="36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0"/>
        </w:trPr>
        <w:tc>
          <w:tcPr>
            <w:tcW w:w="3660" w:type="dxa"/>
            <w:vAlign w:val="bottom"/>
            <w:tcBorders>
              <w:bottom w:val="single" w:sz="8" w:color="CCEEFF"/>
            </w:tcBorders>
            <w:shd w:val="clear" w:color="auto" w:fill="CCEEFF"/>
          </w:tcPr>
          <w:p>
            <w:pPr>
              <w:jc w:val="right"/>
              <w:ind w:right="1330"/>
              <w:spacing w:after="0"/>
              <w:rPr>
                <w:sz w:val="20"/>
                <w:szCs w:val="20"/>
                <w:color w:val="auto"/>
              </w:rPr>
            </w:pPr>
            <w:r>
              <w:rPr>
                <w:rFonts w:ascii="Arial" w:cs="Arial" w:eastAsia="Arial" w:hAnsi="Arial"/>
                <w:sz w:val="18"/>
                <w:szCs w:val="18"/>
                <w:color w:val="auto"/>
              </w:rPr>
              <w:t>22,173,338</w:t>
            </w:r>
          </w:p>
        </w:tc>
        <w:tc>
          <w:tcPr>
            <w:tcW w:w="160" w:type="dxa"/>
            <w:vAlign w:val="bottom"/>
            <w:tcBorders>
              <w:bottom w:val="single" w:sz="8" w:color="CCEEFF"/>
            </w:tcBorders>
            <w:shd w:val="clear" w:color="auto" w:fill="CCEEFF"/>
          </w:tcPr>
          <w:p>
            <w:pPr>
              <w:spacing w:after="0"/>
              <w:rPr>
                <w:sz w:val="20"/>
                <w:szCs w:val="20"/>
                <w:color w:val="auto"/>
              </w:rPr>
            </w:pPr>
          </w:p>
        </w:tc>
        <w:tc>
          <w:tcPr>
            <w:tcW w:w="3640" w:type="dxa"/>
            <w:vAlign w:val="bottom"/>
            <w:tcBorders>
              <w:bottom w:val="single" w:sz="8" w:color="CCEEFF"/>
            </w:tcBorders>
            <w:shd w:val="clear" w:color="auto" w:fill="CCEEFF"/>
          </w:tcPr>
          <w:p>
            <w:pPr>
              <w:jc w:val="right"/>
              <w:ind w:right="1530"/>
              <w:spacing w:after="0"/>
              <w:rPr>
                <w:sz w:val="20"/>
                <w:szCs w:val="20"/>
                <w:color w:val="auto"/>
              </w:rPr>
            </w:pPr>
            <w:r>
              <w:rPr>
                <w:rFonts w:ascii="Arial" w:cs="Arial" w:eastAsia="Arial" w:hAnsi="Arial"/>
                <w:sz w:val="18"/>
                <w:szCs w:val="18"/>
                <w:color w:val="auto"/>
              </w:rPr>
              <w:t>7,065</w:t>
            </w:r>
          </w:p>
        </w:tc>
        <w:tc>
          <w:tcPr>
            <w:tcW w:w="140" w:type="dxa"/>
            <w:vAlign w:val="bottom"/>
            <w:tcBorders>
              <w:bottom w:val="single" w:sz="8" w:color="CCEEFF"/>
            </w:tcBorders>
            <w:shd w:val="clear" w:color="auto" w:fill="CCEEFF"/>
          </w:tcPr>
          <w:p>
            <w:pPr>
              <w:spacing w:after="0"/>
              <w:rPr>
                <w:sz w:val="20"/>
                <w:szCs w:val="20"/>
                <w:color w:val="auto"/>
              </w:rPr>
            </w:pPr>
          </w:p>
        </w:tc>
        <w:tc>
          <w:tcPr>
            <w:tcW w:w="3640" w:type="dxa"/>
            <w:vAlign w:val="bottom"/>
            <w:tcBorders>
              <w:bottom w:val="single" w:sz="8" w:color="CCEEFF"/>
            </w:tcBorders>
            <w:shd w:val="clear" w:color="auto" w:fill="CCEEFF"/>
          </w:tcPr>
          <w:p>
            <w:pPr>
              <w:jc w:val="right"/>
              <w:ind w:right="1590"/>
              <w:spacing w:after="0"/>
              <w:rPr>
                <w:sz w:val="20"/>
                <w:szCs w:val="20"/>
                <w:color w:val="auto"/>
              </w:rPr>
            </w:pPr>
            <w:r>
              <w:rPr>
                <w:rFonts w:ascii="Arial" w:cs="Arial" w:eastAsia="Arial" w:hAnsi="Arial"/>
                <w:sz w:val="18"/>
                <w:szCs w:val="18"/>
                <w:color w:val="auto"/>
              </w:rPr>
              <w:t>485</w:t>
            </w:r>
          </w:p>
        </w:tc>
      </w:tr>
      <w:tr>
        <w:trPr>
          <w:trHeight w:val="1492"/>
        </w:trPr>
        <w:tc>
          <w:tcPr>
            <w:tcW w:w="3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3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TARSUS PHARMACEUTICALS, INC.</w:t>
      </w:r>
    </w:p>
    <w:p>
      <w:pPr>
        <w:spacing w:after="0" w:line="310" w:lineRule="exact"/>
        <w:rPr>
          <w:sz w:val="20"/>
          <w:szCs w:val="20"/>
          <w:color w:val="auto"/>
        </w:rPr>
      </w:pPr>
    </w:p>
    <w:p>
      <w:pPr>
        <w:ind w:left="40"/>
        <w:spacing w:after="0"/>
        <w:tabs>
          <w:tab w:leader="none" w:pos="1700" w:val="left"/>
          <w:tab w:leader="none" w:pos="3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27, 2023</w:t>
      </w:r>
      <w:r>
        <w:rPr>
          <w:sz w:val="20"/>
          <w:szCs w:val="20"/>
          <w:color w:val="auto"/>
        </w:rPr>
        <w:tab/>
      </w:r>
      <w:r>
        <w:rPr>
          <w:rFonts w:ascii="Arial" w:cs="Arial" w:eastAsia="Arial" w:hAnsi="Arial"/>
          <w:sz w:val="16"/>
          <w:szCs w:val="16"/>
          <w:color w:val="auto"/>
        </w:rPr>
        <w:t>/s/ Jeffrey Farrow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31750</wp:posOffset>
            </wp:positionV>
            <wp:extent cx="48609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60925" cy="8255"/>
                    </a:xfrm>
                    <a:prstGeom prst="rect">
                      <a:avLst/>
                    </a:prstGeom>
                    <a:noFill/>
                  </pic:spPr>
                </pic:pic>
              </a:graphicData>
            </a:graphic>
          </wp:anchor>
        </w:drawing>
      </w:r>
    </w:p>
    <w:p>
      <w:pPr>
        <w:spacing w:after="0" w:line="57"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Jeffrey Farrow</w:t>
      </w:r>
    </w:p>
    <w:p>
      <w:pPr>
        <w:spacing w:after="0" w:line="50"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Chief Financial Officer and Chief Strategy Officer</w:t>
      </w:r>
    </w:p>
    <w:sectPr>
      <w:pgSz w:w="11900" w:h="16838" w:orient="portrait"/>
      <w:cols w:equalWidth="0" w:num="1">
        <w:col w:w="11240"/>
      </w:cols>
      <w:pgMar w:left="320" w:top="117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2023-06-27T15:52:02Z</dcterms:created>
  <dcterms:modified xsi:type="dcterms:W3CDTF">2023-06-27T15:52:02Z</dcterms:modified>
</cp:coreProperties>
</file>