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Wahl Bryan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15440 LAGUNA CANYON ROAD, SUITE 160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8"/>
          <w:szCs w:val="18"/>
          <w:color w:val="0000EE"/>
        </w:rPr>
      </w:pPr>
      <w:hyperlink r:id="rId14">
        <w:r>
          <w:rPr>
            <w:rFonts w:ascii="Arial" w:cs="Arial" w:eastAsia="Arial" w:hAnsi="Arial"/>
            <w:sz w:val="18"/>
            <w:szCs w:val="18"/>
            <w:u w:val="single" w:color="auto"/>
            <w:color w:val="0000EE"/>
          </w:rPr>
          <w:t>Tarsus Pharmaceuticals, Inc.</w:t>
        </w:r>
        <w:r>
          <w:rPr>
            <w:rFonts w:ascii="Arial" w:cs="Arial" w:eastAsia="Arial" w:hAnsi="Arial"/>
            <w:sz w:val="18"/>
            <w:szCs w:val="18"/>
            <w:color w:val="0000EE"/>
          </w:rPr>
          <w:t xml:space="preserve"> </w:t>
        </w:r>
      </w:hyperlink>
      <w:r>
        <w:rPr>
          <w:rFonts w:ascii="Arial" w:cs="Arial" w:eastAsia="Arial" w:hAnsi="Arial"/>
          <w:sz w:val="18"/>
          <w:szCs w:val="18"/>
          <w:color w:val="000000"/>
        </w:rPr>
        <w:t>[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TARS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00"/>
        </w:rPr>
        <w:t>]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20" w:space="50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92618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151130</wp:posOffset>
            </wp:positionV>
            <wp:extent cx="6968490" cy="8763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876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-15875</wp:posOffset>
            </wp:positionV>
            <wp:extent cx="7033895" cy="20961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096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89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37.44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02/02/2021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89,368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02/02/2031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89,368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89,368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30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 granted under the Tarsus Pharmaceuticals, Inc. 2020 Equity Incentive Plan. 25% of the option shares shall vest and become exercisable on January 19, 2022, and 1/48th of the option shares shall vest and become exercisable each month thereafter for a period of 3 years.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Leo Greenstein, attorney-in-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02/02/2021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360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0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593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841401" TargetMode="External"/><Relationship Id="rId14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2021-02-02T18:58:41Z</dcterms:created>
  <dcterms:modified xsi:type="dcterms:W3CDTF">2021-02-02T18:58:41Z</dcterms:modified>
</cp:coreProperties>
</file>