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64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642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LINK WILLIAM J PHD</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Tarsus Pharmaceuticals,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TARS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4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16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gridSpan w:val="3"/>
            <w:vMerge w:val="continue"/>
          </w:tcPr>
          <w:p>
            <w:pPr>
              <w:spacing w:after="0"/>
              <w:rPr>
                <w:sz w:val="3"/>
                <w:szCs w:val="3"/>
                <w:color w:val="auto"/>
              </w:rPr>
            </w:pPr>
          </w:p>
        </w:tc>
        <w:tc>
          <w:tcPr>
            <w:tcW w:w="16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20" w:type="dxa"/>
            <w:vAlign w:val="bottom"/>
            <w:gridSpan w:val="7"/>
            <w:vMerge w:val="continue"/>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5"/>
                <w:szCs w:val="15"/>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TARSUS PHARMACEUTICALS, INC.</w:t>
            </w: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03/15/2023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15440 LAGUNA CANYON ROAD, SUITE 160</w:t>
            </w: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8"/>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ind w:left="320"/>
              <w:spacing w:after="0" w:line="146"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1140" w:type="dxa"/>
            <w:vAlign w:val="bottom"/>
            <w:tcBorders>
              <w:bottom w:val="single" w:sz="8" w:color="2C2C2C"/>
            </w:tcBorders>
            <w:gridSpan w:val="3"/>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Flying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5"/>
            <w:vMerge w:val="restart"/>
          </w:tcPr>
          <w:p>
            <w:pPr>
              <w:ind w:left="720"/>
              <w:spacing w:after="0"/>
              <w:rPr>
                <w:sz w:val="20"/>
                <w:szCs w:val="20"/>
                <w:color w:val="auto"/>
              </w:rPr>
            </w:pPr>
            <w:r>
              <w:rPr>
                <w:rFonts w:ascii="Times New Roman" w:cs="Times New Roman" w:eastAsia="Times New Roman" w:hAnsi="Times New Roman"/>
                <w:sz w:val="17"/>
                <w:szCs w:val="17"/>
                <w:color w:val="0000FF"/>
              </w:rPr>
              <w:t>03/15/2023</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0000FF"/>
              </w:rPr>
              <w:t>215,575</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215,576</w:t>
            </w:r>
          </w:p>
        </w:tc>
        <w:tc>
          <w:tcPr>
            <w:tcW w:w="300" w:type="dxa"/>
            <w:vAlign w:val="bottom"/>
          </w:tcPr>
          <w:p>
            <w:pPr>
              <w:spacing w:after="0"/>
              <w:rPr>
                <w:sz w:val="18"/>
                <w:szCs w:val="18"/>
                <w:color w:val="auto"/>
              </w:rPr>
            </w:pPr>
          </w:p>
        </w:tc>
        <w:tc>
          <w:tcPr>
            <w:tcW w:w="58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5"/>
            <w:vMerge w:val="continue"/>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XI, LLC</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Flying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5"/>
          </w:tcPr>
          <w:p>
            <w:pPr>
              <w:ind w:left="720"/>
              <w:spacing w:after="0"/>
              <w:rPr>
                <w:sz w:val="20"/>
                <w:szCs w:val="20"/>
                <w:color w:val="auto"/>
              </w:rPr>
            </w:pPr>
            <w:r>
              <w:rPr>
                <w:rFonts w:ascii="Times New Roman" w:cs="Times New Roman" w:eastAsia="Times New Roman" w:hAnsi="Times New Roman"/>
                <w:sz w:val="17"/>
                <w:szCs w:val="17"/>
                <w:color w:val="0000FF"/>
              </w:rPr>
              <w:t>03/15/2023</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6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(3)</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52,194</w:t>
            </w:r>
          </w:p>
        </w:tc>
        <w:tc>
          <w:tcPr>
            <w:tcW w:w="4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68,673</w:t>
            </w:r>
          </w:p>
        </w:tc>
        <w:tc>
          <w:tcPr>
            <w:tcW w:w="300" w:type="dxa"/>
            <w:vAlign w:val="bottom"/>
          </w:tcPr>
          <w:p>
            <w:pPr>
              <w:spacing w:after="0"/>
              <w:rPr>
                <w:sz w:val="18"/>
                <w:szCs w:val="18"/>
                <w:color w:val="auto"/>
              </w:rPr>
            </w:pPr>
          </w:p>
        </w:tc>
        <w:tc>
          <w:tcPr>
            <w:tcW w:w="580" w:type="dxa"/>
            <w:vAlign w:val="bottom"/>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 Partners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XI, LLC</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6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134,632</w:t>
            </w:r>
          </w:p>
        </w:tc>
        <w:tc>
          <w:tcPr>
            <w:tcW w:w="30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1140" w:type="dxa"/>
            <w:vAlign w:val="bottom"/>
            <w:tcBorders>
              <w:bottom w:val="single" w:sz="8" w:color="2C2C2C"/>
            </w:tcBorders>
            <w:gridSpan w:val="3"/>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gridSpan w:val="2"/>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in-kind pro-rata distribution, and not a purchase or sale, without additional consideration by Flying L Investments XI, LLC to its partners pursuant to a 10b5-1 plan entered into by Flying L Investments XI, LLC.</w:t>
      </w:r>
    </w:p>
    <w:p>
      <w:pPr>
        <w:spacing w:after="0" w:line="7"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directly held by Flying L Investments XI, LLC. The Reporting Person is the manager of Flying L Investments XI, LLC and may be deemed to have sole voting and investment power over the shares. The Reporting Person disclaims beneficial ownership of the shares except to the extent of any pecuniary interest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receipt of shares from a pro-rata in-kind distribution, and not a purchase or sale, without additional consideration by Flying L Investments XI, LLC to its partners.</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directly held by Flying L Partners XI, LLC. The Reporting Person is the manager of Flying L Partners XI, LLC and may be deemed to have sole voting and investment power over the shares. The Reporting Person disclaims beneficial ownership of the shares except to the extent of any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03/17/2023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8684"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2023-03-17T19:43:20Z</dcterms:created>
  <dcterms:modified xsi:type="dcterms:W3CDTF">2023-03-17T19:43:20Z</dcterms:modified>
</cp:coreProperties>
</file>