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9, 2022</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77"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November 9, 2022, Tarsus Pharmaceuticals, Inc. (the “Company”) issued a press release, which, among other matters, sets forth the Company’s results of operations for the three and nine months ended September 30, 2022.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November 9, 2022</w:t>
            </w:r>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1340" w:val="left"/>
          <w:tab w:leader="none" w:pos="3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r>
        <w:rPr>
          <w:sz w:val="20"/>
          <w:szCs w:val="20"/>
          <w:color w:val="auto"/>
        </w:rPr>
        <w:tab/>
      </w:r>
      <w:r>
        <w:rPr>
          <w:rFonts w:ascii="Times New Roman" w:cs="Times New Roman" w:eastAsia="Times New Roman" w:hAnsi="Times New Roman"/>
          <w:sz w:val="17"/>
          <w:szCs w:val="17"/>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Leonard M. Greenstein</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654685</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Reports Third Quarter 2022 Financial Results and Recent Business Achievements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New Drug Application for TP-03 accepted; PDUFA target action date August 25, 2023</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Launched disease education, field medical team and payor engagement in anticipation of TP-03 launch</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Cash runway anticipated into at least 2026 for the planned commercial launch of TP-03 and continued pipeline development</w:t>
      </w:r>
    </w:p>
    <w:p>
      <w:pPr>
        <w:spacing w:after="0" w:line="22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IRVINE, Calif., November 9, 2022 (GLOBE NEWSWIRE) </w:t>
      </w:r>
      <w:r>
        <w:rPr>
          <w:rFonts w:ascii="Times New Roman" w:cs="Times New Roman" w:eastAsia="Times New Roman" w:hAnsi="Times New Roman"/>
          <w:sz w:val="18"/>
          <w:szCs w:val="18"/>
          <w:color w:val="auto"/>
        </w:rPr>
        <w:t>-- Tarsus Pharmaceuticals, Inc. (NASDAQ: TARS), whose mission is to address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starting with eye care, through the application of proven science and new technology, today announced financial results for the third quarter ended September 30, 2022, and recent business achievements.</w:t>
      </w:r>
    </w:p>
    <w:p>
      <w:pPr>
        <w:spacing w:after="0" w:line="20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 xml:space="preserve">“During 2022, we moved significantly closer to delivering a new potential drug to millions of patients suffering from one of the most common eye diseases,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NDA acceptance for TP-03 is a critical milestone for Tarsus, patients and the eye care professionals who treat them as we move closer toward potential commercialization. In parallel, we initiated a robust disease education program and launched our field medical team to continue to drive awareness and encourage eye care professionals to diagnose this highly prevalent disease,” said Bobak Azamian, M.D., Ph.D., President and Chief Executive Officer of Tarsus. “We also advanced our pipeline with the start of an exploratory Phase 2a study in MGD and are on-track to initiate a Phase 2a study in Lyme disease prevention this quarter. As we look to 2023 and beyond, we are well capitalized with the financial resources we need to continue investing in our priorities to deliver innovative drugs to patients and further drive shareholder value and growth.”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 and Corporate Update</w:t>
      </w:r>
    </w:p>
    <w:p>
      <w:pPr>
        <w:spacing w:after="0" w:line="38" w:lineRule="exact"/>
        <w:rPr>
          <w:sz w:val="20"/>
          <w:szCs w:val="20"/>
          <w:color w:val="auto"/>
        </w:rPr>
      </w:pPr>
    </w:p>
    <w:p>
      <w:pPr>
        <w:ind w:left="660" w:right="540" w:hanging="328"/>
        <w:spacing w:after="0" w:line="228"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New Drug Application (NDA) for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accepted by U.S. Food and Drug Administration (FDA); Prescription Drug User Fee Act (PDUFA) target action date of August 25, 2023</w:t>
      </w:r>
    </w:p>
    <w:p>
      <w:pPr>
        <w:spacing w:after="0" w:line="21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Eye Care Professional (ECP) engagement and education to identify and diagnose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9" w:lineRule="exact"/>
        <w:rPr>
          <w:rFonts w:ascii="Times New Roman" w:cs="Times New Roman" w:eastAsia="Times New Roman" w:hAnsi="Times New Roman"/>
          <w:sz w:val="18"/>
          <w:szCs w:val="18"/>
          <w:color w:val="auto"/>
        </w:rPr>
      </w:pP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“Look at the Lids” disease education campaign has generated &gt; 26K unique website visits and nearly 500K digital/media impressions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Launched first all optometrist Medical Science Liaison (MSL) team</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disease prevalence, diagnosis and impact</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MSL team deeply versed in medical care / blepharitis and serving all ECPs</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Launched national payor accounts team</w:t>
      </w:r>
    </w:p>
    <w:p>
      <w:pPr>
        <w:spacing w:after="0" w:line="13"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Actively engaging with all top commercial and Medicare accounts</w:t>
      </w:r>
    </w:p>
    <w:p>
      <w:pPr>
        <w:spacing w:after="0" w:line="14" w:lineRule="exact"/>
        <w:rPr>
          <w:rFonts w:ascii="Arial" w:cs="Arial" w:eastAsia="Arial" w:hAnsi="Arial"/>
          <w:sz w:val="22"/>
          <w:szCs w:val="22"/>
          <w:color w:val="auto"/>
        </w:rPr>
      </w:pPr>
    </w:p>
    <w:p>
      <w:pPr>
        <w:ind w:left="1300" w:right="140" w:hanging="320"/>
        <w:spacing w:after="0" w:line="225" w:lineRule="auto"/>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Each team member has ~20 years of diverse experience including innovative product launches and leadership positions with key payors and other channel partners</w:t>
      </w:r>
    </w:p>
    <w:p>
      <w:pPr>
        <w:spacing w:after="0" w:line="251" w:lineRule="exact"/>
        <w:rPr>
          <w:rFonts w:ascii="Arial" w:cs="Arial" w:eastAsia="Arial" w:hAnsi="Arial"/>
          <w:sz w:val="22"/>
          <w:szCs w:val="22"/>
          <w:color w:val="auto"/>
        </w:rPr>
      </w:pPr>
    </w:p>
    <w:p>
      <w:pPr>
        <w:ind w:left="660" w:right="120" w:hanging="328"/>
        <w:spacing w:after="0" w:line="22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Presented additional data from Saturn-1 and Saturn-2 at key medical meetings further demonstrating TP-03 as the potential definitive standard of care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53" w:lineRule="exact"/>
        <w:rPr>
          <w:rFonts w:ascii="Arial" w:cs="Arial" w:eastAsia="Arial" w:hAnsi="Arial"/>
          <w:sz w:val="22"/>
          <w:szCs w:val="22"/>
          <w:color w:val="auto"/>
        </w:rPr>
      </w:pPr>
    </w:p>
    <w:p>
      <w:pPr>
        <w:ind w:left="660" w:right="280" w:hanging="328"/>
        <w:spacing w:after="0" w:line="22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Data from the Callisto Phase 1b trial of TP-05, a novel, oral, non-vaccine potential therapeutic for the prevention of Lyme disease, expected by year-end</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Board of Directors updates</w:t>
      </w:r>
    </w:p>
    <w:p>
      <w:pPr>
        <w:spacing w:after="0" w:line="13"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Appointed Scott Morrison to the Board and as Audit Committee Chair</w:t>
      </w:r>
    </w:p>
    <w:p>
      <w:pPr>
        <w:sectPr>
          <w:pgSz w:w="11900" w:h="16838" w:orient="portrait"/>
          <w:cols w:equalWidth="0" w:num="1">
            <w:col w:w="11220"/>
          </w:cols>
          <w:pgMar w:left="320" w:top="1440" w:right="359" w:bottom="1440" w:gutter="0" w:footer="0" w:header="0"/>
        </w:sectPr>
      </w:pPr>
    </w:p>
    <w:bookmarkStart w:id="4" w:name="page5"/>
    <w:bookmarkEnd w:id="4"/>
    <w:p>
      <w:pPr>
        <w:ind w:left="1300" w:right="120" w:hanging="320"/>
        <w:spacing w:after="0" w:line="230" w:lineRule="auto"/>
        <w:tabs>
          <w:tab w:leader="none" w:pos="1296"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Michael Ackermann, Ph.D, Co-founder and Chairman planning to transition off the Board by year-end 2022; Wendy Yarno expected to become Lead Independent Director and Bobak Azamian, M.D., Ph.D, Chief Executive Officer, expected to be appointed as Chairman of the Board following Dr. Ackermann’s transition</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Cash runway anticipated into at least 2026</w:t>
      </w:r>
    </w:p>
    <w:p>
      <w:pPr>
        <w:spacing w:after="0" w:line="14"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$227 million of cash, cash equivalents and marketable securities as of September 30, 2022</w:t>
      </w:r>
    </w:p>
    <w:p>
      <w:pPr>
        <w:spacing w:after="0" w:line="14"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$30 million in expected milestones through 2024 from China out-license with $10 million in December 2022 and $5 million in 1Q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Milestones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3320" w:type="dxa"/>
            <w:vAlign w:val="bottom"/>
            <w:tcBorders>
              <w:top w:val="single" w:sz="8" w:color="auto"/>
              <w:bottom w:val="single" w:sz="8" w:color="auto"/>
              <w:right w:val="single" w:sz="8" w:color="auto"/>
            </w:tcBorders>
          </w:tcPr>
          <w:p>
            <w:pPr>
              <w:spacing w:after="0"/>
              <w:rPr>
                <w:sz w:val="22"/>
                <w:szCs w:val="22"/>
                <w:color w:val="auto"/>
              </w:rPr>
            </w:pPr>
          </w:p>
        </w:tc>
        <w:tc>
          <w:tcPr>
            <w:tcW w:w="28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Anticipated Indication</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H1 2022</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H2 2022</w:t>
            </w:r>
          </w:p>
        </w:tc>
      </w:tr>
      <w:tr>
        <w:trPr>
          <w:trHeight w:val="257"/>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TP-03</w:t>
            </w:r>
          </w:p>
        </w:tc>
        <w:tc>
          <w:tcPr>
            <w:tcW w:w="44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Topline Pivotal Data (Saturn-2)</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w:t>
            </w: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tcBorders>
              <w:bottom w:val="single" w:sz="8" w:color="auto"/>
              <w:right w:val="single" w:sz="8" w:color="auto"/>
            </w:tcBorders>
          </w:tcPr>
          <w:p>
            <w:pPr>
              <w:spacing w:after="0"/>
              <w:rPr>
                <w:sz w:val="22"/>
                <w:szCs w:val="22"/>
                <w:color w:val="auto"/>
              </w:rPr>
            </w:pP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TP-03</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Initiate Phase 2</w:t>
            </w:r>
          </w:p>
        </w:tc>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(Ersa)</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Meibomian Gland Disease</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TP-03</w:t>
            </w:r>
          </w:p>
        </w:tc>
        <w:tc>
          <w:tcPr>
            <w:tcW w:w="44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NDA Acceptance</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TP-03</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Initiate Phase 3</w:t>
            </w:r>
          </w:p>
        </w:tc>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(Libra) in China with LianBio</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TP-04</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Initiate Phase 2</w:t>
            </w:r>
          </w:p>
        </w:tc>
        <w:tc>
          <w:tcPr>
            <w:tcW w:w="3320" w:type="dxa"/>
            <w:vAlign w:val="bottom"/>
            <w:tcBorders>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(Galatea)</w:t>
            </w:r>
            <w:r>
              <w:rPr>
                <w:rFonts w:ascii="Times New Roman" w:cs="Times New Roman" w:eastAsia="Times New Roman" w:hAnsi="Times New Roman"/>
                <w:sz w:val="23"/>
                <w:szCs w:val="23"/>
                <w:color w:val="auto"/>
                <w:vertAlign w:val="superscript"/>
              </w:rPr>
              <w:t>1</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Rosacea</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TP-05</w:t>
            </w:r>
          </w:p>
        </w:tc>
        <w:tc>
          <w:tcPr>
            <w:tcW w:w="4480" w:type="dxa"/>
            <w:vAlign w:val="bottom"/>
            <w:tcBorders>
              <w:bottom w:val="single" w:sz="8" w:color="auto"/>
              <w:right w:val="single" w:sz="8" w:color="auto"/>
            </w:tcBorders>
            <w:gridSpan w:val="2"/>
          </w:tcPr>
          <w:p>
            <w:pPr>
              <w:ind w:left="20"/>
              <w:spacing w:after="0" w:line="250" w:lineRule="exact"/>
              <w:rPr>
                <w:sz w:val="20"/>
                <w:szCs w:val="20"/>
                <w:color w:val="auto"/>
              </w:rPr>
            </w:pPr>
            <w:r>
              <w:rPr>
                <w:rFonts w:ascii="Times New Roman" w:cs="Times New Roman" w:eastAsia="Times New Roman" w:hAnsi="Times New Roman"/>
                <w:sz w:val="18"/>
                <w:szCs w:val="18"/>
                <w:color w:val="auto"/>
              </w:rPr>
              <w:t>Topline Phase 1b Data (Callisto)</w:t>
            </w:r>
            <w:r>
              <w:rPr>
                <w:rFonts w:ascii="Times New Roman" w:cs="Times New Roman" w:eastAsia="Times New Roman" w:hAnsi="Times New Roman"/>
                <w:sz w:val="23"/>
                <w:szCs w:val="23"/>
                <w:color w:val="auto"/>
                <w:vertAlign w:val="superscript"/>
              </w:rPr>
              <w:t>2</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Lyme disease prevention</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TP-05</w:t>
            </w:r>
          </w:p>
        </w:tc>
        <w:tc>
          <w:tcPr>
            <w:tcW w:w="4480" w:type="dxa"/>
            <w:vAlign w:val="bottom"/>
            <w:tcBorders>
              <w:bottom w:val="single" w:sz="8" w:color="auto"/>
              <w:right w:val="single" w:sz="8" w:color="auto"/>
            </w:tcBorders>
            <w:gridSpan w:val="2"/>
          </w:tcPr>
          <w:p>
            <w:pPr>
              <w:ind w:left="20"/>
              <w:spacing w:after="0" w:line="250" w:lineRule="exact"/>
              <w:rPr>
                <w:sz w:val="20"/>
                <w:szCs w:val="20"/>
                <w:color w:val="auto"/>
              </w:rPr>
            </w:pPr>
            <w:r>
              <w:rPr>
                <w:rFonts w:ascii="Times New Roman" w:cs="Times New Roman" w:eastAsia="Times New Roman" w:hAnsi="Times New Roman"/>
                <w:sz w:val="18"/>
                <w:szCs w:val="18"/>
                <w:color w:val="auto"/>
              </w:rPr>
              <w:t>Initiate Phase 2a (Carpo)</w:t>
            </w:r>
            <w:r>
              <w:rPr>
                <w:rFonts w:ascii="Times New Roman" w:cs="Times New Roman" w:eastAsia="Times New Roman" w:hAnsi="Times New Roman"/>
                <w:sz w:val="23"/>
                <w:szCs w:val="23"/>
                <w:color w:val="auto"/>
                <w:vertAlign w:val="superscript"/>
              </w:rPr>
              <w:t>2</w:t>
            </w:r>
          </w:p>
        </w:tc>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Lyme disease prevention</w:t>
            </w:r>
          </w:p>
        </w:tc>
        <w:tc>
          <w:tcPr>
            <w:tcW w:w="10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r>
    </w:tbl>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 On-track to initiate in 2023. 2. On-track to complete by year-end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Financial Results</w:t>
      </w:r>
    </w:p>
    <w:p>
      <w:pPr>
        <w:spacing w:after="0" w:line="243"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net loss for 2022 was $22.5 million, compared to net loss of $15.7 million for the same period in 2021</w:t>
      </w:r>
    </w:p>
    <w:p>
      <w:pPr>
        <w:spacing w:after="0" w:line="15" w:lineRule="exact"/>
        <w:rPr>
          <w:rFonts w:ascii="Times New Roman" w:cs="Times New Roman" w:eastAsia="Times New Roman" w:hAnsi="Times New Roman"/>
          <w:sz w:val="18"/>
          <w:szCs w:val="18"/>
          <w:color w:val="auto"/>
        </w:rPr>
      </w:pPr>
    </w:p>
    <w:p>
      <w:pPr>
        <w:ind w:left="660" w:right="220" w:hanging="328"/>
        <w:spacing w:after="0" w:line="22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2022 license fee and collaboration revenue, as part of the strategic partnership with LianBio, was $0, compared to $1.2 million for the same period in 2021</w:t>
      </w:r>
    </w:p>
    <w:p>
      <w:pPr>
        <w:spacing w:after="0" w:line="1" w:lineRule="exact"/>
        <w:rPr>
          <w:rFonts w:ascii="Times New Roman" w:cs="Times New Roman" w:eastAsia="Times New Roman" w:hAnsi="Times New Roman"/>
          <w:sz w:val="18"/>
          <w:szCs w:val="18"/>
          <w:color w:val="auto"/>
        </w:rPr>
      </w:pPr>
    </w:p>
    <w:p>
      <w:pPr>
        <w:ind w:left="660" w:right="160" w:hanging="328"/>
        <w:spacing w:after="0" w:line="234" w:lineRule="auto"/>
        <w:tabs>
          <w:tab w:leader="none" w:pos="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research and development expenses for 2022 were $10.9 million (inclusive of stock-based compensation of $1.0 million), compared to $10.2 million for the same period in 2021</w:t>
      </w:r>
    </w:p>
    <w:p>
      <w:pPr>
        <w:spacing w:after="0" w:line="1" w:lineRule="exact"/>
        <w:rPr>
          <w:rFonts w:ascii="Times New Roman" w:cs="Times New Roman" w:eastAsia="Times New Roman" w:hAnsi="Times New Roman"/>
          <w:sz w:val="18"/>
          <w:szCs w:val="18"/>
          <w:color w:val="auto"/>
        </w:rPr>
      </w:pPr>
    </w:p>
    <w:p>
      <w:pPr>
        <w:ind w:left="660" w:right="140" w:hanging="328"/>
        <w:spacing w:after="0" w:line="234" w:lineRule="auto"/>
        <w:tabs>
          <w:tab w:leader="none" w:pos="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general and administrative expenses for 2022 were $12.0 million (inclusive of stock-based compensation of $2.6 million), compared to $6.7 million for the same period in 2021</w:t>
      </w:r>
    </w:p>
    <w:p>
      <w:pPr>
        <w:spacing w:after="0" w:line="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cash, cash equivalents and marketable securities were $226.6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Tarsus is studying two investigational medicines in clinical trials. Its lead product candidate, TP-03, is a novel therapeutic which has demonstrated positive results in two pivotal trials for the treatment of Demodex blepharitis, and the New Drug Application has been accepted by the U.S. Food &amp; Drug Administration (FDA) with a PDUFA target action date of August 25, 2023. TP-03 is also being developed for the treatment of Meibomian Gland Disease, and currently being studied in a Phase 2a clinical trial. In addition, Tarsus is developing TP-05, an oral, non-vaccine therapeutic for the prevention of Lyme disease, which is currently being studied in a Phase 1b clinical trial.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These statements include statements regarding the potential approval and commercialization of TP-03, the initiation of Phase 2 studies for Lyme disease prevention and the treatment of rosacea, our cash runway expectations, our ability to continue investing in our business, the terms of the license agreement with LianBio, the ability of LianBio to commercialize TP-03 in the Greater China territory, the market size for TP-03 and TP-05, future events and Tarsus’ plans for and the anticipated benefits of its product candidates including TP-03, TP-04 and TP-05, the timing, objectives and results of the clinical trials, anticipated regulatory and development milestones, the board transition matters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w:t>
      </w:r>
    </w:p>
    <w:p>
      <w:pPr>
        <w:sectPr>
          <w:pgSz w:w="11900" w:h="16838" w:orient="portrait"/>
          <w:cols w:equalWidth="0" w:num="1">
            <w:col w:w="11240"/>
          </w:cols>
          <w:pgMar w:left="320" w:top="1039" w:right="3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t xml:space="preserve">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COVID-19 pandemic may affect Tarsus’ ability to initiate and complete preclinical studies and clinical trials, disrupt regulatory activities, disrupt manufacturing and supply chain or have other adverse effects on Tarsus’ business and operations; even if TP-03, TP-04, TP-05, or any other product candidate that Tarsus develops receives marketing approval, Tarsus may not be successful in educating healthcare professionals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MGD, rosacea, Lyme disease prevention,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2021 filed on March 14, 2022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63" w:lineRule="exact"/>
        <w:rPr>
          <w:sz w:val="20"/>
          <w:szCs w:val="20"/>
          <w:color w:val="auto"/>
        </w:rPr>
      </w:pPr>
    </w:p>
    <w:p>
      <w:pPr>
        <w:ind w:left="20" w:right="9560" w:firstLine="6"/>
        <w:spacing w:after="0" w:line="379" w:lineRule="auto"/>
        <w:tabs>
          <w:tab w:leader="none" w:pos="4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922-0801 AKemp@tarsusrx.com</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left="20" w:right="9280" w:firstLine="6"/>
        <w:spacing w:after="0" w:line="297" w:lineRule="auto"/>
        <w:tabs>
          <w:tab w:leader="none" w:pos="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1240"/>
          </w:cols>
          <w:pgMar w:left="320" w:top="101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STATEMENTS OF OPERATIONS AND COMPREHENSIVE (LOSS) INCOME (In thousands, except share and per share amounts)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License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Collaboration revenue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56,689</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18,625</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54,398</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before other income (expense) and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 and cash equivalents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share, 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income per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20,511,973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22,032,487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24" w:right="339" w:bottom="1440" w:gutter="0" w:footer="0" w:header="0"/>
        </w:sectPr>
      </w:pPr>
    </w:p>
    <w:bookmarkStart w:id="7" w:name="page8"/>
    <w:bookmarkEnd w:id="7"/>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234,078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175,952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236,465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w:t>
            </w:r>
          </w:p>
        </w:tc>
        <w:tc>
          <w:tcPr>
            <w:tcW w:w="0" w:type="dxa"/>
            <w:vAlign w:val="bottom"/>
          </w:tcPr>
          <w:p>
            <w:pPr>
              <w:spacing w:after="0"/>
              <w:rPr>
                <w:sz w:val="1"/>
                <w:szCs w:val="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26,671,812 shares issued and outstanding at September 30,</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2022 (unaudited); 20,726,580 shares issued and 20,698,737 outstanding, which excludes 27,840 shares subject to repurchase at</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213,398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(46,672)</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236,465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178,907</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49"/>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2022-11-09T05:47:47Z</dcterms:created>
  <dcterms:modified xsi:type="dcterms:W3CDTF">2022-11-09T05:47:47Z</dcterms:modified>
</cp:coreProperties>
</file>