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904"/>
        <w:spacing w:after="0"/>
        <w:rPr>
          <w:sz w:val="20"/>
          <w:szCs w:val="20"/>
          <w:color w:val="auto"/>
        </w:rPr>
      </w:pPr>
      <w:r>
        <w:rPr>
          <w:rFonts w:ascii="Arial" w:cs="Arial" w:eastAsia="Arial" w:hAnsi="Arial"/>
          <w:sz w:val="22"/>
          <w:szCs w:val="22"/>
          <w:b w:val="1"/>
          <w:bCs w:val="1"/>
          <w:color w:val="auto"/>
        </w:rPr>
        <w:t>Pursuant to Section 13 OR 15(d) of</w:t>
      </w:r>
    </w:p>
    <w:p>
      <w:pPr>
        <w:ind w:left="3864"/>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Tarsus 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001-39614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81-4717861</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15440 Laguna Canyon Road, Suite 160</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Irvine, California 92618</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(949) 409-9820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8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TARS</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The Nasdaq Global Market LLC</w:t>
            </w:r>
          </w:p>
        </w:tc>
        <w:tc>
          <w:tcPr>
            <w:tcW w:w="0" w:type="dxa"/>
            <w:vAlign w:val="bottom"/>
          </w:tcPr>
          <w:p>
            <w:pPr>
              <w:spacing w:after="0"/>
              <w:rPr>
                <w:sz w:val="1"/>
                <w:szCs w:val="1"/>
                <w:color w:val="auto"/>
              </w:rPr>
            </w:pPr>
          </w:p>
        </w:tc>
      </w:tr>
      <w:tr>
        <w:trPr>
          <w:trHeight w:val="234"/>
        </w:trPr>
        <w:tc>
          <w:tcPr>
            <w:tcW w:w="3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$0.0001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8484"/>
        <w:spacing w:after="0" w:line="207" w:lineRule="exact"/>
        <w:tabs>
          <w:tab w:leader="none" w:pos="10784"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5.03. Amendments to Articles of Incorporation or Bylaws; Change in Fiscal Year.</w:t>
      </w:r>
    </w:p>
    <w:p>
      <w:pPr>
        <w:spacing w:after="0" w:line="12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On October 20, 2020, Tarsus Pharmaceuticals, Inc. (the “Company”) filed an amended and restated certificate of incorporation (the “Restated Certificate”) with the Secretary of State of the State of Delaware in connection with the closing of the Company’s initial public offering (the “IPO”). The Company’s board of directors and the Company’s stockholders previously approved the Restated Certificate to be filed in connection with, and to be effective upon, the closing of the IPO.</w:t>
      </w:r>
    </w:p>
    <w:p>
      <w:pPr>
        <w:spacing w:after="0" w:line="187" w:lineRule="exact"/>
        <w:rPr>
          <w:sz w:val="20"/>
          <w:szCs w:val="20"/>
          <w:color w:val="auto"/>
        </w:rPr>
      </w:pPr>
    </w:p>
    <w:p>
      <w:pPr>
        <w:ind w:left="4" w:right="40"/>
        <w:spacing w:after="0" w:line="268" w:lineRule="auto"/>
        <w:rPr>
          <w:sz w:val="20"/>
          <w:szCs w:val="20"/>
          <w:color w:val="auto"/>
        </w:rPr>
      </w:pPr>
      <w:r>
        <w:rPr>
          <w:rFonts w:ascii="Arial" w:cs="Arial" w:eastAsia="Arial" w:hAnsi="Arial"/>
          <w:sz w:val="17"/>
          <w:szCs w:val="17"/>
          <w:color w:val="auto"/>
        </w:rPr>
        <w:t>The Restated Certificate amends and restates in its entirety the Company’s certificate of incorporation to, among other things: (i) authorize 200,000,000 shares of common stock; (ii) eliminate all references to the previously existing series of preferred stock; (iii) authorize 10,000,000 shares of undesignated preferred stock that may be issued from time to time by the Company’s board of directors in one or more series; (iv) establish a classified board of directors, divided into three classes, each of whose members will serve for staggered three-year terms; (v) provide that directors may be removed from office only for cause and only upon the affirmative vote of the holders of at least 66 2/3% of the holders of the Company’s then-outstanding shares of common stock; (vi) provide that the Court of Chancery of the State of Delaware shall, to the fullest extent permitted by law, be the sole and exclusive forum for (a) any derivative action or proceeding brought on behalf of the Company, (b) any action asserting a claim of breach of fiduciary duty owed by any director, officer, other employee or stockholder of the Company to the Company or its stockholders, (c) any action asserting a claim against the Company arising pursuant to any provision of the General Corporation Law of the State of Delaware, any provision of the Restated Certificate or Restated Bylaws (as defined below) of the Company (in each case, as they may be amended from time to time) or governed by the internal affairs doctrine; and (vii) provide that the federal district courts of the United States of America shall, to the fullest extent permitted by law, be the sole and exclusive forum for the resolution of any claims arising under the Securities Act of 1933, as amended (the “Securities Act”). A description of the Restated Certificate is set forth in the sections entitled “Risk Factors” and “Description of Capital Stock” of the Company’s Prospectus (the “Prospectus”) filed with the Securities and Exchange Commission on October 16, 2020 pursuant to Rule 424(b) under the Securities Act relating to the Registration Statement on Form S-1, as amended (File No. 333-249076).</w:t>
      </w:r>
    </w:p>
    <w:p>
      <w:pPr>
        <w:spacing w:after="0" w:line="182"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The foregoing description of the Restated Certificate is qualified in its entirety by reference to the full text of the Restated Certificate, a copy of which is filed as Exhibit 3.1 to this Current Report on Form 8-K and is incorporated herein by reference.</w:t>
      </w:r>
    </w:p>
    <w:p>
      <w:pPr>
        <w:spacing w:after="0" w:line="170" w:lineRule="exact"/>
        <w:rPr>
          <w:sz w:val="20"/>
          <w:szCs w:val="20"/>
          <w:color w:val="auto"/>
        </w:rPr>
      </w:pPr>
    </w:p>
    <w:p>
      <w:pPr>
        <w:ind w:left="4" w:right="160"/>
        <w:spacing w:after="0" w:line="285" w:lineRule="auto"/>
        <w:rPr>
          <w:sz w:val="20"/>
          <w:szCs w:val="20"/>
          <w:color w:val="auto"/>
        </w:rPr>
      </w:pPr>
      <w:r>
        <w:rPr>
          <w:rFonts w:ascii="Arial" w:cs="Arial" w:eastAsia="Arial" w:hAnsi="Arial"/>
          <w:sz w:val="16"/>
          <w:szCs w:val="16"/>
          <w:color w:val="auto"/>
        </w:rPr>
        <w:t>Effective as of October 20, 2020, the Company adopted amended and restated bylaws (the “Restated Bylaws”) in connection with the closing of the IPO. The Company’s board of directors and the Company’s stockholders previously approved the Restated Bylaws to be effective immediately prior to the closing of the IPO. The Restated Bylaws restate the Company’s bylaws in their entirety to, among other things: (i) eliminate the ability of the Company’s stockholders to take action by written consent in lieu of a meeting and call special meetings of stockholders; (ii) establish procedures relating to the presentation of stockholder proposals at stockholder meetings; (iii) establish procedures relating to the nomination of directors; and</w:t>
      </w:r>
    </w:p>
    <w:p>
      <w:pPr>
        <w:spacing w:after="0" w:line="2" w:lineRule="exact"/>
        <w:rPr>
          <w:sz w:val="20"/>
          <w:szCs w:val="20"/>
          <w:color w:val="auto"/>
        </w:rPr>
      </w:pPr>
    </w:p>
    <w:p>
      <w:pPr>
        <w:ind w:left="4" w:right="420" w:hanging="4"/>
        <w:spacing w:after="0" w:line="260" w:lineRule="auto"/>
        <w:tabs>
          <w:tab w:leader="none" w:pos="309"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conform to the provisions of the Restated Certificate. A description of the Restated Bylaws is set forth in the sections of the Prospectus entitled “Risk Factors” and “Description of Capital Stock.”</w:t>
      </w:r>
    </w:p>
    <w:p>
      <w:pPr>
        <w:spacing w:after="0" w:line="185"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foregoing description of the Restated Bylaws is qualified in its entirety by reference to the full text of the Restated Bylaws, a copy of which is filed as Exhibit 3.2 to this Current Report on Form 8-K and is incorporated herein by reference.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9900" w:type="dxa"/>
            <w:vAlign w:val="bottom"/>
            <w:vMerge w:val="restart"/>
          </w:tcPr>
          <w:p>
            <w:pPr>
              <w:ind w:left="4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620" w:type="dxa"/>
            <w:vAlign w:val="bottom"/>
          </w:tcPr>
          <w:p>
            <w:pPr>
              <w:spacing w:after="0"/>
              <w:rPr>
                <w:sz w:val="14"/>
                <w:szCs w:val="14"/>
                <w:color w:val="auto"/>
              </w:rPr>
            </w:pPr>
          </w:p>
        </w:tc>
        <w:tc>
          <w:tcPr>
            <w:tcW w:w="9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10520" w:type="dxa"/>
            <w:vAlign w:val="bottom"/>
            <w:gridSpan w:val="2"/>
          </w:tcPr>
          <w:p>
            <w:pPr>
              <w:ind w:left="6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Amended and Restated Certificate of Incorporation of Tarsus Pharmaceuticals, Inc.</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10520" w:type="dxa"/>
            <w:vAlign w:val="bottom"/>
            <w:gridSpan w:val="2"/>
          </w:tcPr>
          <w:p>
            <w:pPr>
              <w:ind w:left="6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Amended and Restated Bylaws of Tarsus Pharmaceuticals, Inc.</w:t>
              </w:r>
            </w:hyperlink>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20, 2020</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Tarsus Pharmaceuticals,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Bobak Azamian, M.D., Ph.D.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660"/>
          </w:cols>
          <w:pgMar w:left="440" w:top="270"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Tarsus Pharmaceuticals,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163195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Tarsus Pharmaceuticals, Inc., a corporation organized and existing under the laws of the State of Delaware, hereby certifies as follows:</w:t>
      </w:r>
    </w:p>
    <w:p>
      <w:pPr>
        <w:spacing w:after="0" w:line="129" w:lineRule="exact"/>
        <w:rPr>
          <w:sz w:val="20"/>
          <w:szCs w:val="20"/>
          <w:color w:val="auto"/>
        </w:rPr>
      </w:pPr>
    </w:p>
    <w:p>
      <w:pPr>
        <w:ind w:left="4" w:right="60" w:firstLine="436"/>
        <w:spacing w:after="0" w:line="342" w:lineRule="auto"/>
        <w:tabs>
          <w:tab w:leader="none" w:pos="62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name of the corporation is Tarsus Pharmaceuticals, Inc., which was the name under which the corporation was originally incorporated. The date of the filing of its original certificate of incorporation with the Secretary of State of the State of Delaware was November 17, 2016.</w:t>
      </w:r>
    </w:p>
    <w:p>
      <w:pPr>
        <w:spacing w:after="0" w:line="123" w:lineRule="exact"/>
        <w:rPr>
          <w:rFonts w:ascii="Arial" w:cs="Arial" w:eastAsia="Arial" w:hAnsi="Arial"/>
          <w:sz w:val="16"/>
          <w:szCs w:val="16"/>
          <w:color w:val="auto"/>
        </w:rPr>
      </w:pPr>
    </w:p>
    <w:p>
      <w:pPr>
        <w:ind w:left="4" w:right="100" w:firstLine="436"/>
        <w:spacing w:after="0" w:line="259"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which restates, integrates and further amends the certificate of incorporation of the corporation, has been duly adopted by the corporation in accordance with Sections 242 and 245 of the General Corporation Law of the State of Delaware and has been adopted by the requisite vote of the stockholders of the corporation, acting by written consent in lieu of a meeting in accordance with Section 228 of the General Corporation Law of the State of Delaware.</w:t>
      </w:r>
    </w:p>
    <w:p>
      <w:pPr>
        <w:spacing w:after="0" w:line="186" w:lineRule="exact"/>
        <w:rPr>
          <w:rFonts w:ascii="Arial" w:cs="Arial" w:eastAsia="Arial" w:hAnsi="Arial"/>
          <w:sz w:val="18"/>
          <w:szCs w:val="18"/>
          <w:color w:val="auto"/>
        </w:rPr>
      </w:pPr>
    </w:p>
    <w:p>
      <w:pPr>
        <w:ind w:left="624" w:hanging="184"/>
        <w:spacing w:after="0"/>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certificate of incorporation of the corporation is hereby amended and restated in its entirety to read as follows:</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is Tarsus Pharmaceuticals, Inc. (hereinafter called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left="4" w:right="160" w:firstLine="440"/>
        <w:spacing w:after="0" w:line="266"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The address of the registered office of the Corporation in the State of Delaware is 3500 South Dupont Highway, in the City of Dover,</w:t>
      </w:r>
      <w:r>
        <w:rPr>
          <w:rFonts w:ascii="Arial" w:cs="Arial" w:eastAsia="Arial" w:hAnsi="Arial"/>
          <w:sz w:val="18"/>
          <w:szCs w:val="18"/>
          <w:b w:val="1"/>
          <w:bCs w:val="1"/>
          <w:color w:val="auto"/>
        </w:rPr>
        <w:t xml:space="preserve"> </w:t>
      </w:r>
      <w:r>
        <w:rPr>
          <w:rFonts w:ascii="Arial" w:cs="Arial" w:eastAsia="Arial" w:hAnsi="Arial"/>
          <w:sz w:val="18"/>
          <w:szCs w:val="18"/>
          <w:color w:val="auto"/>
        </w:rPr>
        <w:t>County of Kent, Delaware 19901. The name of the registered agent of the Corporation in the State of Delaware at such address is Incorporating Services, Ltd.</w:t>
      </w:r>
    </w:p>
    <w:p>
      <w:pPr>
        <w:spacing w:after="0" w:line="176"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purpose of the Corporation is to engage in any lawful act or activity for which corporations may be organized and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General Corporation Law of the State of Delaware or any applicable successor act thereto, as the same may be amended from time to time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The total number of shares of all classes of capital stock that the Corporation is authorized to issue is 210,000,000 shares, consisting of</w:t>
      </w:r>
    </w:p>
    <w:p>
      <w:pPr>
        <w:spacing w:after="0" w:line="50" w:lineRule="exact"/>
        <w:rPr>
          <w:sz w:val="20"/>
          <w:szCs w:val="20"/>
          <w:color w:val="auto"/>
        </w:rPr>
      </w:pPr>
    </w:p>
    <w:p>
      <w:pPr>
        <w:ind w:left="4" w:right="60" w:hanging="4"/>
        <w:spacing w:after="0" w:line="252" w:lineRule="auto"/>
        <w:tabs>
          <w:tab w:leader="none" w:pos="219" w:val="left"/>
        </w:tabs>
        <w:numPr>
          <w:ilvl w:val="0"/>
          <w:numId w:val="4"/>
        </w:numPr>
        <w:rPr>
          <w:rFonts w:ascii="Arial" w:cs="Arial" w:eastAsia="Arial" w:hAnsi="Arial"/>
          <w:sz w:val="18"/>
          <w:szCs w:val="18"/>
          <w:color w:val="auto"/>
        </w:rPr>
      </w:pPr>
      <w:r>
        <w:rPr>
          <w:rFonts w:ascii="Arial" w:cs="Arial" w:eastAsia="Arial" w:hAnsi="Arial"/>
          <w:sz w:val="18"/>
          <w:szCs w:val="18"/>
          <w:color w:val="auto"/>
        </w:rPr>
        <w:t>200,000,000 shares of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(ii) 10,000,000 shares of preferred stock, par value $0.0001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 Subject to the rights of the holders of any series of Preferred Stock, the number of authorized shares of any of the Common Stock or Preferred Stock may be increased or decreased (but not below the number of shares thereof then outstanding) by the affirmative vote of the holders of a majority in voting power of the capital stock of the Corporation entitled to vote thereon irrespective of the provisions of Section 242(b)(2) of the DGCL, and no vote of the holders of any of the Common Stock or Preferred Stock voting separately as a class shall be required therefor.</w:t>
      </w:r>
    </w:p>
    <w:p>
      <w:pPr>
        <w:spacing w:after="0" w:line="193" w:lineRule="exact"/>
        <w:rPr>
          <w:rFonts w:ascii="Arial" w:cs="Arial" w:eastAsia="Arial" w:hAnsi="Arial"/>
          <w:sz w:val="18"/>
          <w:szCs w:val="18"/>
          <w:color w:val="auto"/>
        </w:rPr>
      </w:pPr>
    </w:p>
    <w:p>
      <w:pPr>
        <w:ind w:left="4" w:right="460" w:firstLine="436"/>
        <w:spacing w:after="0" w:line="277" w:lineRule="auto"/>
        <w:tabs>
          <w:tab w:leader="none" w:pos="664"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The powers, preferences and relative participating, optional or other special rights, and the qualifications, limitations and restrictions of the Common Stock are as follows:</w:t>
      </w:r>
    </w:p>
    <w:p>
      <w:pPr>
        <w:spacing w:after="0" w:line="62" w:lineRule="exact"/>
        <w:rPr>
          <w:rFonts w:ascii="Arial" w:cs="Arial" w:eastAsia="Arial" w:hAnsi="Arial"/>
          <w:sz w:val="18"/>
          <w:szCs w:val="18"/>
          <w:color w:val="auto"/>
        </w:rPr>
      </w:pPr>
    </w:p>
    <w:p>
      <w:pPr>
        <w:ind w:left="4" w:right="180" w:firstLine="987"/>
        <w:spacing w:after="0" w:line="263" w:lineRule="auto"/>
        <w:tabs>
          <w:tab w:leader="none" w:pos="1175" w:val="left"/>
        </w:tabs>
        <w:numPr>
          <w:ilvl w:val="2"/>
          <w:numId w:val="4"/>
        </w:numPr>
        <w:rPr>
          <w:rFonts w:ascii="Arial" w:cs="Arial" w:eastAsia="Arial" w:hAnsi="Arial"/>
          <w:sz w:val="18"/>
          <w:szCs w:val="18"/>
          <w:color w:val="auto"/>
        </w:rPr>
      </w:pPr>
      <w:r>
        <w:rPr>
          <w:rFonts w:ascii="Arial" w:cs="Arial" w:eastAsia="Arial" w:hAnsi="Arial"/>
          <w:sz w:val="18"/>
          <w:szCs w:val="18"/>
          <w:u w:val="single" w:color="auto"/>
          <w:color w:val="auto"/>
        </w:rPr>
        <w:t>Ranking</w:t>
      </w:r>
      <w:r>
        <w:rPr>
          <w:rFonts w:ascii="Arial" w:cs="Arial" w:eastAsia="Arial" w:hAnsi="Arial"/>
          <w:sz w:val="18"/>
          <w:szCs w:val="18"/>
          <w:color w:val="auto"/>
        </w:rPr>
        <w:t>. The voting, dividend and liquidation rights of the holders of the Common Stock are subject to and qualified by the rights of the holders of the Preferred Stock of any series as may be designated by the Board of Directors of the Corporation (the “</w:t>
      </w:r>
      <w:r>
        <w:rPr>
          <w:rFonts w:ascii="Arial" w:cs="Arial" w:eastAsia="Arial" w:hAnsi="Arial"/>
          <w:sz w:val="18"/>
          <w:szCs w:val="18"/>
          <w:b w:val="1"/>
          <w:bCs w:val="1"/>
          <w:color w:val="auto"/>
        </w:rPr>
        <w:t>Board</w:t>
      </w:r>
      <w:r>
        <w:rPr>
          <w:rFonts w:ascii="Arial" w:cs="Arial" w:eastAsia="Arial" w:hAnsi="Arial"/>
          <w:sz w:val="18"/>
          <w:szCs w:val="18"/>
          <w:color w:val="auto"/>
        </w:rPr>
        <w:t>”) upon any issuance of the Preferred Stock of any series.</w:t>
      </w:r>
    </w:p>
    <w:p>
      <w:pPr>
        <w:sectPr>
          <w:pgSz w:w="11900" w:h="16838" w:orient="portrait"/>
          <w:cols w:equalWidth="0" w:num="1">
            <w:col w:w="11024"/>
          </w:cols>
          <w:pgMar w:left="436" w:top="121" w:right="439" w:bottom="1440" w:gutter="0" w:footer="0" w:header="0"/>
        </w:sectPr>
      </w:pPr>
    </w:p>
    <w:bookmarkStart w:id="4" w:name="page5"/>
    <w:bookmarkEnd w:id="4"/>
    <w:p>
      <w:pPr>
        <w:ind w:firstLine="987"/>
        <w:spacing w:after="0" w:line="254" w:lineRule="auto"/>
        <w:tabs>
          <w:tab w:leader="none" w:pos="1171"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Voting</w:t>
      </w:r>
      <w:r>
        <w:rPr>
          <w:rFonts w:ascii="Arial" w:cs="Arial" w:eastAsia="Arial" w:hAnsi="Arial"/>
          <w:sz w:val="18"/>
          <w:szCs w:val="18"/>
          <w:color w:val="auto"/>
        </w:rPr>
        <w:t>. Except as otherwise provided by law or by this Amended and Restated Certificate of Incorporation (as amended from time to time, including the terms of any Preferred Stock Designation (as defined below), this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the holders of outstanding shares of Common Stock shall have the exclusive right to vote for the election and removal of directors and for all other purposes. Each outstanding share of Common Stock shall entitle the holder thereof to one vote on each matter properly submitted to the stockholders of the Corporation for their vote. Notwithstanding any other provision of this Certificate of Incorporation to the contrary, the holders of Common Stock shall not be entitled to vote on any amendment to this Certificate of Incorporation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or the DGCL.</w:t>
      </w:r>
    </w:p>
    <w:p>
      <w:pPr>
        <w:spacing w:after="0" w:line="191" w:lineRule="exact"/>
        <w:rPr>
          <w:rFonts w:ascii="Arial" w:cs="Arial" w:eastAsia="Arial" w:hAnsi="Arial"/>
          <w:sz w:val="18"/>
          <w:szCs w:val="18"/>
          <w:color w:val="auto"/>
        </w:rPr>
      </w:pPr>
    </w:p>
    <w:p>
      <w:pPr>
        <w:jc w:val="both"/>
        <w:ind w:right="20" w:firstLine="987"/>
        <w:spacing w:after="0" w:line="286" w:lineRule="auto"/>
        <w:tabs>
          <w:tab w:leader="none" w:pos="1171" w:val="left"/>
        </w:tabs>
        <w:numPr>
          <w:ilvl w:val="1"/>
          <w:numId w:val="5"/>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Subject to the rights of the holders of one or more outstanding series of Preferred Stock, holders of shares of Common Stock shall be entitled to receive such dividends and distributions and other distributions in cash, stock or property of the Corporation when, as and if declared thereon by the Board from time to time out of assets or funds of the Corporation legally available therefor.</w:t>
      </w:r>
    </w:p>
    <w:p>
      <w:pPr>
        <w:spacing w:after="0" w:line="165" w:lineRule="exact"/>
        <w:rPr>
          <w:rFonts w:ascii="Arial" w:cs="Arial" w:eastAsia="Arial" w:hAnsi="Arial"/>
          <w:sz w:val="17"/>
          <w:szCs w:val="17"/>
          <w:color w:val="auto"/>
        </w:rPr>
      </w:pPr>
    </w:p>
    <w:p>
      <w:pPr>
        <w:ind w:right="60" w:firstLine="987"/>
        <w:spacing w:after="0" w:line="275" w:lineRule="auto"/>
        <w:tabs>
          <w:tab w:leader="none" w:pos="1171" w:val="left"/>
        </w:tabs>
        <w:numPr>
          <w:ilvl w:val="1"/>
          <w:numId w:val="5"/>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 Subject to the rights of the holders of one or more outstanding series of Preferred Stock, shares of Common Stock shall be entitled to receive the assets and funds of the Corporation available for distribution in the event of any liquidation, dissolution or winding up of the affairs of the Corporation, whether voluntary or involuntary. A liquidation, dissolution or winding up of the affairs of the Corporation, as such terms are used in this Section A(4), shall not be deemed to be occasioned by or to include any consolidation or merger of the Corporation with or into any other person or a sale, lease, exchange, exclusive license, conveyance or other disposition of all or any part of its assets.</w:t>
      </w:r>
    </w:p>
    <w:p>
      <w:pPr>
        <w:spacing w:after="0" w:line="176" w:lineRule="exact"/>
        <w:rPr>
          <w:rFonts w:ascii="Arial" w:cs="Arial" w:eastAsia="Arial" w:hAnsi="Arial"/>
          <w:sz w:val="17"/>
          <w:szCs w:val="17"/>
          <w:color w:val="auto"/>
        </w:rPr>
      </w:pPr>
    </w:p>
    <w:p>
      <w:pPr>
        <w:ind w:left="640" w:hanging="20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Shares of Preferred Stock may be issued from time to time in one or more series. The Board is hereby authorized to provide by resolution or resolutions from time to time for the issuance, out of the authorized but unissued shares of Preferred Stock, of one or more series of Preferred Stock, without stockholder approval (except as otherwise expressly required by this Certificate of Incorporation), by filing a certificate of designation pursuant to the applicable law of the State of Delaware (any such certificate, a “</w:t>
      </w:r>
      <w:r>
        <w:rPr>
          <w:rFonts w:ascii="Arial" w:cs="Arial" w:eastAsia="Arial" w:hAnsi="Arial"/>
          <w:sz w:val="17"/>
          <w:szCs w:val="17"/>
          <w:b w:val="1"/>
          <w:bCs w:val="1"/>
          <w:color w:val="auto"/>
        </w:rPr>
        <w:t>Preferred Stock Designation</w:t>
      </w:r>
      <w:r>
        <w:rPr>
          <w:rFonts w:ascii="Arial" w:cs="Arial" w:eastAsia="Arial" w:hAnsi="Arial"/>
          <w:sz w:val="17"/>
          <w:szCs w:val="17"/>
          <w:color w:val="auto"/>
        </w:rPr>
        <w:t>”), setting forth such resolution and, with respect to each such series, establishing the number of shares to be included in such series, and fixing the voting powers, full or limited, or no voting power of the shares of such series, and the designation, preferences and relative, participating, optional or other special rights, and the qualifications, limitations or restrictions thereof, of the shares of each such series. The powers, designation, preferences and relative, participating, optional and other special rights, and the qualifications, limitations and restrictions thereof, of each series of Preferred Stock may differ from those of any and all other series at any time outstanding. The authority of the Board with respect to each series of Preferred Stock shall include, but not be limited to, the determination of the following:</w:t>
      </w:r>
    </w:p>
    <w:p>
      <w:pPr>
        <w:spacing w:after="0" w:line="77" w:lineRule="exact"/>
        <w:rPr>
          <w:sz w:val="20"/>
          <w:szCs w:val="20"/>
          <w:color w:val="auto"/>
        </w:rPr>
      </w:pPr>
    </w:p>
    <w:p>
      <w:pPr>
        <w:ind w:left="5460" w:right="3300" w:hanging="4032"/>
        <w:spacing w:after="0" w:line="449" w:lineRule="auto"/>
        <w:tabs>
          <w:tab w:leader="none" w:pos="167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of the series, which may be by distinguishing number, letter or title; 2</w:t>
      </w:r>
    </w:p>
    <w:p>
      <w:pPr>
        <w:sectPr>
          <w:pgSz w:w="11900" w:h="16838" w:orient="portrait"/>
          <w:cols w:equalWidth="0" w:num="1">
            <w:col w:w="10980"/>
          </w:cols>
          <w:pgMar w:left="440" w:top="274" w:right="479" w:bottom="1440" w:gutter="0" w:footer="0" w:header="0"/>
        </w:sectPr>
      </w:pPr>
    </w:p>
    <w:bookmarkStart w:id="5" w:name="page6"/>
    <w:bookmarkEnd w:id="5"/>
    <w:p>
      <w:pPr>
        <w:ind w:right="280" w:firstLine="1428"/>
        <w:spacing w:after="0" w:line="342" w:lineRule="auto"/>
        <w:tabs>
          <w:tab w:leader="none" w:pos="1687"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number of shares of the series, which number the Board may thereafter increase or decrease (but not below the number of shares thereof then outstanding) without any vote of stockholders (except as otherwise expressly required by this Certificate of Incorporation);</w:t>
      </w:r>
    </w:p>
    <w:p>
      <w:pPr>
        <w:spacing w:after="0" w:line="123" w:lineRule="exact"/>
        <w:rPr>
          <w:rFonts w:ascii="Arial" w:cs="Arial" w:eastAsia="Arial" w:hAnsi="Arial"/>
          <w:sz w:val="16"/>
          <w:szCs w:val="16"/>
          <w:color w:val="auto"/>
        </w:rPr>
      </w:pPr>
    </w:p>
    <w:p>
      <w:pPr>
        <w:ind w:right="520" w:firstLine="1428"/>
        <w:spacing w:after="0" w:line="277" w:lineRule="auto"/>
        <w:tabs>
          <w:tab w:leader="none" w:pos="167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amounts or rates at which dividends will be payable on, and the preferences, if any, of shares of the series in respect of dividends, and whether such dividends, if any, shall be cumulative or noncumulative;</w:t>
      </w:r>
    </w:p>
    <w:p>
      <w:pPr>
        <w:spacing w:after="0" w:line="170" w:lineRule="exact"/>
        <w:rPr>
          <w:rFonts w:ascii="Arial" w:cs="Arial" w:eastAsia="Arial" w:hAnsi="Arial"/>
          <w:sz w:val="18"/>
          <w:szCs w:val="18"/>
          <w:color w:val="auto"/>
        </w:rPr>
      </w:pPr>
    </w:p>
    <w:p>
      <w:pPr>
        <w:ind w:left="1680" w:hanging="252"/>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dates on which dividends, if any, shall be payable;</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225" w:lineRule="exact"/>
        <w:rPr>
          <w:rFonts w:ascii="Arial" w:cs="Arial" w:eastAsia="Arial" w:hAnsi="Arial"/>
          <w:sz w:val="18"/>
          <w:szCs w:val="18"/>
          <w:color w:val="auto"/>
        </w:rPr>
      </w:pPr>
    </w:p>
    <w:p>
      <w:pPr>
        <w:ind w:left="1660" w:hanging="232"/>
        <w:spacing w:after="0"/>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and amount of any sinking fund, if any, provided for the purchase or redemption of shares of the series;</w:t>
      </w:r>
    </w:p>
    <w:p>
      <w:pPr>
        <w:spacing w:after="0" w:line="225" w:lineRule="exact"/>
        <w:rPr>
          <w:rFonts w:ascii="Arial" w:cs="Arial" w:eastAsia="Arial" w:hAnsi="Arial"/>
          <w:sz w:val="18"/>
          <w:szCs w:val="18"/>
          <w:color w:val="auto"/>
        </w:rPr>
      </w:pPr>
    </w:p>
    <w:p>
      <w:pPr>
        <w:ind w:right="780" w:firstLine="1428"/>
        <w:spacing w:after="0" w:line="277" w:lineRule="auto"/>
        <w:tabs>
          <w:tab w:leader="none" w:pos="168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amounts payable on, and the preferences, if any, of shares of the series in the event of any voluntary or involuntary liquidation, dissolution or winding up of the affairs of the Corporation;</w:t>
      </w:r>
    </w:p>
    <w:p>
      <w:pPr>
        <w:spacing w:after="0" w:line="170" w:lineRule="exact"/>
        <w:rPr>
          <w:rFonts w:ascii="Arial" w:cs="Arial" w:eastAsia="Arial" w:hAnsi="Arial"/>
          <w:sz w:val="18"/>
          <w:szCs w:val="18"/>
          <w:color w:val="auto"/>
        </w:rPr>
      </w:pPr>
    </w:p>
    <w:p>
      <w:pPr>
        <w:ind w:right="240" w:firstLine="1428"/>
        <w:spacing w:after="0" w:line="279" w:lineRule="auto"/>
        <w:tabs>
          <w:tab w:leader="none" w:pos="1687" w:val="left"/>
        </w:tabs>
        <w:numPr>
          <w:ilvl w:val="0"/>
          <w:numId w:val="8"/>
        </w:numPr>
        <w:rPr>
          <w:rFonts w:ascii="Arial" w:cs="Arial" w:eastAsia="Arial" w:hAnsi="Arial"/>
          <w:sz w:val="17"/>
          <w:szCs w:val="17"/>
          <w:color w:val="auto"/>
        </w:rPr>
      </w:pPr>
      <w:r>
        <w:rPr>
          <w:rFonts w:ascii="Arial" w:cs="Arial" w:eastAsia="Arial" w:hAnsi="Arial"/>
          <w:sz w:val="17"/>
          <w:szCs w:val="17"/>
          <w:color w:val="auto"/>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171" w:lineRule="exact"/>
        <w:rPr>
          <w:rFonts w:ascii="Arial" w:cs="Arial" w:eastAsia="Arial" w:hAnsi="Arial"/>
          <w:sz w:val="17"/>
          <w:szCs w:val="17"/>
          <w:color w:val="auto"/>
        </w:rPr>
      </w:pPr>
    </w:p>
    <w:p>
      <w:pPr>
        <w:ind w:left="1640" w:hanging="212"/>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issuance or reissuance of shares of the same series or any other class or series;</w:t>
      </w:r>
    </w:p>
    <w:p>
      <w:pPr>
        <w:spacing w:after="0" w:line="225" w:lineRule="exact"/>
        <w:rPr>
          <w:rFonts w:ascii="Arial" w:cs="Arial" w:eastAsia="Arial" w:hAnsi="Arial"/>
          <w:sz w:val="18"/>
          <w:szCs w:val="18"/>
          <w:color w:val="auto"/>
        </w:rPr>
      </w:pPr>
    </w:p>
    <w:p>
      <w:pPr>
        <w:ind w:left="1640" w:hanging="212"/>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voting rights, if any, of the holders of shares of the series generally or upon specified events; and</w:t>
      </w:r>
    </w:p>
    <w:p>
      <w:pPr>
        <w:spacing w:after="0" w:line="225" w:lineRule="exact"/>
        <w:rPr>
          <w:rFonts w:ascii="Arial" w:cs="Arial" w:eastAsia="Arial" w:hAnsi="Arial"/>
          <w:sz w:val="18"/>
          <w:szCs w:val="18"/>
          <w:color w:val="auto"/>
        </w:rPr>
      </w:pPr>
    </w:p>
    <w:p>
      <w:pPr>
        <w:ind w:right="260" w:firstLine="1428"/>
        <w:spacing w:after="0" w:line="277" w:lineRule="auto"/>
        <w:tabs>
          <w:tab w:leader="none" w:pos="1687"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powers, preferences and relative, participating, optional or other special rights, and the qualifications, limitations or restrictions thereof, of each series of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all as may be determined from time to time by the Board and stated in the resolution or resolutions providing for the issuance of such Preferred Stock.</w:t>
      </w:r>
    </w:p>
    <w:p>
      <w:pPr>
        <w:spacing w:after="0" w:line="24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Without limiting the generality of the foregoing, subject to the rights of one or more series of Preferred Stock then outstanding, the resolutions providing for issuance of any series of Preferred Stock may provide that such series shall be superior or rank equally or be junior to any other series of Preferred Stock to the extent permitted by law.</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This Article FIFTH is inserted for the management of the business and for the conduct of the affairs of the Corporation.</w:t>
      </w:r>
    </w:p>
    <w:p>
      <w:pPr>
        <w:spacing w:after="0" w:line="229"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the Board, except as otherwise provided by this Certificate of Incorporation or the DGCL.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6" w:name="page7"/>
    <w:bookmarkEnd w:id="6"/>
    <w:p>
      <w:pPr>
        <w:ind w:right="28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 </w:t>
      </w:r>
      <w:r>
        <w:rPr>
          <w:rFonts w:ascii="Arial" w:cs="Arial" w:eastAsia="Arial" w:hAnsi="Arial"/>
          <w:sz w:val="16"/>
          <w:szCs w:val="16"/>
          <w:u w:val="single" w:color="auto"/>
          <w:color w:val="auto"/>
        </w:rPr>
        <w:t>Number of Directors; Election of Directors</w:t>
      </w:r>
      <w:r>
        <w:rPr>
          <w:rFonts w:ascii="Arial" w:cs="Arial" w:eastAsia="Arial" w:hAnsi="Arial"/>
          <w:sz w:val="16"/>
          <w:szCs w:val="16"/>
          <w:color w:val="auto"/>
        </w:rPr>
        <w:t>. Subject to the rights of holders of any series of Preferred Stock to elect directors, the number of directors of the Corporation shall be fixed from time to time by resolution of the majority of the Whole Board. For purposes of this Certificate of Incorporation, the term “</w:t>
      </w:r>
      <w:r>
        <w:rPr>
          <w:rFonts w:ascii="Arial" w:cs="Arial" w:eastAsia="Arial" w:hAnsi="Arial"/>
          <w:sz w:val="16"/>
          <w:szCs w:val="16"/>
          <w:b w:val="1"/>
          <w:bCs w:val="1"/>
          <w:color w:val="auto"/>
        </w:rPr>
        <w:t>Whole Board</w:t>
      </w:r>
      <w:r>
        <w:rPr>
          <w:rFonts w:ascii="Arial" w:cs="Arial" w:eastAsia="Arial" w:hAnsi="Arial"/>
          <w:sz w:val="16"/>
          <w:szCs w:val="16"/>
          <w:color w:val="auto"/>
        </w:rPr>
        <w:t>” will mean the total number of authorized directors, whether or not there exist any vacancies in previously authorized directorships. No decrease in the number of directors constituting the Board shall shorten the term of any incumbent director.</w:t>
      </w:r>
    </w:p>
    <w:p>
      <w:pPr>
        <w:spacing w:after="0" w:line="15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Classes of Directors</w:t>
      </w:r>
      <w:r>
        <w:rPr>
          <w:rFonts w:ascii="Arial" w:cs="Arial" w:eastAsia="Arial" w:hAnsi="Arial"/>
          <w:sz w:val="18"/>
          <w:szCs w:val="18"/>
          <w:color w:val="auto"/>
        </w:rPr>
        <w:t>. Subject to the special rights of holders of any series of Preferred Stock to elect directors, the Board shall be and is divided into three classes, designated Class I, Class II and Class III, and each class shall consist, as nearly as may be possible, of one third of the total number of directors so divided into classes. The Board is authorized to assign members of the Board already in office to Class I, Class II or Class III at the time such classification becomes effective.</w:t>
      </w:r>
    </w:p>
    <w:p>
      <w:pPr>
        <w:spacing w:after="0" w:line="18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Terms of Office</w:t>
      </w:r>
      <w:r>
        <w:rPr>
          <w:rFonts w:ascii="Arial" w:cs="Arial" w:eastAsia="Arial" w:hAnsi="Arial"/>
          <w:sz w:val="18"/>
          <w:szCs w:val="18"/>
          <w:color w:val="auto"/>
        </w:rPr>
        <w:t xml:space="preserve">. Subject to the special rights of holders of any series of Preferred Stock to elect directors, each director shall serve for a term ending on the date of the third annual meeting of stockholders following the annual meeting of stockholders at which such director was elected;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director initially assigned to Class I shall serve for a term expiring at the Corporation’s first annual meeting of stockholders held after the effectiveness of this Certificate of Incorporation; each director initially assigned to Class II shall serve for a term expiring at the Corporation’s second annual meeting of stockholders held after the effectiveness of this Certificate of Incorporation; and each director initially assigned to Class III shall serve for a term expiring at the Corporation’s third annual meeting of stockholders held after the effectiveness of this Certificate of Incorporation;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each director shall continue to serve as a director until his or her successor is duly elected and qualified, subject to his or her earlier death, disqualification, resignation or removal.</w:t>
      </w:r>
    </w:p>
    <w:p>
      <w:pPr>
        <w:spacing w:after="0" w:line="192" w:lineRule="exact"/>
        <w:rPr>
          <w:sz w:val="20"/>
          <w:szCs w:val="20"/>
          <w:color w:val="auto"/>
        </w:rPr>
      </w:pPr>
    </w:p>
    <w:p>
      <w:pPr>
        <w:ind w:right="280" w:firstLine="440"/>
        <w:spacing w:after="0" w:line="293"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Newly Created Directorships and Vacancies</w:t>
      </w:r>
      <w:r>
        <w:rPr>
          <w:rFonts w:ascii="Arial" w:cs="Arial" w:eastAsia="Arial" w:hAnsi="Arial"/>
          <w:sz w:val="16"/>
          <w:szCs w:val="16"/>
          <w:color w:val="auto"/>
        </w:rPr>
        <w:t>. Subject to the special rights of holders of any series of Preferred Stock, any newly created directorship that results from an increase in the number of directors or any vacancy on the Board that results from the death, disability, resignation, disqualification or removal of any director or from any other cause shall be filled solely by the affirmative vote of a majority of the directors then in office, even if less than a quorum, or by a sole remaining director, and shall not be filled by the stockholders. Any director elected to fill a vacancy or newly created directorship shall hold office until the next election of the class to which such director shall have been appointed, and until his or her successor is duly elected and qualified, subject to his or her earlier death, disqualification, resignation or removal.</w:t>
      </w:r>
    </w:p>
    <w:p>
      <w:pPr>
        <w:spacing w:after="0" w:line="16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u w:val="single" w:color="auto"/>
          <w:color w:val="auto"/>
        </w:rPr>
        <w:t>Preferred Directors</w:t>
      </w:r>
      <w:r>
        <w:rPr>
          <w:rFonts w:ascii="Arial" w:cs="Arial" w:eastAsia="Arial" w:hAnsi="Arial"/>
          <w:sz w:val="17"/>
          <w:szCs w:val="17"/>
          <w:color w:val="auto"/>
        </w:rPr>
        <w:t>. During any period when the holders of any series of Preferred Stock have the special right to elect additional directors, upon commencement and for the duration of such period during which such right continues: (i) the then otherwise total authorized number of directors of the Corporation shall automatically be increased by such specified number of additional directors, and the holders of such series of Preferred Stock shall be entitled to elect the additional directors so provided for or fixed pursuant to this Certificate of Incorporation; and (ii) each such additional director shall serve until such director’s successor shall have been duly elected and qualified, or until such director’s right to hold such office terminates pursuant to the Preferred Stock Designation establishing such series of Preferred Stock, whichever occurs earlier, subject to his or her earlier death, resignation, disqualification or removal. Except as otherwise provided by this Certificate of Incorporation, whenever the holders of any series of Preferred Stock having the special right to elect additional directors are divested of such right pursuant to this Certificate of Incorporation, the terms of office of all such additional directors elected by the holders of such series,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-1409065</wp:posOffset>
            </wp:positionV>
            <wp:extent cx="285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 w:name="page8"/>
    <w:bookmarkEnd w:id="7"/>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G. </w:t>
      </w:r>
      <w:r>
        <w:rPr>
          <w:rFonts w:ascii="Arial" w:cs="Arial" w:eastAsia="Arial" w:hAnsi="Arial"/>
          <w:sz w:val="18"/>
          <w:szCs w:val="18"/>
          <w:u w:val="single" w:color="auto"/>
          <w:color w:val="auto"/>
        </w:rPr>
        <w:t>Removal</w:t>
      </w:r>
      <w:r>
        <w:rPr>
          <w:rFonts w:ascii="Arial" w:cs="Arial" w:eastAsia="Arial" w:hAnsi="Arial"/>
          <w:sz w:val="18"/>
          <w:szCs w:val="18"/>
          <w:color w:val="auto"/>
        </w:rPr>
        <w:t>. Subject to any special rights of the holders of one or more series of Preferred Stock to elect directors, any director or the entire Board may be removed from office at any time, but only for cause and only by the affirmative vote of the holders of at least 66 2/3% in voting power of the outstanding stock of the Corporation entitled to vote thereon, voting as a single class.</w:t>
      </w:r>
    </w:p>
    <w:p>
      <w:pPr>
        <w:spacing w:after="0" w:line="180" w:lineRule="exact"/>
        <w:rPr>
          <w:sz w:val="20"/>
          <w:szCs w:val="20"/>
          <w:color w:val="auto"/>
        </w:rPr>
      </w:pPr>
    </w:p>
    <w:p>
      <w:pPr>
        <w:ind w:right="740" w:firstLine="440"/>
        <w:spacing w:after="0" w:line="312" w:lineRule="auto"/>
        <w:rPr>
          <w:sz w:val="20"/>
          <w:szCs w:val="20"/>
          <w:color w:val="auto"/>
        </w:rPr>
      </w:pPr>
      <w:r>
        <w:rPr>
          <w:rFonts w:ascii="Arial" w:cs="Arial" w:eastAsia="Arial" w:hAnsi="Arial"/>
          <w:sz w:val="17"/>
          <w:szCs w:val="17"/>
          <w:color w:val="auto"/>
        </w:rPr>
        <w:t xml:space="preserve">H. </w:t>
      </w:r>
      <w:r>
        <w:rPr>
          <w:rFonts w:ascii="Arial" w:cs="Arial" w:eastAsia="Arial" w:hAnsi="Arial"/>
          <w:sz w:val="17"/>
          <w:szCs w:val="17"/>
          <w:u w:val="single" w:color="auto"/>
          <w:color w:val="auto"/>
        </w:rPr>
        <w:t>Committees</w:t>
      </w:r>
      <w:r>
        <w:rPr>
          <w:rFonts w:ascii="Arial" w:cs="Arial" w:eastAsia="Arial" w:hAnsi="Arial"/>
          <w:sz w:val="17"/>
          <w:szCs w:val="17"/>
          <w:color w:val="auto"/>
        </w:rPr>
        <w:t>. Pursuant to the Amended and Restated Bylaws of the Corporation (the “</w:t>
      </w:r>
      <w:r>
        <w:rPr>
          <w:rFonts w:ascii="Arial" w:cs="Arial" w:eastAsia="Arial" w:hAnsi="Arial"/>
          <w:sz w:val="17"/>
          <w:szCs w:val="17"/>
          <w:b w:val="1"/>
          <w:bCs w:val="1"/>
          <w:color w:val="auto"/>
        </w:rPr>
        <w:t>Bylaws</w:t>
      </w:r>
      <w:r>
        <w:rPr>
          <w:rFonts w:ascii="Arial" w:cs="Arial" w:eastAsia="Arial" w:hAnsi="Arial"/>
          <w:sz w:val="17"/>
          <w:szCs w:val="17"/>
          <w:color w:val="auto"/>
        </w:rPr>
        <w:t>”), the Board may establish one or more committees to which may be delegated any or all of the powers and duties of the Board to the full extent permitted by law.</w:t>
      </w:r>
    </w:p>
    <w:p>
      <w:pPr>
        <w:spacing w:after="0" w:line="14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Stockholder Nominations and Introduction of Business</w:t>
      </w:r>
      <w:r>
        <w:rPr>
          <w:rFonts w:ascii="Arial" w:cs="Arial" w:eastAsia="Arial" w:hAnsi="Arial"/>
          <w:sz w:val="18"/>
          <w:szCs w:val="18"/>
          <w:color w:val="auto"/>
        </w:rPr>
        <w:t>. Advance notice of stockholder nominations for election of directors and other business to be brought by stockholders before a meeting of stockholders shall be given in the manner provided by the Bylaws.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SIXTH</w:t>
      </w:r>
      <w:r>
        <w:rPr>
          <w:rFonts w:ascii="Arial" w:cs="Arial" w:eastAsia="Arial" w:hAnsi="Arial"/>
          <w:sz w:val="16"/>
          <w:szCs w:val="16"/>
          <w:color w:val="auto"/>
        </w:rPr>
        <w:t>: Unless and except to the extent that the Bylaws shall so require, the election of directors of the Corporation need not be by written ballot.</w:t>
      </w:r>
    </w:p>
    <w:p>
      <w:pPr>
        <w:spacing w:after="0" w:line="248"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SEVENTH</w:t>
      </w:r>
      <w:r>
        <w:rPr>
          <w:rFonts w:ascii="Arial" w:cs="Arial" w:eastAsia="Arial" w:hAnsi="Arial"/>
          <w:sz w:val="17"/>
          <w:szCs w:val="17"/>
          <w:color w:val="auto"/>
        </w:rPr>
        <w:t>: To the fullest extent permitted by the DGCL as it now exists and as it may hereafter be amended, no director of the Corporation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personally liable to the Corporation or any of its stockholders for monetary damages for breach of fiduciary duty as a director. If the DGCL is hereafter amended to authorize corporate action further eliminating or limiting the personal liability of directors, then the liability of a director of the Corporation shall be eliminated or limited to the fullest extent permitted by the DGCL, as so amended. No amendment, modification or repeal of this Article SEVENTH shall apply to or have any adverse effect on any right or protection of, or any limitation of the liability of, a director of the Corporation with respect to actions or omissions occurring prior to the time of such amendment, modification or repeal.</w:t>
      </w:r>
    </w:p>
    <w:p>
      <w:pPr>
        <w:spacing w:after="0" w:line="173" w:lineRule="exact"/>
        <w:rPr>
          <w:sz w:val="20"/>
          <w:szCs w:val="20"/>
          <w:color w:val="auto"/>
        </w:rPr>
      </w:pPr>
    </w:p>
    <w:p>
      <w:pPr>
        <w:ind w:right="460" w:firstLine="440"/>
        <w:spacing w:after="0" w:line="266" w:lineRule="auto"/>
        <w:rPr>
          <w:sz w:val="20"/>
          <w:szCs w:val="20"/>
          <w:color w:val="auto"/>
        </w:rPr>
      </w:pPr>
      <w:r>
        <w:rPr>
          <w:rFonts w:ascii="Arial" w:cs="Arial" w:eastAsia="Arial" w:hAnsi="Arial"/>
          <w:sz w:val="18"/>
          <w:szCs w:val="18"/>
          <w:b w:val="1"/>
          <w:bCs w:val="1"/>
          <w:color w:val="auto"/>
        </w:rPr>
        <w:t>EIGHTH</w:t>
      </w:r>
      <w:r>
        <w:rPr>
          <w:rFonts w:ascii="Arial" w:cs="Arial" w:eastAsia="Arial" w:hAnsi="Arial"/>
          <w:sz w:val="18"/>
          <w:szCs w:val="18"/>
          <w:color w:val="auto"/>
        </w:rPr>
        <w:t>: Subject to the terms of any series of Preferred Stock, any action required or permitted to be taken by the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must be effected at an annual or special meeting of the stockholders called in accordance with the Bylaws and may not be effected by written consent in lieu of a meeting.</w:t>
      </w:r>
    </w:p>
    <w:p>
      <w:pPr>
        <w:spacing w:after="0" w:line="176" w:lineRule="exact"/>
        <w:rPr>
          <w:sz w:val="20"/>
          <w:szCs w:val="20"/>
          <w:color w:val="auto"/>
        </w:rPr>
      </w:pPr>
    </w:p>
    <w:p>
      <w:pPr>
        <w:ind w:right="140" w:firstLine="440"/>
        <w:spacing w:after="0" w:line="281" w:lineRule="auto"/>
        <w:rPr>
          <w:sz w:val="20"/>
          <w:szCs w:val="20"/>
          <w:color w:val="auto"/>
        </w:rPr>
      </w:pPr>
      <w:r>
        <w:rPr>
          <w:rFonts w:ascii="Arial" w:cs="Arial" w:eastAsia="Arial" w:hAnsi="Arial"/>
          <w:sz w:val="17"/>
          <w:szCs w:val="17"/>
          <w:b w:val="1"/>
          <w:bCs w:val="1"/>
          <w:color w:val="auto"/>
        </w:rPr>
        <w:t>NINTH</w:t>
      </w:r>
      <w:r>
        <w:rPr>
          <w:rFonts w:ascii="Arial" w:cs="Arial" w:eastAsia="Arial" w:hAnsi="Arial"/>
          <w:sz w:val="17"/>
          <w:szCs w:val="17"/>
          <w:color w:val="auto"/>
        </w:rPr>
        <w:t>: Except as otherwise required by law and subject to the terms of any series of Preferred Stock, special meetings of stockholders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purpose or purposes may be called at any time by the majority of the Whole Board, the Chairman of the Board or the Chief Executive Officer of the Corporation, and may not be called by stockholders or any other person or persons. Business transacted at any special meeting of stockholders shall be limited to matters relating to the purpose or purposes stated in the notice for such meeting.</w:t>
      </w:r>
    </w:p>
    <w:p>
      <w:pPr>
        <w:spacing w:after="0" w:line="165" w:lineRule="exact"/>
        <w:rPr>
          <w:sz w:val="20"/>
          <w:szCs w:val="20"/>
          <w:color w:val="auto"/>
        </w:rPr>
      </w:pPr>
    </w:p>
    <w:p>
      <w:pPr>
        <w:ind w:right="200" w:firstLine="440"/>
        <w:spacing w:after="0" w:line="272" w:lineRule="auto"/>
        <w:rPr>
          <w:sz w:val="20"/>
          <w:szCs w:val="20"/>
          <w:color w:val="auto"/>
        </w:rPr>
      </w:pPr>
      <w:r>
        <w:rPr>
          <w:rFonts w:ascii="Arial" w:cs="Arial" w:eastAsia="Arial" w:hAnsi="Arial"/>
          <w:sz w:val="17"/>
          <w:szCs w:val="17"/>
          <w:b w:val="1"/>
          <w:bCs w:val="1"/>
          <w:color w:val="auto"/>
        </w:rPr>
        <w:t>TENTH</w:t>
      </w:r>
      <w:r>
        <w:rPr>
          <w:rFonts w:ascii="Arial" w:cs="Arial" w:eastAsia="Arial" w:hAnsi="Arial"/>
          <w:sz w:val="17"/>
          <w:szCs w:val="17"/>
          <w:color w:val="auto"/>
        </w:rPr>
        <w:t>: If any provision or provisions of this Certificate of Incorporation shall be held to be invalid, illegal or unenforceable as applied to any</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8" w:name="page9"/>
    <w:bookmarkEnd w:id="8"/>
    <w:p>
      <w:pPr>
        <w:ind w:right="2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Corporation reserves the right at any time from time to time to amend, alter, change or repeal any provision contained in this Certificate of Incorporation, and any other provisions authorized by the DGCL may be added or inserted, in the manner now or hereafter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 TENTH. Notwithstanding any other provision of this Certificate of Incorporation or any provision of law that might otherwise permit a lesser vote or no vote, but in addition to any affirmative vote of the holders of any series of Preferred Stock required by law or by this Certificate of Incorporation, the affirmative vote of the holders of at least 66 2/3% in voting power of the outstanding stock of the Corporation entitled to vote thereon, voting together as a single class, shall be required to amend, alter, change or repeal, or adopt any provision inconsistent with, any of Parts A. and B. of ARTICLE FOURTH, Article FIFTH, Article SEVENTH, Article EIGHTH, Article NINTH, Article ELEVENTH, Article TWELFTH, and this Article TENTH, and in each case, the definition of any capitalized terms used therein or any successor provision (including, without limitation, any such article or section as renumbered as a result of any amendment, alteration, change, repeal or adoption of any other provision of this Certificate of Incorporation). Any amendment, repeal or modification of any of Article SEVENTH, and this sentence shall not adversely affect any right or protection of any person existing thereunder with respect to any act or omission occurring prior to such repeal or modification.</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ELEVENTH</w:t>
      </w:r>
      <w:r>
        <w:rPr>
          <w:rFonts w:ascii="Arial" w:cs="Arial" w:eastAsia="Arial" w:hAnsi="Arial"/>
          <w:sz w:val="18"/>
          <w:szCs w:val="18"/>
          <w:color w:val="auto"/>
        </w:rPr>
        <w:t>: In furtherance and not in limitation of the powers conferred upon it by law, the Board is expressly authorized and empowered to adopt,</w:t>
      </w:r>
      <w:r>
        <w:rPr>
          <w:rFonts w:ascii="Arial" w:cs="Arial" w:eastAsia="Arial" w:hAnsi="Arial"/>
          <w:sz w:val="18"/>
          <w:szCs w:val="18"/>
          <w:b w:val="1"/>
          <w:bCs w:val="1"/>
          <w:color w:val="auto"/>
        </w:rPr>
        <w:t xml:space="preserve"> </w:t>
      </w:r>
      <w:r>
        <w:rPr>
          <w:rFonts w:ascii="Arial" w:cs="Arial" w:eastAsia="Arial" w:hAnsi="Arial"/>
          <w:sz w:val="18"/>
          <w:szCs w:val="18"/>
          <w:color w:val="auto"/>
        </w:rPr>
        <w:t>amend and repeal the Bylaws by the affirmative vote of a majority of the Whole Board. The stockholders shall also have power to adopt, amend or repeal the Bylaws; provided, however, that,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or the Bylaws, the affirmative vote of the holders of at least 66 2/3% in voting power of the outstanding shares of the stock of the Corporation entitled to vote thereon, voting together as a single class, shall be required for the stockholders to adopt, amend or repeal any provision of the Bylaws.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TWELFTH</w:t>
      </w:r>
      <w:r>
        <w:rPr>
          <w:rFonts w:ascii="Arial" w:cs="Arial" w:eastAsia="Arial" w:hAnsi="Arial"/>
          <w:sz w:val="18"/>
          <w:szCs w:val="18"/>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Forum Selection</w:t>
      </w:r>
      <w:r>
        <w:rPr>
          <w:rFonts w:ascii="Arial" w:cs="Arial" w:eastAsia="Arial" w:hAnsi="Arial"/>
          <w:sz w:val="18"/>
          <w:szCs w:val="18"/>
          <w:color w:val="auto"/>
        </w:rPr>
        <w:t>.</w:t>
      </w:r>
    </w:p>
    <w:p>
      <w:pPr>
        <w:spacing w:after="0" w:line="225" w:lineRule="exact"/>
        <w:rPr>
          <w:sz w:val="20"/>
          <w:szCs w:val="20"/>
          <w:color w:val="auto"/>
        </w:rPr>
      </w:pPr>
    </w:p>
    <w:p>
      <w:pPr>
        <w:ind w:right="160" w:firstLine="1428"/>
        <w:spacing w:after="0" w:line="254" w:lineRule="auto"/>
        <w:tabs>
          <w:tab w:leader="none" w:pos="1677"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Court of Chancery of the State of Delaware (or, if the Court of Chancery does not have jurisdiction, the state or federal courts in the State of Delaware) shall, to the fullest extent permitted by law, be the sole and exclusive forum for (1) any derivative action or proceeding brought on behalf of the Corporation, (2) any action asserting a claim of breach of a fiduciary duty owed by any current or former director, officer, stockholder or other employee of the Corporation to the Corporation or the Corporation’s stockholders, (3) any action arising pursuant to any provision of the DGCL or this Certificate of Incorporation or the Bylaws (as the foregoing may be amended, modified, supplemented and/or restated from time to time), or (4) any action asserting a claim governed by the internal affairs doctrine.</w:t>
      </w:r>
    </w:p>
    <w:p>
      <w:pPr>
        <w:spacing w:after="0" w:line="194" w:lineRule="exact"/>
        <w:rPr>
          <w:rFonts w:ascii="Arial" w:cs="Arial" w:eastAsia="Arial" w:hAnsi="Arial"/>
          <w:sz w:val="18"/>
          <w:szCs w:val="18"/>
          <w:color w:val="auto"/>
        </w:rPr>
      </w:pPr>
    </w:p>
    <w:p>
      <w:pPr>
        <w:ind w:right="40" w:firstLine="1428"/>
        <w:spacing w:after="0" w:line="263" w:lineRule="auto"/>
        <w:tabs>
          <w:tab w:leader="none" w:pos="1687"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9" w:name="page10"/>
    <w:bookmarkEnd w:id="9"/>
    <w:p>
      <w:pPr>
        <w:ind w:right="320" w:firstLine="987"/>
        <w:spacing w:after="0" w:line="277" w:lineRule="auto"/>
        <w:tabs>
          <w:tab w:leader="none" w:pos="1236" w:val="left"/>
        </w:tabs>
        <w:numPr>
          <w:ilvl w:val="1"/>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person or entity purchasing or otherwise acquiring or holding any interest in shares of capital stock of the Corporation shall be deemed to have notice of and consented to the provisions of this Article TWELFTH.</w:t>
      </w:r>
    </w:p>
    <w:p>
      <w:pPr>
        <w:spacing w:after="0" w:line="170" w:lineRule="exact"/>
        <w:rPr>
          <w:rFonts w:ascii="Arial" w:cs="Arial" w:eastAsia="Arial" w:hAnsi="Arial"/>
          <w:sz w:val="18"/>
          <w:szCs w:val="18"/>
          <w:color w:val="auto"/>
        </w:rPr>
      </w:pPr>
    </w:p>
    <w:p>
      <w:pPr>
        <w:ind w:firstLine="436"/>
        <w:spacing w:after="0" w:line="296" w:lineRule="auto"/>
        <w:tabs>
          <w:tab w:leader="none" w:pos="65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Personal Jurisdiction</w:t>
      </w:r>
      <w:r>
        <w:rPr>
          <w:rFonts w:ascii="Arial" w:cs="Arial" w:eastAsia="Arial" w:hAnsi="Arial"/>
          <w:sz w:val="16"/>
          <w:szCs w:val="16"/>
          <w:color w:val="auto"/>
        </w:rPr>
        <w:t>. If any action the subject matter of which is within the scope of Section A immediately above is filed in a court other than a court located within the State of Delaware (a “</w:t>
      </w:r>
      <w:r>
        <w:rPr>
          <w:rFonts w:ascii="Arial" w:cs="Arial" w:eastAsia="Arial" w:hAnsi="Arial"/>
          <w:sz w:val="16"/>
          <w:szCs w:val="16"/>
          <w:b w:val="1"/>
          <w:bCs w:val="1"/>
          <w:color w:val="auto"/>
        </w:rPr>
        <w:t>Foreign Action</w:t>
      </w:r>
      <w:r>
        <w:rPr>
          <w:rFonts w:ascii="Arial" w:cs="Arial" w:eastAsia="Arial" w:hAnsi="Arial"/>
          <w:sz w:val="16"/>
          <w:szCs w:val="16"/>
          <w:color w:val="auto"/>
        </w:rPr>
        <w:t>”) in the name of any stockholder, such stockholder shall be deemed to have consented to (i) the personal jurisdiction of the applicable state and federal courts located within the State of Delaware in connection with any action brought in any such court to enforce Section A immediately above (an “</w:t>
      </w:r>
      <w:r>
        <w:rPr>
          <w:rFonts w:ascii="Arial" w:cs="Arial" w:eastAsia="Arial" w:hAnsi="Arial"/>
          <w:sz w:val="16"/>
          <w:szCs w:val="16"/>
          <w:b w:val="1"/>
          <w:bCs w:val="1"/>
          <w:color w:val="auto"/>
        </w:rPr>
        <w:t>FSC Enforcement Action</w:t>
      </w:r>
      <w:r>
        <w:rPr>
          <w:rFonts w:ascii="Arial" w:cs="Arial" w:eastAsia="Arial" w:hAnsi="Arial"/>
          <w:sz w:val="16"/>
          <w:szCs w:val="16"/>
          <w:color w:val="auto"/>
        </w:rPr>
        <w:t>”) and (ii) having service of process made upon such stockholder in any such FSC Enforcement Action by service upon such stockholder’s counsel in the Foreign Action as agent for such stockholder.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0" w:name="page11"/>
    <w:bookmarkEnd w:id="1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undersigned has executed this Amended and Restated Certificate of Incorporation as of this 20th day of October,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254"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Bobak Azamian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Bobak Azamian, M.D., Ph.D.</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Tarsus Pharmaceuticals, Inc.</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Amended and Restated Bylaws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(amended and restated on October 8, 2020 and effective as of the</w:t>
      </w:r>
    </w:p>
    <w:p>
      <w:pPr>
        <w:spacing w:after="0" w:line="46"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closing of this corporation’s initial public offering)</w:t>
      </w:r>
    </w:p>
    <w:p>
      <w:pPr>
        <w:sectPr>
          <w:pgSz w:w="11900" w:h="16838" w:orient="portrait"/>
          <w:cols w:equalWidth="0" w:num="1">
            <w:col w:w="10020"/>
          </w:cols>
          <w:pgMar w:left="1440" w:top="121"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7480" w:type="dxa"/>
            <w:vAlign w:val="bottom"/>
          </w:tcPr>
          <w:p>
            <w:pPr>
              <w:ind w:left="3880"/>
              <w:spacing w:after="0"/>
              <w:rPr>
                <w:sz w:val="20"/>
                <w:szCs w:val="20"/>
                <w:color w:val="auto"/>
              </w:rPr>
            </w:pPr>
            <w:r>
              <w:rPr>
                <w:rFonts w:ascii="Arial" w:cs="Arial" w:eastAsia="Arial" w:hAnsi="Arial"/>
                <w:sz w:val="18"/>
                <w:szCs w:val="18"/>
                <w:b w:val="1"/>
                <w:bCs w:val="1"/>
                <w:color w:val="auto"/>
              </w:rPr>
              <w:t>Table of Contents</w:t>
            </w:r>
          </w:p>
        </w:tc>
        <w:tc>
          <w:tcPr>
            <w:tcW w:w="2540" w:type="dxa"/>
            <w:vAlign w:val="bottom"/>
          </w:tcPr>
          <w:p>
            <w:pPr>
              <w:spacing w:after="0"/>
              <w:rPr>
                <w:sz w:val="20"/>
                <w:szCs w:val="20"/>
                <w:color w:val="auto"/>
              </w:rPr>
            </w:pPr>
          </w:p>
        </w:tc>
      </w:tr>
      <w:tr>
        <w:trPr>
          <w:trHeight w:val="377"/>
        </w:trPr>
        <w:tc>
          <w:tcPr>
            <w:tcW w:w="9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Article I Stockholders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1.1</w:t>
            </w:r>
          </w:p>
        </w:tc>
        <w:tc>
          <w:tcPr>
            <w:tcW w:w="7480" w:type="dxa"/>
            <w:vAlign w:val="bottom"/>
          </w:tcPr>
          <w:p>
            <w:pPr>
              <w:ind w:left="280"/>
              <w:spacing w:after="0"/>
              <w:rPr>
                <w:sz w:val="20"/>
                <w:szCs w:val="20"/>
                <w:color w:val="auto"/>
              </w:rPr>
            </w:pPr>
            <w:r>
              <w:rPr>
                <w:rFonts w:ascii="Arial" w:cs="Arial" w:eastAsia="Arial" w:hAnsi="Arial"/>
                <w:sz w:val="18"/>
                <w:szCs w:val="18"/>
                <w:color w:val="auto"/>
              </w:rPr>
              <w:t>Place of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1.2</w:t>
            </w:r>
          </w:p>
        </w:tc>
        <w:tc>
          <w:tcPr>
            <w:tcW w:w="7480" w:type="dxa"/>
            <w:vAlign w:val="bottom"/>
          </w:tcPr>
          <w:p>
            <w:pPr>
              <w:ind w:left="280"/>
              <w:spacing w:after="0"/>
              <w:rPr>
                <w:sz w:val="20"/>
                <w:szCs w:val="20"/>
                <w:color w:val="auto"/>
              </w:rPr>
            </w:pPr>
            <w:r>
              <w:rPr>
                <w:rFonts w:ascii="Arial" w:cs="Arial" w:eastAsia="Arial" w:hAnsi="Arial"/>
                <w:sz w:val="18"/>
                <w:szCs w:val="18"/>
                <w:color w:val="auto"/>
              </w:rPr>
              <w:t>Annual Meeting</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1.3</w:t>
            </w:r>
          </w:p>
        </w:tc>
        <w:tc>
          <w:tcPr>
            <w:tcW w:w="7480" w:type="dxa"/>
            <w:vAlign w:val="bottom"/>
          </w:tcPr>
          <w:p>
            <w:pPr>
              <w:ind w:left="280"/>
              <w:spacing w:after="0"/>
              <w:rPr>
                <w:sz w:val="20"/>
                <w:szCs w:val="20"/>
                <w:color w:val="auto"/>
              </w:rPr>
            </w:pPr>
            <w:r>
              <w:rPr>
                <w:rFonts w:ascii="Arial" w:cs="Arial" w:eastAsia="Arial" w:hAnsi="Arial"/>
                <w:sz w:val="18"/>
                <w:szCs w:val="18"/>
                <w:color w:val="auto"/>
              </w:rPr>
              <w:t>Special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1.4</w:t>
            </w:r>
          </w:p>
        </w:tc>
        <w:tc>
          <w:tcPr>
            <w:tcW w:w="7480" w:type="dxa"/>
            <w:vAlign w:val="bottom"/>
          </w:tcPr>
          <w:p>
            <w:pPr>
              <w:ind w:left="280"/>
              <w:spacing w:after="0"/>
              <w:rPr>
                <w:sz w:val="20"/>
                <w:szCs w:val="20"/>
                <w:color w:val="auto"/>
              </w:rPr>
            </w:pPr>
            <w:r>
              <w:rPr>
                <w:rFonts w:ascii="Arial" w:cs="Arial" w:eastAsia="Arial" w:hAnsi="Arial"/>
                <w:sz w:val="18"/>
                <w:szCs w:val="18"/>
                <w:color w:val="auto"/>
              </w:rPr>
              <w:t>Notice of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1.5</w:t>
            </w:r>
          </w:p>
        </w:tc>
        <w:tc>
          <w:tcPr>
            <w:tcW w:w="7480" w:type="dxa"/>
            <w:vAlign w:val="bottom"/>
          </w:tcPr>
          <w:p>
            <w:pPr>
              <w:ind w:left="280"/>
              <w:spacing w:after="0"/>
              <w:rPr>
                <w:sz w:val="20"/>
                <w:szCs w:val="20"/>
                <w:color w:val="auto"/>
              </w:rPr>
            </w:pPr>
            <w:r>
              <w:rPr>
                <w:rFonts w:ascii="Arial" w:cs="Arial" w:eastAsia="Arial" w:hAnsi="Arial"/>
                <w:sz w:val="18"/>
                <w:szCs w:val="18"/>
                <w:color w:val="auto"/>
              </w:rPr>
              <w:t>Voting List</w:t>
            </w:r>
          </w:p>
        </w:tc>
        <w:tc>
          <w:tcPr>
            <w:tcW w:w="2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1.6</w:t>
            </w:r>
          </w:p>
        </w:tc>
        <w:tc>
          <w:tcPr>
            <w:tcW w:w="7480" w:type="dxa"/>
            <w:vAlign w:val="bottom"/>
          </w:tcPr>
          <w:p>
            <w:pPr>
              <w:ind w:left="280"/>
              <w:spacing w:after="0"/>
              <w:rPr>
                <w:sz w:val="20"/>
                <w:szCs w:val="20"/>
                <w:color w:val="auto"/>
              </w:rPr>
            </w:pPr>
            <w:r>
              <w:rPr>
                <w:rFonts w:ascii="Arial" w:cs="Arial" w:eastAsia="Arial" w:hAnsi="Arial"/>
                <w:sz w:val="18"/>
                <w:szCs w:val="18"/>
                <w:color w:val="auto"/>
              </w:rPr>
              <w:t>Quorum</w:t>
            </w:r>
          </w:p>
        </w:tc>
        <w:tc>
          <w:tcPr>
            <w:tcW w:w="2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1.7</w:t>
            </w:r>
          </w:p>
        </w:tc>
        <w:tc>
          <w:tcPr>
            <w:tcW w:w="7480" w:type="dxa"/>
            <w:vAlign w:val="bottom"/>
          </w:tcPr>
          <w:p>
            <w:pPr>
              <w:ind w:left="280"/>
              <w:spacing w:after="0"/>
              <w:rPr>
                <w:sz w:val="20"/>
                <w:szCs w:val="20"/>
                <w:color w:val="auto"/>
              </w:rPr>
            </w:pPr>
            <w:r>
              <w:rPr>
                <w:rFonts w:ascii="Arial" w:cs="Arial" w:eastAsia="Arial" w:hAnsi="Arial"/>
                <w:sz w:val="18"/>
                <w:szCs w:val="18"/>
                <w:color w:val="auto"/>
              </w:rPr>
              <w:t>Adjournments</w:t>
            </w:r>
          </w:p>
        </w:tc>
        <w:tc>
          <w:tcPr>
            <w:tcW w:w="2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1.8</w:t>
            </w:r>
          </w:p>
        </w:tc>
        <w:tc>
          <w:tcPr>
            <w:tcW w:w="7480" w:type="dxa"/>
            <w:vAlign w:val="bottom"/>
          </w:tcPr>
          <w:p>
            <w:pPr>
              <w:ind w:left="280"/>
              <w:spacing w:after="0"/>
              <w:rPr>
                <w:sz w:val="20"/>
                <w:szCs w:val="20"/>
                <w:color w:val="auto"/>
              </w:rPr>
            </w:pPr>
            <w:r>
              <w:rPr>
                <w:rFonts w:ascii="Arial" w:cs="Arial" w:eastAsia="Arial" w:hAnsi="Arial"/>
                <w:sz w:val="18"/>
                <w:szCs w:val="18"/>
                <w:color w:val="auto"/>
              </w:rPr>
              <w:t>Voting and Proxies</w:t>
            </w:r>
          </w:p>
        </w:tc>
        <w:tc>
          <w:tcPr>
            <w:tcW w:w="2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1.9</w:t>
            </w:r>
          </w:p>
        </w:tc>
        <w:tc>
          <w:tcPr>
            <w:tcW w:w="7480" w:type="dxa"/>
            <w:vAlign w:val="bottom"/>
          </w:tcPr>
          <w:p>
            <w:pPr>
              <w:ind w:left="280"/>
              <w:spacing w:after="0"/>
              <w:rPr>
                <w:sz w:val="20"/>
                <w:szCs w:val="20"/>
                <w:color w:val="auto"/>
              </w:rPr>
            </w:pPr>
            <w:r>
              <w:rPr>
                <w:rFonts w:ascii="Arial" w:cs="Arial" w:eastAsia="Arial" w:hAnsi="Arial"/>
                <w:sz w:val="18"/>
                <w:szCs w:val="18"/>
                <w:color w:val="auto"/>
              </w:rPr>
              <w:t>Action at Meeting</w:t>
            </w:r>
          </w:p>
        </w:tc>
        <w:tc>
          <w:tcPr>
            <w:tcW w:w="2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1.10</w:t>
            </w:r>
          </w:p>
        </w:tc>
        <w:tc>
          <w:tcPr>
            <w:tcW w:w="7480" w:type="dxa"/>
            <w:vAlign w:val="bottom"/>
          </w:tcPr>
          <w:p>
            <w:pPr>
              <w:ind w:left="280"/>
              <w:spacing w:after="0"/>
              <w:rPr>
                <w:sz w:val="20"/>
                <w:szCs w:val="20"/>
                <w:color w:val="auto"/>
              </w:rPr>
            </w:pPr>
            <w:r>
              <w:rPr>
                <w:rFonts w:ascii="Arial" w:cs="Arial" w:eastAsia="Arial" w:hAnsi="Arial"/>
                <w:sz w:val="18"/>
                <w:szCs w:val="18"/>
                <w:color w:val="auto"/>
              </w:rPr>
              <w:t>Nomination of Directors</w:t>
            </w:r>
          </w:p>
        </w:tc>
        <w:tc>
          <w:tcPr>
            <w:tcW w:w="2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1.11</w:t>
            </w:r>
          </w:p>
        </w:tc>
        <w:tc>
          <w:tcPr>
            <w:tcW w:w="7480" w:type="dxa"/>
            <w:vAlign w:val="bottom"/>
          </w:tcPr>
          <w:p>
            <w:pPr>
              <w:ind w:left="280"/>
              <w:spacing w:after="0"/>
              <w:rPr>
                <w:sz w:val="20"/>
                <w:szCs w:val="20"/>
                <w:color w:val="auto"/>
              </w:rPr>
            </w:pPr>
            <w:r>
              <w:rPr>
                <w:rFonts w:ascii="Arial" w:cs="Arial" w:eastAsia="Arial" w:hAnsi="Arial"/>
                <w:sz w:val="18"/>
                <w:szCs w:val="18"/>
                <w:color w:val="auto"/>
              </w:rPr>
              <w:t>Notice of Business at Annual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1.12</w:t>
            </w:r>
          </w:p>
        </w:tc>
        <w:tc>
          <w:tcPr>
            <w:tcW w:w="7480" w:type="dxa"/>
            <w:vAlign w:val="bottom"/>
          </w:tcPr>
          <w:p>
            <w:pPr>
              <w:ind w:left="280"/>
              <w:spacing w:after="0"/>
              <w:rPr>
                <w:sz w:val="20"/>
                <w:szCs w:val="20"/>
                <w:color w:val="auto"/>
              </w:rPr>
            </w:pPr>
            <w:r>
              <w:rPr>
                <w:rFonts w:ascii="Arial" w:cs="Arial" w:eastAsia="Arial" w:hAnsi="Arial"/>
                <w:sz w:val="18"/>
                <w:szCs w:val="18"/>
                <w:color w:val="auto"/>
              </w:rPr>
              <w:t>Conduct of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940" w:type="dxa"/>
            <w:vAlign w:val="bottom"/>
          </w:tcPr>
          <w:p>
            <w:pPr>
              <w:ind w:left="360"/>
              <w:spacing w:after="0"/>
              <w:rPr>
                <w:sz w:val="20"/>
                <w:szCs w:val="20"/>
                <w:color w:val="auto"/>
              </w:rPr>
            </w:pPr>
            <w:r>
              <w:rPr>
                <w:rFonts w:ascii="Arial" w:cs="Arial" w:eastAsia="Arial" w:hAnsi="Arial"/>
                <w:sz w:val="18"/>
                <w:szCs w:val="18"/>
                <w:color w:val="auto"/>
              </w:rPr>
              <w:t>1.13</w:t>
            </w:r>
          </w:p>
        </w:tc>
        <w:tc>
          <w:tcPr>
            <w:tcW w:w="7480" w:type="dxa"/>
            <w:vAlign w:val="bottom"/>
          </w:tcPr>
          <w:p>
            <w:pPr>
              <w:ind w:left="280"/>
              <w:spacing w:after="0"/>
              <w:rPr>
                <w:sz w:val="20"/>
                <w:szCs w:val="20"/>
                <w:color w:val="auto"/>
              </w:rPr>
            </w:pPr>
            <w:r>
              <w:rPr>
                <w:rFonts w:ascii="Arial" w:cs="Arial" w:eastAsia="Arial" w:hAnsi="Arial"/>
                <w:sz w:val="18"/>
                <w:szCs w:val="18"/>
                <w:color w:val="auto"/>
              </w:rPr>
              <w:t>Delivery to the Corporation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8420" w:type="dxa"/>
            <w:vAlign w:val="bottom"/>
            <w:gridSpan w:val="2"/>
          </w:tcPr>
          <w:p>
            <w:pPr>
              <w:spacing w:after="0"/>
              <w:rPr>
                <w:sz w:val="20"/>
                <w:szCs w:val="20"/>
                <w:color w:val="auto"/>
              </w:rPr>
            </w:pPr>
            <w:r>
              <w:rPr>
                <w:rFonts w:ascii="Arial" w:cs="Arial" w:eastAsia="Arial" w:hAnsi="Arial"/>
                <w:sz w:val="18"/>
                <w:szCs w:val="18"/>
                <w:color w:val="auto"/>
              </w:rPr>
              <w:t>Article II Directors</w:t>
            </w: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2.1</w:t>
            </w:r>
          </w:p>
        </w:tc>
        <w:tc>
          <w:tcPr>
            <w:tcW w:w="7480" w:type="dxa"/>
            <w:vAlign w:val="bottom"/>
          </w:tcPr>
          <w:p>
            <w:pPr>
              <w:ind w:left="280"/>
              <w:spacing w:after="0"/>
              <w:rPr>
                <w:sz w:val="20"/>
                <w:szCs w:val="20"/>
                <w:color w:val="auto"/>
              </w:rPr>
            </w:pPr>
            <w:r>
              <w:rPr>
                <w:rFonts w:ascii="Arial" w:cs="Arial" w:eastAsia="Arial" w:hAnsi="Arial"/>
                <w:sz w:val="18"/>
                <w:szCs w:val="18"/>
                <w:color w:val="auto"/>
              </w:rPr>
              <w:t>General Powers</w:t>
            </w: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2.2</w:t>
            </w:r>
          </w:p>
        </w:tc>
        <w:tc>
          <w:tcPr>
            <w:tcW w:w="7480" w:type="dxa"/>
            <w:vAlign w:val="bottom"/>
          </w:tcPr>
          <w:p>
            <w:pPr>
              <w:ind w:left="280"/>
              <w:spacing w:after="0"/>
              <w:rPr>
                <w:sz w:val="20"/>
                <w:szCs w:val="20"/>
                <w:color w:val="auto"/>
              </w:rPr>
            </w:pPr>
            <w:r>
              <w:rPr>
                <w:rFonts w:ascii="Arial" w:cs="Arial" w:eastAsia="Arial" w:hAnsi="Arial"/>
                <w:sz w:val="18"/>
                <w:szCs w:val="18"/>
                <w:color w:val="auto"/>
              </w:rPr>
              <w:t>Number, Election and Qualification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2.3</w:t>
            </w:r>
          </w:p>
        </w:tc>
        <w:tc>
          <w:tcPr>
            <w:tcW w:w="7480" w:type="dxa"/>
            <w:vAlign w:val="bottom"/>
          </w:tcPr>
          <w:p>
            <w:pPr>
              <w:ind w:left="280"/>
              <w:spacing w:after="0"/>
              <w:rPr>
                <w:sz w:val="20"/>
                <w:szCs w:val="20"/>
                <w:color w:val="auto"/>
              </w:rPr>
            </w:pPr>
            <w:r>
              <w:rPr>
                <w:rFonts w:ascii="Arial" w:cs="Arial" w:eastAsia="Arial" w:hAnsi="Arial"/>
                <w:sz w:val="18"/>
                <w:szCs w:val="18"/>
                <w:color w:val="auto"/>
              </w:rPr>
              <w:t>Chairman of the Board; Vice Chairman of the Board</w:t>
            </w: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2.4</w:t>
            </w:r>
          </w:p>
        </w:tc>
        <w:tc>
          <w:tcPr>
            <w:tcW w:w="7480" w:type="dxa"/>
            <w:vAlign w:val="bottom"/>
          </w:tcPr>
          <w:p>
            <w:pPr>
              <w:ind w:left="280"/>
              <w:spacing w:after="0"/>
              <w:rPr>
                <w:sz w:val="20"/>
                <w:szCs w:val="20"/>
                <w:color w:val="auto"/>
              </w:rPr>
            </w:pPr>
            <w:r>
              <w:rPr>
                <w:rFonts w:ascii="Arial" w:cs="Arial" w:eastAsia="Arial" w:hAnsi="Arial"/>
                <w:sz w:val="18"/>
                <w:szCs w:val="18"/>
                <w:color w:val="auto"/>
              </w:rPr>
              <w:t>Classes of Directors</w:t>
            </w: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2.5</w:t>
            </w:r>
          </w:p>
        </w:tc>
        <w:tc>
          <w:tcPr>
            <w:tcW w:w="7480" w:type="dxa"/>
            <w:vAlign w:val="bottom"/>
          </w:tcPr>
          <w:p>
            <w:pPr>
              <w:ind w:left="280"/>
              <w:spacing w:after="0"/>
              <w:rPr>
                <w:sz w:val="20"/>
                <w:szCs w:val="20"/>
                <w:color w:val="auto"/>
              </w:rPr>
            </w:pPr>
            <w:r>
              <w:rPr>
                <w:rFonts w:ascii="Arial" w:cs="Arial" w:eastAsia="Arial" w:hAnsi="Arial"/>
                <w:sz w:val="18"/>
                <w:szCs w:val="18"/>
                <w:color w:val="auto"/>
              </w:rPr>
              <w:t>Terms of Office</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2.6</w:t>
            </w:r>
          </w:p>
        </w:tc>
        <w:tc>
          <w:tcPr>
            <w:tcW w:w="7480" w:type="dxa"/>
            <w:vAlign w:val="bottom"/>
          </w:tcPr>
          <w:p>
            <w:pPr>
              <w:ind w:left="280"/>
              <w:spacing w:after="0"/>
              <w:rPr>
                <w:sz w:val="20"/>
                <w:szCs w:val="20"/>
                <w:color w:val="auto"/>
              </w:rPr>
            </w:pPr>
            <w:r>
              <w:rPr>
                <w:rFonts w:ascii="Arial" w:cs="Arial" w:eastAsia="Arial" w:hAnsi="Arial"/>
                <w:sz w:val="18"/>
                <w:szCs w:val="18"/>
                <w:color w:val="auto"/>
              </w:rPr>
              <w:t>Quorum</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2.7</w:t>
            </w:r>
          </w:p>
        </w:tc>
        <w:tc>
          <w:tcPr>
            <w:tcW w:w="7480" w:type="dxa"/>
            <w:vAlign w:val="bottom"/>
          </w:tcPr>
          <w:p>
            <w:pPr>
              <w:ind w:left="280"/>
              <w:spacing w:after="0"/>
              <w:rPr>
                <w:sz w:val="20"/>
                <w:szCs w:val="20"/>
                <w:color w:val="auto"/>
              </w:rPr>
            </w:pPr>
            <w:r>
              <w:rPr>
                <w:rFonts w:ascii="Arial" w:cs="Arial" w:eastAsia="Arial" w:hAnsi="Arial"/>
                <w:sz w:val="18"/>
                <w:szCs w:val="18"/>
                <w:color w:val="auto"/>
              </w:rPr>
              <w:t>Action at Meeting</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2.8</w:t>
            </w:r>
          </w:p>
        </w:tc>
        <w:tc>
          <w:tcPr>
            <w:tcW w:w="7480" w:type="dxa"/>
            <w:vAlign w:val="bottom"/>
          </w:tcPr>
          <w:p>
            <w:pPr>
              <w:ind w:left="280"/>
              <w:spacing w:after="0"/>
              <w:rPr>
                <w:sz w:val="20"/>
                <w:szCs w:val="20"/>
                <w:color w:val="auto"/>
              </w:rPr>
            </w:pPr>
            <w:r>
              <w:rPr>
                <w:rFonts w:ascii="Arial" w:cs="Arial" w:eastAsia="Arial" w:hAnsi="Arial"/>
                <w:sz w:val="18"/>
                <w:szCs w:val="18"/>
                <w:color w:val="auto"/>
              </w:rPr>
              <w:t>Removal</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2.9</w:t>
            </w:r>
          </w:p>
        </w:tc>
        <w:tc>
          <w:tcPr>
            <w:tcW w:w="7480" w:type="dxa"/>
            <w:vAlign w:val="bottom"/>
          </w:tcPr>
          <w:p>
            <w:pPr>
              <w:ind w:left="280"/>
              <w:spacing w:after="0"/>
              <w:rPr>
                <w:sz w:val="20"/>
                <w:szCs w:val="20"/>
                <w:color w:val="auto"/>
              </w:rPr>
            </w:pPr>
            <w:r>
              <w:rPr>
                <w:rFonts w:ascii="Arial" w:cs="Arial" w:eastAsia="Arial" w:hAnsi="Arial"/>
                <w:sz w:val="18"/>
                <w:szCs w:val="18"/>
                <w:color w:val="auto"/>
              </w:rPr>
              <w:t>Vacancies</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2.10</w:t>
            </w:r>
          </w:p>
        </w:tc>
        <w:tc>
          <w:tcPr>
            <w:tcW w:w="7480" w:type="dxa"/>
            <w:vAlign w:val="bottom"/>
          </w:tcPr>
          <w:p>
            <w:pPr>
              <w:ind w:left="280"/>
              <w:spacing w:after="0"/>
              <w:rPr>
                <w:sz w:val="20"/>
                <w:szCs w:val="20"/>
                <w:color w:val="auto"/>
              </w:rPr>
            </w:pPr>
            <w:r>
              <w:rPr>
                <w:rFonts w:ascii="Arial" w:cs="Arial" w:eastAsia="Arial" w:hAnsi="Arial"/>
                <w:sz w:val="18"/>
                <w:szCs w:val="18"/>
                <w:color w:val="auto"/>
              </w:rPr>
              <w:t>Resignation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2.11</w:t>
            </w:r>
          </w:p>
        </w:tc>
        <w:tc>
          <w:tcPr>
            <w:tcW w:w="7480" w:type="dxa"/>
            <w:vAlign w:val="bottom"/>
          </w:tcPr>
          <w:p>
            <w:pPr>
              <w:ind w:left="280"/>
              <w:spacing w:after="0"/>
              <w:rPr>
                <w:sz w:val="20"/>
                <w:szCs w:val="20"/>
                <w:color w:val="auto"/>
              </w:rPr>
            </w:pPr>
            <w:r>
              <w:rPr>
                <w:rFonts w:ascii="Arial" w:cs="Arial" w:eastAsia="Arial" w:hAnsi="Arial"/>
                <w:sz w:val="18"/>
                <w:szCs w:val="18"/>
                <w:color w:val="auto"/>
              </w:rPr>
              <w:t>Regular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2.12</w:t>
            </w:r>
          </w:p>
        </w:tc>
        <w:tc>
          <w:tcPr>
            <w:tcW w:w="7480" w:type="dxa"/>
            <w:vAlign w:val="bottom"/>
          </w:tcPr>
          <w:p>
            <w:pPr>
              <w:ind w:left="280"/>
              <w:spacing w:after="0"/>
              <w:rPr>
                <w:sz w:val="20"/>
                <w:szCs w:val="20"/>
                <w:color w:val="auto"/>
              </w:rPr>
            </w:pPr>
            <w:r>
              <w:rPr>
                <w:rFonts w:ascii="Arial" w:cs="Arial" w:eastAsia="Arial" w:hAnsi="Arial"/>
                <w:sz w:val="18"/>
                <w:szCs w:val="18"/>
                <w:color w:val="auto"/>
              </w:rPr>
              <w:t>Special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2.13</w:t>
            </w:r>
          </w:p>
        </w:tc>
        <w:tc>
          <w:tcPr>
            <w:tcW w:w="7480" w:type="dxa"/>
            <w:vAlign w:val="bottom"/>
          </w:tcPr>
          <w:p>
            <w:pPr>
              <w:ind w:left="280"/>
              <w:spacing w:after="0"/>
              <w:rPr>
                <w:sz w:val="20"/>
                <w:szCs w:val="20"/>
                <w:color w:val="auto"/>
              </w:rPr>
            </w:pPr>
            <w:r>
              <w:rPr>
                <w:rFonts w:ascii="Arial" w:cs="Arial" w:eastAsia="Arial" w:hAnsi="Arial"/>
                <w:sz w:val="18"/>
                <w:szCs w:val="18"/>
                <w:color w:val="auto"/>
              </w:rPr>
              <w:t>Notice of Special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2.14</w:t>
            </w:r>
          </w:p>
        </w:tc>
        <w:tc>
          <w:tcPr>
            <w:tcW w:w="7480" w:type="dxa"/>
            <w:vAlign w:val="bottom"/>
          </w:tcPr>
          <w:p>
            <w:pPr>
              <w:ind w:left="280"/>
              <w:spacing w:after="0"/>
              <w:rPr>
                <w:sz w:val="20"/>
                <w:szCs w:val="20"/>
                <w:color w:val="auto"/>
              </w:rPr>
            </w:pPr>
            <w:r>
              <w:rPr>
                <w:rFonts w:ascii="Arial" w:cs="Arial" w:eastAsia="Arial" w:hAnsi="Arial"/>
                <w:sz w:val="18"/>
                <w:szCs w:val="18"/>
                <w:color w:val="auto"/>
              </w:rPr>
              <w:t>Meetings by Conference Communications Equipment</w:t>
            </w:r>
          </w:p>
        </w:tc>
        <w:tc>
          <w:tcPr>
            <w:tcW w:w="2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2.15</w:t>
            </w:r>
          </w:p>
        </w:tc>
        <w:tc>
          <w:tcPr>
            <w:tcW w:w="7480" w:type="dxa"/>
            <w:vAlign w:val="bottom"/>
          </w:tcPr>
          <w:p>
            <w:pPr>
              <w:ind w:left="280"/>
              <w:spacing w:after="0"/>
              <w:rPr>
                <w:sz w:val="20"/>
                <w:szCs w:val="20"/>
                <w:color w:val="auto"/>
              </w:rPr>
            </w:pPr>
            <w:r>
              <w:rPr>
                <w:rFonts w:ascii="Arial" w:cs="Arial" w:eastAsia="Arial" w:hAnsi="Arial"/>
                <w:sz w:val="18"/>
                <w:szCs w:val="18"/>
                <w:color w:val="auto"/>
              </w:rPr>
              <w:t>Action by Consent</w:t>
            </w:r>
          </w:p>
        </w:tc>
        <w:tc>
          <w:tcPr>
            <w:tcW w:w="2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2.16</w:t>
            </w:r>
          </w:p>
        </w:tc>
        <w:tc>
          <w:tcPr>
            <w:tcW w:w="7480" w:type="dxa"/>
            <w:vAlign w:val="bottom"/>
          </w:tcPr>
          <w:p>
            <w:pPr>
              <w:ind w:left="280"/>
              <w:spacing w:after="0"/>
              <w:rPr>
                <w:sz w:val="20"/>
                <w:szCs w:val="20"/>
                <w:color w:val="auto"/>
              </w:rPr>
            </w:pPr>
            <w:r>
              <w:rPr>
                <w:rFonts w:ascii="Arial" w:cs="Arial" w:eastAsia="Arial" w:hAnsi="Arial"/>
                <w:sz w:val="18"/>
                <w:szCs w:val="18"/>
                <w:color w:val="auto"/>
              </w:rPr>
              <w:t>Committees</w:t>
            </w:r>
          </w:p>
        </w:tc>
        <w:tc>
          <w:tcPr>
            <w:tcW w:w="2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940" w:type="dxa"/>
            <w:vAlign w:val="bottom"/>
          </w:tcPr>
          <w:p>
            <w:pPr>
              <w:ind w:left="360"/>
              <w:spacing w:after="0"/>
              <w:rPr>
                <w:sz w:val="20"/>
                <w:szCs w:val="20"/>
                <w:color w:val="auto"/>
              </w:rPr>
            </w:pPr>
            <w:r>
              <w:rPr>
                <w:rFonts w:ascii="Arial" w:cs="Arial" w:eastAsia="Arial" w:hAnsi="Arial"/>
                <w:sz w:val="18"/>
                <w:szCs w:val="18"/>
                <w:color w:val="auto"/>
              </w:rPr>
              <w:t>2.17</w:t>
            </w:r>
          </w:p>
        </w:tc>
        <w:tc>
          <w:tcPr>
            <w:tcW w:w="7480" w:type="dxa"/>
            <w:vAlign w:val="bottom"/>
          </w:tcPr>
          <w:p>
            <w:pPr>
              <w:ind w:left="280"/>
              <w:spacing w:after="0"/>
              <w:rPr>
                <w:sz w:val="20"/>
                <w:szCs w:val="20"/>
                <w:color w:val="auto"/>
              </w:rPr>
            </w:pPr>
            <w:r>
              <w:rPr>
                <w:rFonts w:ascii="Arial" w:cs="Arial" w:eastAsia="Arial" w:hAnsi="Arial"/>
                <w:sz w:val="18"/>
                <w:szCs w:val="18"/>
                <w:color w:val="auto"/>
              </w:rPr>
              <w:t>Compensation of Directors</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8420" w:type="dxa"/>
            <w:vAlign w:val="bottom"/>
            <w:gridSpan w:val="2"/>
          </w:tcPr>
          <w:p>
            <w:pPr>
              <w:spacing w:after="0"/>
              <w:rPr>
                <w:sz w:val="20"/>
                <w:szCs w:val="20"/>
                <w:color w:val="auto"/>
              </w:rPr>
            </w:pPr>
            <w:r>
              <w:rPr>
                <w:rFonts w:ascii="Arial" w:cs="Arial" w:eastAsia="Arial" w:hAnsi="Arial"/>
                <w:sz w:val="18"/>
                <w:szCs w:val="18"/>
                <w:color w:val="auto"/>
              </w:rPr>
              <w:t>Article III Officers</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3.1</w:t>
            </w:r>
          </w:p>
        </w:tc>
        <w:tc>
          <w:tcPr>
            <w:tcW w:w="7480" w:type="dxa"/>
            <w:vAlign w:val="bottom"/>
          </w:tcPr>
          <w:p>
            <w:pPr>
              <w:ind w:left="280"/>
              <w:spacing w:after="0"/>
              <w:rPr>
                <w:sz w:val="20"/>
                <w:szCs w:val="20"/>
                <w:color w:val="auto"/>
              </w:rPr>
            </w:pPr>
            <w:r>
              <w:rPr>
                <w:rFonts w:ascii="Arial" w:cs="Arial" w:eastAsia="Arial" w:hAnsi="Arial"/>
                <w:sz w:val="18"/>
                <w:szCs w:val="18"/>
                <w:color w:val="auto"/>
              </w:rPr>
              <w:t>Titles</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3.2</w:t>
            </w:r>
          </w:p>
        </w:tc>
        <w:tc>
          <w:tcPr>
            <w:tcW w:w="7480" w:type="dxa"/>
            <w:vAlign w:val="bottom"/>
          </w:tcPr>
          <w:p>
            <w:pPr>
              <w:ind w:left="280"/>
              <w:spacing w:after="0"/>
              <w:rPr>
                <w:sz w:val="20"/>
                <w:szCs w:val="20"/>
                <w:color w:val="auto"/>
              </w:rPr>
            </w:pPr>
            <w:r>
              <w:rPr>
                <w:rFonts w:ascii="Arial" w:cs="Arial" w:eastAsia="Arial" w:hAnsi="Arial"/>
                <w:sz w:val="18"/>
                <w:szCs w:val="18"/>
                <w:color w:val="auto"/>
              </w:rPr>
              <w:t>Appointment</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3.3</w:t>
            </w:r>
          </w:p>
        </w:tc>
        <w:tc>
          <w:tcPr>
            <w:tcW w:w="7480" w:type="dxa"/>
            <w:vAlign w:val="bottom"/>
          </w:tcPr>
          <w:p>
            <w:pPr>
              <w:ind w:left="280"/>
              <w:spacing w:after="0"/>
              <w:rPr>
                <w:sz w:val="20"/>
                <w:szCs w:val="20"/>
                <w:color w:val="auto"/>
              </w:rPr>
            </w:pPr>
            <w:r>
              <w:rPr>
                <w:rFonts w:ascii="Arial" w:cs="Arial" w:eastAsia="Arial" w:hAnsi="Arial"/>
                <w:sz w:val="18"/>
                <w:szCs w:val="18"/>
                <w:color w:val="auto"/>
              </w:rPr>
              <w:t>Qualification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3.4</w:t>
            </w:r>
          </w:p>
        </w:tc>
        <w:tc>
          <w:tcPr>
            <w:tcW w:w="7480" w:type="dxa"/>
            <w:vAlign w:val="bottom"/>
          </w:tcPr>
          <w:p>
            <w:pPr>
              <w:ind w:left="280"/>
              <w:spacing w:after="0"/>
              <w:rPr>
                <w:sz w:val="20"/>
                <w:szCs w:val="20"/>
                <w:color w:val="auto"/>
              </w:rPr>
            </w:pPr>
            <w:r>
              <w:rPr>
                <w:rFonts w:ascii="Arial" w:cs="Arial" w:eastAsia="Arial" w:hAnsi="Arial"/>
                <w:sz w:val="18"/>
                <w:szCs w:val="18"/>
                <w:color w:val="auto"/>
              </w:rPr>
              <w:t>Tenure</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3.5</w:t>
            </w:r>
          </w:p>
        </w:tc>
        <w:tc>
          <w:tcPr>
            <w:tcW w:w="7480" w:type="dxa"/>
            <w:vAlign w:val="bottom"/>
          </w:tcPr>
          <w:p>
            <w:pPr>
              <w:ind w:left="280"/>
              <w:spacing w:after="0"/>
              <w:rPr>
                <w:sz w:val="20"/>
                <w:szCs w:val="20"/>
                <w:color w:val="auto"/>
              </w:rPr>
            </w:pPr>
            <w:r>
              <w:rPr>
                <w:rFonts w:ascii="Arial" w:cs="Arial" w:eastAsia="Arial" w:hAnsi="Arial"/>
                <w:sz w:val="18"/>
                <w:szCs w:val="18"/>
                <w:color w:val="auto"/>
              </w:rPr>
              <w:t>Removal; Resignation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3.6</w:t>
            </w:r>
          </w:p>
        </w:tc>
        <w:tc>
          <w:tcPr>
            <w:tcW w:w="7480" w:type="dxa"/>
            <w:vAlign w:val="bottom"/>
          </w:tcPr>
          <w:p>
            <w:pPr>
              <w:ind w:left="280"/>
              <w:spacing w:after="0"/>
              <w:rPr>
                <w:sz w:val="20"/>
                <w:szCs w:val="20"/>
                <w:color w:val="auto"/>
              </w:rPr>
            </w:pPr>
            <w:r>
              <w:rPr>
                <w:rFonts w:ascii="Arial" w:cs="Arial" w:eastAsia="Arial" w:hAnsi="Arial"/>
                <w:sz w:val="18"/>
                <w:szCs w:val="18"/>
                <w:color w:val="auto"/>
              </w:rPr>
              <w:t>Vacancies</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3.7</w:t>
            </w:r>
          </w:p>
        </w:tc>
        <w:tc>
          <w:tcPr>
            <w:tcW w:w="7480" w:type="dxa"/>
            <w:vAlign w:val="bottom"/>
          </w:tcPr>
          <w:p>
            <w:pPr>
              <w:ind w:left="280"/>
              <w:spacing w:after="0"/>
              <w:rPr>
                <w:sz w:val="20"/>
                <w:szCs w:val="20"/>
                <w:color w:val="auto"/>
              </w:rPr>
            </w:pPr>
            <w:r>
              <w:rPr>
                <w:rFonts w:ascii="Arial" w:cs="Arial" w:eastAsia="Arial" w:hAnsi="Arial"/>
                <w:sz w:val="18"/>
                <w:szCs w:val="18"/>
                <w:color w:val="auto"/>
              </w:rPr>
              <w:t>President; Chief Executive Officer</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3.8</w:t>
            </w:r>
          </w:p>
        </w:tc>
        <w:tc>
          <w:tcPr>
            <w:tcW w:w="7480" w:type="dxa"/>
            <w:vAlign w:val="bottom"/>
          </w:tcPr>
          <w:p>
            <w:pPr>
              <w:ind w:left="280"/>
              <w:spacing w:after="0"/>
              <w:rPr>
                <w:sz w:val="20"/>
                <w:szCs w:val="20"/>
                <w:color w:val="auto"/>
              </w:rPr>
            </w:pPr>
            <w:r>
              <w:rPr>
                <w:rFonts w:ascii="Arial" w:cs="Arial" w:eastAsia="Arial" w:hAnsi="Arial"/>
                <w:sz w:val="18"/>
                <w:szCs w:val="18"/>
                <w:color w:val="auto"/>
              </w:rPr>
              <w:t>Chief Financial Officer</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3.9</w:t>
            </w:r>
          </w:p>
        </w:tc>
        <w:tc>
          <w:tcPr>
            <w:tcW w:w="7480" w:type="dxa"/>
            <w:vAlign w:val="bottom"/>
          </w:tcPr>
          <w:p>
            <w:pPr>
              <w:ind w:left="280"/>
              <w:spacing w:after="0"/>
              <w:rPr>
                <w:sz w:val="20"/>
                <w:szCs w:val="20"/>
                <w:color w:val="auto"/>
              </w:rPr>
            </w:pPr>
            <w:r>
              <w:rPr>
                <w:rFonts w:ascii="Arial" w:cs="Arial" w:eastAsia="Arial" w:hAnsi="Arial"/>
                <w:sz w:val="18"/>
                <w:szCs w:val="18"/>
                <w:color w:val="auto"/>
              </w:rPr>
              <w:t>Vice Presidents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3.10</w:t>
            </w:r>
          </w:p>
        </w:tc>
        <w:tc>
          <w:tcPr>
            <w:tcW w:w="7480" w:type="dxa"/>
            <w:vAlign w:val="bottom"/>
          </w:tcPr>
          <w:p>
            <w:pPr>
              <w:ind w:left="280"/>
              <w:spacing w:after="0"/>
              <w:rPr>
                <w:sz w:val="20"/>
                <w:szCs w:val="20"/>
                <w:color w:val="auto"/>
              </w:rPr>
            </w:pPr>
            <w:r>
              <w:rPr>
                <w:rFonts w:ascii="Arial" w:cs="Arial" w:eastAsia="Arial" w:hAnsi="Arial"/>
                <w:sz w:val="18"/>
                <w:szCs w:val="18"/>
                <w:color w:val="auto"/>
              </w:rPr>
              <w:t>Secretary and Assistant Secretaries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3.11</w:t>
            </w:r>
          </w:p>
        </w:tc>
        <w:tc>
          <w:tcPr>
            <w:tcW w:w="7480" w:type="dxa"/>
            <w:vAlign w:val="bottom"/>
          </w:tcPr>
          <w:p>
            <w:pPr>
              <w:ind w:left="280"/>
              <w:spacing w:after="0"/>
              <w:rPr>
                <w:sz w:val="20"/>
                <w:szCs w:val="20"/>
                <w:color w:val="auto"/>
              </w:rPr>
            </w:pPr>
            <w:r>
              <w:rPr>
                <w:rFonts w:ascii="Arial" w:cs="Arial" w:eastAsia="Arial" w:hAnsi="Arial"/>
                <w:sz w:val="18"/>
                <w:szCs w:val="18"/>
                <w:color w:val="auto"/>
              </w:rPr>
              <w:t>Salaries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3.12</w:t>
            </w:r>
          </w:p>
        </w:tc>
        <w:tc>
          <w:tcPr>
            <w:tcW w:w="7480" w:type="dxa"/>
            <w:vAlign w:val="bottom"/>
          </w:tcPr>
          <w:p>
            <w:pPr>
              <w:ind w:left="280"/>
              <w:spacing w:after="0"/>
              <w:rPr>
                <w:sz w:val="20"/>
                <w:szCs w:val="20"/>
                <w:color w:val="auto"/>
              </w:rPr>
            </w:pPr>
            <w:r>
              <w:rPr>
                <w:rFonts w:ascii="Arial" w:cs="Arial" w:eastAsia="Arial" w:hAnsi="Arial"/>
                <w:sz w:val="18"/>
                <w:szCs w:val="18"/>
                <w:color w:val="auto"/>
              </w:rPr>
              <w:t>Delegation of Authority</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40" w:type="dxa"/>
            <w:vAlign w:val="bottom"/>
          </w:tcPr>
          <w:p>
            <w:pPr>
              <w:ind w:left="360"/>
              <w:spacing w:after="0"/>
              <w:rPr>
                <w:sz w:val="20"/>
                <w:szCs w:val="20"/>
                <w:color w:val="auto"/>
              </w:rPr>
            </w:pPr>
            <w:r>
              <w:rPr>
                <w:rFonts w:ascii="Arial" w:cs="Arial" w:eastAsia="Arial" w:hAnsi="Arial"/>
                <w:sz w:val="18"/>
                <w:szCs w:val="18"/>
                <w:color w:val="auto"/>
              </w:rPr>
              <w:t>3.13</w:t>
            </w:r>
          </w:p>
        </w:tc>
        <w:tc>
          <w:tcPr>
            <w:tcW w:w="7480" w:type="dxa"/>
            <w:vAlign w:val="bottom"/>
          </w:tcPr>
          <w:p>
            <w:pPr>
              <w:ind w:left="280"/>
              <w:spacing w:after="0"/>
              <w:rPr>
                <w:sz w:val="20"/>
                <w:szCs w:val="20"/>
                <w:color w:val="auto"/>
              </w:rPr>
            </w:pPr>
            <w:r>
              <w:rPr>
                <w:rFonts w:ascii="Arial" w:cs="Arial" w:eastAsia="Arial" w:hAnsi="Arial"/>
                <w:sz w:val="18"/>
                <w:szCs w:val="18"/>
                <w:color w:val="auto"/>
              </w:rPr>
              <w:t>Execution of Contracts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Article IV Capital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4.1</w:t>
            </w:r>
          </w:p>
        </w:tc>
        <w:tc>
          <w:tcPr>
            <w:tcW w:w="8920" w:type="dxa"/>
            <w:vAlign w:val="bottom"/>
          </w:tcPr>
          <w:p>
            <w:pPr>
              <w:ind w:left="280"/>
              <w:spacing w:after="0"/>
              <w:rPr>
                <w:sz w:val="20"/>
                <w:szCs w:val="20"/>
                <w:color w:val="auto"/>
              </w:rPr>
            </w:pPr>
            <w:r>
              <w:rPr>
                <w:rFonts w:ascii="Arial" w:cs="Arial" w:eastAsia="Arial" w:hAnsi="Arial"/>
                <w:sz w:val="18"/>
                <w:szCs w:val="18"/>
                <w:color w:val="auto"/>
              </w:rPr>
              <w:t>Issuance of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4.2</w:t>
            </w:r>
          </w:p>
        </w:tc>
        <w:tc>
          <w:tcPr>
            <w:tcW w:w="8920" w:type="dxa"/>
            <w:vAlign w:val="bottom"/>
          </w:tcPr>
          <w:p>
            <w:pPr>
              <w:ind w:left="280"/>
              <w:spacing w:after="0"/>
              <w:rPr>
                <w:sz w:val="20"/>
                <w:szCs w:val="20"/>
                <w:color w:val="auto"/>
              </w:rPr>
            </w:pPr>
            <w:r>
              <w:rPr>
                <w:rFonts w:ascii="Arial" w:cs="Arial" w:eastAsia="Arial" w:hAnsi="Arial"/>
                <w:sz w:val="18"/>
                <w:szCs w:val="18"/>
                <w:color w:val="auto"/>
              </w:rPr>
              <w:t>Stock Certificates; Uncertificated Shares</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4.3</w:t>
            </w:r>
          </w:p>
        </w:tc>
        <w:tc>
          <w:tcPr>
            <w:tcW w:w="8920" w:type="dxa"/>
            <w:vAlign w:val="bottom"/>
          </w:tcPr>
          <w:p>
            <w:pPr>
              <w:ind w:left="280"/>
              <w:spacing w:after="0"/>
              <w:rPr>
                <w:sz w:val="20"/>
                <w:szCs w:val="20"/>
                <w:color w:val="auto"/>
              </w:rPr>
            </w:pPr>
            <w:r>
              <w:rPr>
                <w:rFonts w:ascii="Arial" w:cs="Arial" w:eastAsia="Arial" w:hAnsi="Arial"/>
                <w:sz w:val="18"/>
                <w:szCs w:val="18"/>
                <w:color w:val="auto"/>
              </w:rPr>
              <w:t>Transfers</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4.4</w:t>
            </w:r>
          </w:p>
        </w:tc>
        <w:tc>
          <w:tcPr>
            <w:tcW w:w="8920" w:type="dxa"/>
            <w:vAlign w:val="bottom"/>
          </w:tcPr>
          <w:p>
            <w:pPr>
              <w:ind w:left="280"/>
              <w:spacing w:after="0"/>
              <w:rPr>
                <w:sz w:val="20"/>
                <w:szCs w:val="20"/>
                <w:color w:val="auto"/>
              </w:rPr>
            </w:pPr>
            <w:r>
              <w:rPr>
                <w:rFonts w:ascii="Arial" w:cs="Arial" w:eastAsia="Arial" w:hAnsi="Arial"/>
                <w:sz w:val="18"/>
                <w:szCs w:val="18"/>
                <w:color w:val="auto"/>
              </w:rPr>
              <w:t>Lost, Stolen or Destroyed Certificates</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4.5</w:t>
            </w:r>
          </w:p>
        </w:tc>
        <w:tc>
          <w:tcPr>
            <w:tcW w:w="8920" w:type="dxa"/>
            <w:vAlign w:val="bottom"/>
          </w:tcPr>
          <w:p>
            <w:pPr>
              <w:ind w:left="280"/>
              <w:spacing w:after="0"/>
              <w:rPr>
                <w:sz w:val="20"/>
                <w:szCs w:val="20"/>
                <w:color w:val="auto"/>
              </w:rPr>
            </w:pPr>
            <w:r>
              <w:rPr>
                <w:rFonts w:ascii="Arial" w:cs="Arial" w:eastAsia="Arial" w:hAnsi="Arial"/>
                <w:sz w:val="18"/>
                <w:szCs w:val="18"/>
                <w:color w:val="auto"/>
              </w:rPr>
              <w:t>Record Date</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4.6</w:t>
            </w:r>
          </w:p>
        </w:tc>
        <w:tc>
          <w:tcPr>
            <w:tcW w:w="8920" w:type="dxa"/>
            <w:vAlign w:val="bottom"/>
          </w:tcPr>
          <w:p>
            <w:pPr>
              <w:ind w:left="280"/>
              <w:spacing w:after="0"/>
              <w:rPr>
                <w:sz w:val="20"/>
                <w:szCs w:val="20"/>
                <w:color w:val="auto"/>
              </w:rPr>
            </w:pPr>
            <w:r>
              <w:rPr>
                <w:rFonts w:ascii="Arial" w:cs="Arial" w:eastAsia="Arial" w:hAnsi="Arial"/>
                <w:sz w:val="18"/>
                <w:szCs w:val="18"/>
                <w:color w:val="auto"/>
              </w:rPr>
              <w:t>Regulations</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940" w:type="dxa"/>
            <w:vAlign w:val="bottom"/>
          </w:tcPr>
          <w:p>
            <w:pPr>
              <w:ind w:left="360"/>
              <w:spacing w:after="0"/>
              <w:rPr>
                <w:sz w:val="20"/>
                <w:szCs w:val="20"/>
                <w:color w:val="auto"/>
              </w:rPr>
            </w:pPr>
            <w:r>
              <w:rPr>
                <w:rFonts w:ascii="Arial" w:cs="Arial" w:eastAsia="Arial" w:hAnsi="Arial"/>
                <w:sz w:val="18"/>
                <w:szCs w:val="18"/>
                <w:color w:val="auto"/>
              </w:rPr>
              <w:t>4.7</w:t>
            </w:r>
          </w:p>
        </w:tc>
        <w:tc>
          <w:tcPr>
            <w:tcW w:w="8920" w:type="dxa"/>
            <w:vAlign w:val="bottom"/>
          </w:tcPr>
          <w:p>
            <w:pPr>
              <w:ind w:left="280"/>
              <w:spacing w:after="0"/>
              <w:rPr>
                <w:sz w:val="20"/>
                <w:szCs w:val="20"/>
                <w:color w:val="auto"/>
              </w:rPr>
            </w:pPr>
            <w:r>
              <w:rPr>
                <w:rFonts w:ascii="Arial" w:cs="Arial" w:eastAsia="Arial" w:hAnsi="Arial"/>
                <w:sz w:val="18"/>
                <w:szCs w:val="18"/>
                <w:color w:val="auto"/>
              </w:rPr>
              <w:t>Dividends</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9860" w:type="dxa"/>
            <w:vAlign w:val="bottom"/>
            <w:gridSpan w:val="2"/>
          </w:tcPr>
          <w:p>
            <w:pPr>
              <w:spacing w:after="0"/>
              <w:rPr>
                <w:sz w:val="20"/>
                <w:szCs w:val="20"/>
                <w:color w:val="auto"/>
              </w:rPr>
            </w:pPr>
            <w:r>
              <w:rPr>
                <w:rFonts w:ascii="Arial" w:cs="Arial" w:eastAsia="Arial" w:hAnsi="Arial"/>
                <w:sz w:val="18"/>
                <w:szCs w:val="18"/>
                <w:color w:val="auto"/>
              </w:rPr>
              <w:t>Article V General Provisions</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5.1</w:t>
            </w:r>
          </w:p>
        </w:tc>
        <w:tc>
          <w:tcPr>
            <w:tcW w:w="8920" w:type="dxa"/>
            <w:vAlign w:val="bottom"/>
          </w:tcPr>
          <w:p>
            <w:pPr>
              <w:ind w:left="280"/>
              <w:spacing w:after="0"/>
              <w:rPr>
                <w:sz w:val="20"/>
                <w:szCs w:val="20"/>
                <w:color w:val="auto"/>
              </w:rPr>
            </w:pPr>
            <w:r>
              <w:rPr>
                <w:rFonts w:ascii="Arial" w:cs="Arial" w:eastAsia="Arial" w:hAnsi="Arial"/>
                <w:sz w:val="18"/>
                <w:szCs w:val="18"/>
                <w:color w:val="auto"/>
              </w:rPr>
              <w:t>Fiscal Year</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5.2</w:t>
            </w:r>
          </w:p>
        </w:tc>
        <w:tc>
          <w:tcPr>
            <w:tcW w:w="8920" w:type="dxa"/>
            <w:vAlign w:val="bottom"/>
          </w:tcPr>
          <w:p>
            <w:pPr>
              <w:ind w:left="280"/>
              <w:spacing w:after="0"/>
              <w:rPr>
                <w:sz w:val="20"/>
                <w:szCs w:val="20"/>
                <w:color w:val="auto"/>
              </w:rPr>
            </w:pPr>
            <w:r>
              <w:rPr>
                <w:rFonts w:ascii="Arial" w:cs="Arial" w:eastAsia="Arial" w:hAnsi="Arial"/>
                <w:sz w:val="18"/>
                <w:szCs w:val="18"/>
                <w:color w:val="auto"/>
              </w:rPr>
              <w:t>Corporate Seal</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5.3</w:t>
            </w:r>
          </w:p>
        </w:tc>
        <w:tc>
          <w:tcPr>
            <w:tcW w:w="8920" w:type="dxa"/>
            <w:vAlign w:val="bottom"/>
          </w:tcPr>
          <w:p>
            <w:pPr>
              <w:ind w:left="280"/>
              <w:spacing w:after="0"/>
              <w:rPr>
                <w:sz w:val="20"/>
                <w:szCs w:val="20"/>
                <w:color w:val="auto"/>
              </w:rPr>
            </w:pPr>
            <w:r>
              <w:rPr>
                <w:rFonts w:ascii="Arial" w:cs="Arial" w:eastAsia="Arial" w:hAnsi="Arial"/>
                <w:sz w:val="18"/>
                <w:szCs w:val="18"/>
                <w:color w:val="auto"/>
              </w:rPr>
              <w:t>Waiver of Notice</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5.4</w:t>
            </w:r>
          </w:p>
        </w:tc>
        <w:tc>
          <w:tcPr>
            <w:tcW w:w="8920" w:type="dxa"/>
            <w:vAlign w:val="bottom"/>
          </w:tcPr>
          <w:p>
            <w:pPr>
              <w:ind w:left="280"/>
              <w:spacing w:after="0"/>
              <w:rPr>
                <w:sz w:val="20"/>
                <w:szCs w:val="20"/>
                <w:color w:val="auto"/>
              </w:rPr>
            </w:pPr>
            <w:r>
              <w:rPr>
                <w:rFonts w:ascii="Arial" w:cs="Arial" w:eastAsia="Arial" w:hAnsi="Arial"/>
                <w:sz w:val="18"/>
                <w:szCs w:val="18"/>
                <w:color w:val="auto"/>
              </w:rPr>
              <w:t>Voting of Securities</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5.5</w:t>
            </w:r>
          </w:p>
        </w:tc>
        <w:tc>
          <w:tcPr>
            <w:tcW w:w="8920" w:type="dxa"/>
            <w:vAlign w:val="bottom"/>
          </w:tcPr>
          <w:p>
            <w:pPr>
              <w:ind w:left="280"/>
              <w:spacing w:after="0"/>
              <w:rPr>
                <w:sz w:val="20"/>
                <w:szCs w:val="20"/>
                <w:color w:val="auto"/>
              </w:rPr>
            </w:pPr>
            <w:r>
              <w:rPr>
                <w:rFonts w:ascii="Arial" w:cs="Arial" w:eastAsia="Arial" w:hAnsi="Arial"/>
                <w:sz w:val="18"/>
                <w:szCs w:val="18"/>
                <w:color w:val="auto"/>
              </w:rPr>
              <w:t>Evidence of Authority</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5.6</w:t>
            </w:r>
          </w:p>
        </w:tc>
        <w:tc>
          <w:tcPr>
            <w:tcW w:w="8920" w:type="dxa"/>
            <w:vAlign w:val="bottom"/>
          </w:tcPr>
          <w:p>
            <w:pPr>
              <w:ind w:left="280"/>
              <w:spacing w:after="0"/>
              <w:rPr>
                <w:sz w:val="20"/>
                <w:szCs w:val="20"/>
                <w:color w:val="auto"/>
              </w:rPr>
            </w:pPr>
            <w:r>
              <w:rPr>
                <w:rFonts w:ascii="Arial" w:cs="Arial" w:eastAsia="Arial" w:hAnsi="Arial"/>
                <w:sz w:val="18"/>
                <w:szCs w:val="18"/>
                <w:color w:val="auto"/>
              </w:rPr>
              <w:t>Certificate of Incorporation</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5.7</w:t>
            </w:r>
          </w:p>
        </w:tc>
        <w:tc>
          <w:tcPr>
            <w:tcW w:w="8920" w:type="dxa"/>
            <w:vAlign w:val="bottom"/>
          </w:tcPr>
          <w:p>
            <w:pPr>
              <w:ind w:left="280"/>
              <w:spacing w:after="0"/>
              <w:rPr>
                <w:sz w:val="20"/>
                <w:szCs w:val="20"/>
                <w:color w:val="auto"/>
              </w:rPr>
            </w:pPr>
            <w:r>
              <w:rPr>
                <w:rFonts w:ascii="Arial" w:cs="Arial" w:eastAsia="Arial" w:hAnsi="Arial"/>
                <w:sz w:val="18"/>
                <w:szCs w:val="18"/>
                <w:color w:val="auto"/>
              </w:rPr>
              <w:t>Severability</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5.8</w:t>
            </w:r>
          </w:p>
        </w:tc>
        <w:tc>
          <w:tcPr>
            <w:tcW w:w="8920" w:type="dxa"/>
            <w:vAlign w:val="bottom"/>
          </w:tcPr>
          <w:p>
            <w:pPr>
              <w:ind w:left="280"/>
              <w:spacing w:after="0"/>
              <w:rPr>
                <w:sz w:val="20"/>
                <w:szCs w:val="20"/>
                <w:color w:val="auto"/>
              </w:rPr>
            </w:pPr>
            <w:r>
              <w:rPr>
                <w:rFonts w:ascii="Arial" w:cs="Arial" w:eastAsia="Arial" w:hAnsi="Arial"/>
                <w:sz w:val="18"/>
                <w:szCs w:val="18"/>
                <w:color w:val="auto"/>
              </w:rPr>
              <w:t>Pronouns</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40" w:type="dxa"/>
            <w:vAlign w:val="bottom"/>
          </w:tcPr>
          <w:p>
            <w:pPr>
              <w:ind w:left="360"/>
              <w:spacing w:after="0"/>
              <w:rPr>
                <w:sz w:val="20"/>
                <w:szCs w:val="20"/>
                <w:color w:val="auto"/>
              </w:rPr>
            </w:pPr>
            <w:r>
              <w:rPr>
                <w:rFonts w:ascii="Arial" w:cs="Arial" w:eastAsia="Arial" w:hAnsi="Arial"/>
                <w:sz w:val="18"/>
                <w:szCs w:val="18"/>
                <w:color w:val="auto"/>
              </w:rPr>
              <w:t>5.9</w:t>
            </w:r>
          </w:p>
        </w:tc>
        <w:tc>
          <w:tcPr>
            <w:tcW w:w="8920" w:type="dxa"/>
            <w:vAlign w:val="bottom"/>
          </w:tcPr>
          <w:p>
            <w:pPr>
              <w:ind w:left="280"/>
              <w:spacing w:after="0"/>
              <w:rPr>
                <w:sz w:val="20"/>
                <w:szCs w:val="20"/>
                <w:color w:val="auto"/>
              </w:rPr>
            </w:pPr>
            <w:r>
              <w:rPr>
                <w:rFonts w:ascii="Arial" w:cs="Arial" w:eastAsia="Arial" w:hAnsi="Arial"/>
                <w:sz w:val="18"/>
                <w:szCs w:val="18"/>
                <w:color w:val="auto"/>
              </w:rPr>
              <w:t>Electronic Transmission</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9860" w:type="dxa"/>
            <w:vAlign w:val="bottom"/>
            <w:gridSpan w:val="2"/>
          </w:tcPr>
          <w:p>
            <w:pPr>
              <w:spacing w:after="0"/>
              <w:rPr>
                <w:sz w:val="20"/>
                <w:szCs w:val="20"/>
                <w:color w:val="auto"/>
              </w:rPr>
            </w:pPr>
            <w:r>
              <w:rPr>
                <w:rFonts w:ascii="Arial" w:cs="Arial" w:eastAsia="Arial" w:hAnsi="Arial"/>
                <w:sz w:val="18"/>
                <w:szCs w:val="18"/>
                <w:color w:val="auto"/>
              </w:rPr>
              <w:t>Article VI Amendments</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9860" w:type="dxa"/>
            <w:vAlign w:val="bottom"/>
            <w:gridSpan w:val="2"/>
          </w:tcPr>
          <w:p>
            <w:pPr>
              <w:spacing w:after="0"/>
              <w:rPr>
                <w:sz w:val="20"/>
                <w:szCs w:val="20"/>
                <w:color w:val="auto"/>
              </w:rPr>
            </w:pPr>
            <w:r>
              <w:rPr>
                <w:rFonts w:ascii="Arial" w:cs="Arial" w:eastAsia="Arial" w:hAnsi="Arial"/>
                <w:sz w:val="18"/>
                <w:szCs w:val="18"/>
                <w:color w:val="auto"/>
              </w:rPr>
              <w:t>Article VII Indemnification and Advancement</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7.1</w:t>
            </w:r>
          </w:p>
        </w:tc>
        <w:tc>
          <w:tcPr>
            <w:tcW w:w="8920" w:type="dxa"/>
            <w:vAlign w:val="bottom"/>
          </w:tcPr>
          <w:p>
            <w:pPr>
              <w:ind w:left="280"/>
              <w:spacing w:after="0"/>
              <w:rPr>
                <w:sz w:val="20"/>
                <w:szCs w:val="20"/>
                <w:color w:val="auto"/>
              </w:rPr>
            </w:pPr>
            <w:r>
              <w:rPr>
                <w:rFonts w:ascii="Arial" w:cs="Arial" w:eastAsia="Arial" w:hAnsi="Arial"/>
                <w:sz w:val="18"/>
                <w:szCs w:val="18"/>
                <w:color w:val="auto"/>
              </w:rPr>
              <w:t>Power to Indemnify in Actions, Suits or Proceedings other than Those by or in the Right of the Corporation</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7.2</w:t>
            </w:r>
          </w:p>
        </w:tc>
        <w:tc>
          <w:tcPr>
            <w:tcW w:w="8920" w:type="dxa"/>
            <w:vAlign w:val="bottom"/>
          </w:tcPr>
          <w:p>
            <w:pPr>
              <w:ind w:left="280"/>
              <w:spacing w:after="0"/>
              <w:rPr>
                <w:sz w:val="20"/>
                <w:szCs w:val="20"/>
                <w:color w:val="auto"/>
              </w:rPr>
            </w:pPr>
            <w:r>
              <w:rPr>
                <w:rFonts w:ascii="Arial" w:cs="Arial" w:eastAsia="Arial" w:hAnsi="Arial"/>
                <w:sz w:val="18"/>
                <w:szCs w:val="18"/>
                <w:color w:val="auto"/>
              </w:rPr>
              <w:t>Power to Indemnify in Actions, Suits or Proceedings by or in the Right of the Corporation</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7.3</w:t>
            </w:r>
          </w:p>
        </w:tc>
        <w:tc>
          <w:tcPr>
            <w:tcW w:w="8920" w:type="dxa"/>
            <w:vAlign w:val="bottom"/>
          </w:tcPr>
          <w:p>
            <w:pPr>
              <w:ind w:left="280"/>
              <w:spacing w:after="0"/>
              <w:rPr>
                <w:sz w:val="20"/>
                <w:szCs w:val="20"/>
                <w:color w:val="auto"/>
              </w:rPr>
            </w:pPr>
            <w:r>
              <w:rPr>
                <w:rFonts w:ascii="Arial" w:cs="Arial" w:eastAsia="Arial" w:hAnsi="Arial"/>
                <w:sz w:val="18"/>
                <w:szCs w:val="18"/>
                <w:color w:val="auto"/>
              </w:rPr>
              <w:t>Authorization of Indemnification</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7.4</w:t>
            </w:r>
          </w:p>
        </w:tc>
        <w:tc>
          <w:tcPr>
            <w:tcW w:w="8920" w:type="dxa"/>
            <w:vAlign w:val="bottom"/>
          </w:tcPr>
          <w:p>
            <w:pPr>
              <w:ind w:left="280"/>
              <w:spacing w:after="0"/>
              <w:rPr>
                <w:sz w:val="20"/>
                <w:szCs w:val="20"/>
                <w:color w:val="auto"/>
              </w:rPr>
            </w:pPr>
            <w:r>
              <w:rPr>
                <w:rFonts w:ascii="Arial" w:cs="Arial" w:eastAsia="Arial" w:hAnsi="Arial"/>
                <w:sz w:val="18"/>
                <w:szCs w:val="18"/>
                <w:color w:val="auto"/>
              </w:rPr>
              <w:t>Good Faith Defined</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7.5</w:t>
            </w:r>
          </w:p>
        </w:tc>
        <w:tc>
          <w:tcPr>
            <w:tcW w:w="8920" w:type="dxa"/>
            <w:vAlign w:val="bottom"/>
          </w:tcPr>
          <w:p>
            <w:pPr>
              <w:ind w:left="280"/>
              <w:spacing w:after="0"/>
              <w:rPr>
                <w:sz w:val="20"/>
                <w:szCs w:val="20"/>
                <w:color w:val="auto"/>
              </w:rPr>
            </w:pPr>
            <w:r>
              <w:rPr>
                <w:rFonts w:ascii="Arial" w:cs="Arial" w:eastAsia="Arial" w:hAnsi="Arial"/>
                <w:sz w:val="18"/>
                <w:szCs w:val="18"/>
                <w:color w:val="auto"/>
              </w:rPr>
              <w:t>Right of Claimant to Bring Suit</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7.6</w:t>
            </w:r>
          </w:p>
        </w:tc>
        <w:tc>
          <w:tcPr>
            <w:tcW w:w="8920" w:type="dxa"/>
            <w:vAlign w:val="bottom"/>
          </w:tcPr>
          <w:p>
            <w:pPr>
              <w:ind w:left="280"/>
              <w:spacing w:after="0"/>
              <w:rPr>
                <w:sz w:val="20"/>
                <w:szCs w:val="20"/>
                <w:color w:val="auto"/>
              </w:rPr>
            </w:pPr>
            <w:r>
              <w:rPr>
                <w:rFonts w:ascii="Arial" w:cs="Arial" w:eastAsia="Arial" w:hAnsi="Arial"/>
                <w:sz w:val="18"/>
                <w:szCs w:val="18"/>
                <w:color w:val="auto"/>
              </w:rPr>
              <w:t>Expenses Payable in Advance</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7.7</w:t>
            </w:r>
          </w:p>
        </w:tc>
        <w:tc>
          <w:tcPr>
            <w:tcW w:w="8920" w:type="dxa"/>
            <w:vAlign w:val="bottom"/>
          </w:tcPr>
          <w:p>
            <w:pPr>
              <w:ind w:left="280"/>
              <w:spacing w:after="0"/>
              <w:rPr>
                <w:sz w:val="20"/>
                <w:szCs w:val="20"/>
                <w:color w:val="auto"/>
              </w:rPr>
            </w:pPr>
            <w:r>
              <w:rPr>
                <w:rFonts w:ascii="Arial" w:cs="Arial" w:eastAsia="Arial" w:hAnsi="Arial"/>
                <w:sz w:val="18"/>
                <w:szCs w:val="18"/>
                <w:color w:val="auto"/>
              </w:rPr>
              <w:t>Nonexclusivity of Indemnification and Advancement of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7.8</w:t>
            </w:r>
          </w:p>
        </w:tc>
        <w:tc>
          <w:tcPr>
            <w:tcW w:w="8920" w:type="dxa"/>
            <w:vAlign w:val="bottom"/>
          </w:tcPr>
          <w:p>
            <w:pPr>
              <w:ind w:left="280"/>
              <w:spacing w:after="0"/>
              <w:rPr>
                <w:sz w:val="20"/>
                <w:szCs w:val="20"/>
                <w:color w:val="auto"/>
              </w:rPr>
            </w:pPr>
            <w:r>
              <w:rPr>
                <w:rFonts w:ascii="Arial" w:cs="Arial" w:eastAsia="Arial" w:hAnsi="Arial"/>
                <w:sz w:val="18"/>
                <w:szCs w:val="18"/>
                <w:color w:val="auto"/>
              </w:rPr>
              <w:t>Insurance</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7.9</w:t>
            </w:r>
          </w:p>
        </w:tc>
        <w:tc>
          <w:tcPr>
            <w:tcW w:w="8920" w:type="dxa"/>
            <w:vAlign w:val="bottom"/>
          </w:tcPr>
          <w:p>
            <w:pPr>
              <w:ind w:left="280"/>
              <w:spacing w:after="0"/>
              <w:rPr>
                <w:sz w:val="20"/>
                <w:szCs w:val="20"/>
                <w:color w:val="auto"/>
              </w:rPr>
            </w:pPr>
            <w:r>
              <w:rPr>
                <w:rFonts w:ascii="Arial" w:cs="Arial" w:eastAsia="Arial" w:hAnsi="Arial"/>
                <w:sz w:val="18"/>
                <w:szCs w:val="18"/>
                <w:color w:val="auto"/>
              </w:rPr>
              <w:t>Certain Definitions</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7.10</w:t>
            </w:r>
          </w:p>
        </w:tc>
        <w:tc>
          <w:tcPr>
            <w:tcW w:w="8920" w:type="dxa"/>
            <w:vAlign w:val="bottom"/>
          </w:tcPr>
          <w:p>
            <w:pPr>
              <w:ind w:left="280"/>
              <w:spacing w:after="0"/>
              <w:rPr>
                <w:sz w:val="20"/>
                <w:szCs w:val="20"/>
                <w:color w:val="auto"/>
              </w:rPr>
            </w:pPr>
            <w:r>
              <w:rPr>
                <w:rFonts w:ascii="Arial" w:cs="Arial" w:eastAsia="Arial" w:hAnsi="Arial"/>
                <w:sz w:val="18"/>
                <w:szCs w:val="18"/>
                <w:color w:val="auto"/>
              </w:rPr>
              <w:t>Survival of Indemnification and Advancement of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7.11</w:t>
            </w:r>
          </w:p>
        </w:tc>
        <w:tc>
          <w:tcPr>
            <w:tcW w:w="8920" w:type="dxa"/>
            <w:vAlign w:val="bottom"/>
          </w:tcPr>
          <w:p>
            <w:pPr>
              <w:ind w:left="280"/>
              <w:spacing w:after="0"/>
              <w:rPr>
                <w:sz w:val="20"/>
                <w:szCs w:val="20"/>
                <w:color w:val="auto"/>
              </w:rPr>
            </w:pPr>
            <w:r>
              <w:rPr>
                <w:rFonts w:ascii="Arial" w:cs="Arial" w:eastAsia="Arial" w:hAnsi="Arial"/>
                <w:sz w:val="18"/>
                <w:szCs w:val="18"/>
                <w:color w:val="auto"/>
              </w:rPr>
              <w:t>Limitation on Indemnification</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940" w:type="dxa"/>
            <w:vAlign w:val="bottom"/>
          </w:tcPr>
          <w:p>
            <w:pPr>
              <w:ind w:left="360"/>
              <w:spacing w:after="0"/>
              <w:rPr>
                <w:sz w:val="20"/>
                <w:szCs w:val="20"/>
                <w:color w:val="auto"/>
              </w:rPr>
            </w:pPr>
            <w:r>
              <w:rPr>
                <w:rFonts w:ascii="Arial" w:cs="Arial" w:eastAsia="Arial" w:hAnsi="Arial"/>
                <w:sz w:val="18"/>
                <w:szCs w:val="18"/>
                <w:color w:val="auto"/>
              </w:rPr>
              <w:t>7.12</w:t>
            </w:r>
          </w:p>
        </w:tc>
        <w:tc>
          <w:tcPr>
            <w:tcW w:w="8920" w:type="dxa"/>
            <w:vAlign w:val="bottom"/>
          </w:tcPr>
          <w:p>
            <w:pPr>
              <w:ind w:left="280"/>
              <w:spacing w:after="0"/>
              <w:rPr>
                <w:sz w:val="20"/>
                <w:szCs w:val="20"/>
                <w:color w:val="auto"/>
              </w:rPr>
            </w:pPr>
            <w:r>
              <w:rPr>
                <w:rFonts w:ascii="Arial" w:cs="Arial" w:eastAsia="Arial" w:hAnsi="Arial"/>
                <w:sz w:val="18"/>
                <w:szCs w:val="18"/>
                <w:color w:val="auto"/>
              </w:rPr>
              <w:t>Contract Rights</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w:t>
      </w:r>
    </w:p>
    <w:p>
      <w:pPr>
        <w:spacing w:after="0" w:line="207"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Place of Meetings</w:t>
      </w:r>
      <w:r>
        <w:rPr>
          <w:rFonts w:ascii="Arial" w:cs="Arial" w:eastAsia="Arial" w:hAnsi="Arial"/>
          <w:sz w:val="16"/>
          <w:szCs w:val="16"/>
          <w:color w:val="auto"/>
        </w:rPr>
        <w:t>. All meetings of stockholders shall be held at such place, if any, as may be designated from time to time by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of Tarsus Pharmaceuticals, Inc. (the “</w:t>
      </w:r>
      <w:r>
        <w:rPr>
          <w:rFonts w:ascii="Arial" w:cs="Arial" w:eastAsia="Arial" w:hAnsi="Arial"/>
          <w:sz w:val="16"/>
          <w:szCs w:val="16"/>
          <w:b w:val="1"/>
          <w:bCs w:val="1"/>
          <w:color w:val="auto"/>
        </w:rPr>
        <w:t>Corporation</w:t>
      </w:r>
      <w:r>
        <w:rPr>
          <w:rFonts w:ascii="Arial" w:cs="Arial" w:eastAsia="Arial" w:hAnsi="Arial"/>
          <w:sz w:val="16"/>
          <w:szCs w:val="16"/>
          <w:color w:val="auto"/>
        </w:rPr>
        <w:t>”), the Chairman of the Board, the Chief Executive Officer or the President or, if not so designated, at the principal executive office of the Corporation. The Board may, in its sole discretion, determine that a meeting shall not be held at any place, but may instead be held solely by means of remote communication in accordance with Section 211(a) of the General Corporation Law of the State of Delaware or any applicable successor act thereto, as the same may be amended from time to time (the “</w:t>
      </w:r>
      <w:r>
        <w:rPr>
          <w:rFonts w:ascii="Arial" w:cs="Arial" w:eastAsia="Arial" w:hAnsi="Arial"/>
          <w:sz w:val="16"/>
          <w:szCs w:val="16"/>
          <w:b w:val="1"/>
          <w:bCs w:val="1"/>
          <w:color w:val="auto"/>
        </w:rPr>
        <w:t>DGCL</w:t>
      </w:r>
      <w:r>
        <w:rPr>
          <w:rFonts w:ascii="Arial" w:cs="Arial" w:eastAsia="Arial" w:hAnsi="Arial"/>
          <w:sz w:val="16"/>
          <w:szCs w:val="16"/>
          <w:color w:val="auto"/>
        </w:rPr>
        <w:t>”).</w:t>
      </w:r>
    </w:p>
    <w:p>
      <w:pPr>
        <w:spacing w:after="0" w:line="15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Annual Meeting</w:t>
      </w:r>
      <w:r>
        <w:rPr>
          <w:rFonts w:ascii="Arial" w:cs="Arial" w:eastAsia="Arial" w:hAnsi="Arial"/>
          <w:sz w:val="18"/>
          <w:szCs w:val="18"/>
          <w:color w:val="auto"/>
        </w:rPr>
        <w:t>. The annual meeting of stockholders for the election of directors and for the transaction of such other business as may properly be brought before the meeting shall be held on a date and at a time designated by the Board, the Chairman of the Board, the Chief Executive Officer or the President (which date shall not be a legal holiday in the place, if any, where the meeting is to be held) and stated in the notice of the meeting. The Board acting pursuant to a resolution adopted by the majority of the Whole Board may postpone, reschedule or cancel any previously scheduled annual meeting of stockholders, before or after the notice for such meeting has been sent to the stockholders. For purposes of these Amended and Restated Bylaws (the “</w:t>
      </w:r>
      <w:r>
        <w:rPr>
          <w:rFonts w:ascii="Arial" w:cs="Arial" w:eastAsia="Arial" w:hAnsi="Arial"/>
          <w:sz w:val="18"/>
          <w:szCs w:val="18"/>
          <w:b w:val="1"/>
          <w:bCs w:val="1"/>
          <w:color w:val="auto"/>
        </w:rPr>
        <w:t>Bylaws</w:t>
      </w:r>
      <w:r>
        <w:rPr>
          <w:rFonts w:ascii="Arial" w:cs="Arial" w:eastAsia="Arial" w:hAnsi="Arial"/>
          <w:sz w:val="18"/>
          <w:szCs w:val="18"/>
          <w:color w:val="auto"/>
        </w:rPr>
        <w:t>”), the term “</w:t>
      </w:r>
      <w:r>
        <w:rPr>
          <w:rFonts w:ascii="Arial" w:cs="Arial" w:eastAsia="Arial" w:hAnsi="Arial"/>
          <w:sz w:val="18"/>
          <w:szCs w:val="18"/>
          <w:b w:val="1"/>
          <w:bCs w:val="1"/>
          <w:color w:val="auto"/>
        </w:rPr>
        <w:t>Whole Board</w:t>
      </w:r>
      <w:r>
        <w:rPr>
          <w:rFonts w:ascii="Arial" w:cs="Arial" w:eastAsia="Arial" w:hAnsi="Arial"/>
          <w:sz w:val="18"/>
          <w:szCs w:val="18"/>
          <w:color w:val="auto"/>
        </w:rPr>
        <w:t>” will mean the total number of authorized directors whether or not there exist any vacancies in previously authorized directorships.</w:t>
      </w:r>
    </w:p>
    <w:p>
      <w:pPr>
        <w:spacing w:after="0" w:line="189"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b w:val="1"/>
          <w:bCs w:val="1"/>
          <w:color w:val="auto"/>
        </w:rPr>
        <w:t>Special Meetings</w:t>
      </w:r>
      <w:r>
        <w:rPr>
          <w:rFonts w:ascii="Arial" w:cs="Arial" w:eastAsia="Arial" w:hAnsi="Arial"/>
          <w:sz w:val="17"/>
          <w:szCs w:val="17"/>
          <w:color w:val="auto"/>
        </w:rPr>
        <w:t>. Special meetings of stockholders for any purpose or purposes may be called at any time by a resolution adopted by the majority of the Whole Board, the Chairman of the Board or the Chief Executive Officer, and may not be called by any other person or persons. The Board acting pursuant to a resolution adopted by the majority of the Whole Board may postpone, reschedule or cancel any previously scheduled special meeting of stockholders, before or after the notice for such meeting has been sent to the stockholders. Business transacted at any special meeting of stockholders shall be limited to matters relating to the purpose or purposes stated in the notice of meeting.</w:t>
      </w:r>
    </w:p>
    <w:p>
      <w:pPr>
        <w:spacing w:after="0" w:line="168" w:lineRule="exact"/>
        <w:rPr>
          <w:sz w:val="20"/>
          <w:szCs w:val="20"/>
          <w:color w:val="auto"/>
        </w:rPr>
      </w:pPr>
    </w:p>
    <w:p>
      <w:pPr>
        <w:ind w:right="120" w:firstLine="440"/>
        <w:spacing w:after="0" w:line="269"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b w:val="1"/>
          <w:bCs w:val="1"/>
          <w:color w:val="auto"/>
        </w:rPr>
        <w:t>Notice of Meetings</w:t>
      </w:r>
      <w:r>
        <w:rPr>
          <w:rFonts w:ascii="Arial" w:cs="Arial" w:eastAsia="Arial" w:hAnsi="Arial"/>
          <w:sz w:val="17"/>
          <w:szCs w:val="17"/>
          <w:color w:val="auto"/>
        </w:rPr>
        <w:t>. Except as otherwise provided by law, notice of each meeting of stockholders, whether annual or special, shall be given not less than ten (10) nor more than sixty (60) days before the date of the meeting to each stockholder entitled to vote at such meeting as of the record date for determining the stockholders entitled to notice of the meeting. Without limiting the manner by which notice otherwise may be given to stockholders, any notice shall be effective if given by a form of electronic transmission consented to (in a manner consistent with the DGCL) by the stockholder to whom the notice is given. The notices of all meetings shall state the place, if any, date and time of the meeting, the means of remote communications, if any, by which stockholders and proxyholders may be deemed to be present in person and vote at such meeting, and the record date for determining the stockholders entitled to vote at the meeting (if such date is different from the record date for stockholders entitled to notice of the meeting). The notice of a special meeting shall state, in addition to the foregoing, the purpose or purposes for which the meeting is called. If notice is given by mail, such notice shall be deemed given when deposited in the United States mail, postage prepaid, directed to the stockholder at such stockholder’s address as it appears on the records of the Corporation. If notice is given by overnight courier or by electronic transmission, such notice shall be deemed given at the time specified in Section 232 of the DGCL.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sectPr>
      </w:pPr>
    </w:p>
    <w:bookmarkStart w:id="15" w:name="page16"/>
    <w:bookmarkEnd w:id="1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1.5 </w:t>
      </w:r>
      <w:r>
        <w:rPr>
          <w:rFonts w:ascii="Arial" w:cs="Arial" w:eastAsia="Arial" w:hAnsi="Arial"/>
          <w:sz w:val="16"/>
          <w:szCs w:val="16"/>
          <w:b w:val="1"/>
          <w:bCs w:val="1"/>
          <w:color w:val="auto"/>
        </w:rPr>
        <w:t>Voting List</w:t>
      </w:r>
      <w:r>
        <w:rPr>
          <w:rFonts w:ascii="Arial" w:cs="Arial" w:eastAsia="Arial" w:hAnsi="Arial"/>
          <w:sz w:val="16"/>
          <w:szCs w:val="16"/>
          <w:color w:val="auto"/>
        </w:rPr>
        <w:t>. The Corporation shall prepare, at least ten (10) days before every meeting of stockholders, a complete list of the stockholders entitled to vote at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information required to gain access to such list is provided with the notice of the meeting, or (b) during ordinary business hours, at the principal place of business of the Corporation. The Corporation shall not be required to include electronic mail addresses or other electronic contact information on such list. If the meeting is to be held at a place, then the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1.5 or to vote in person or by proxy at any meeting of stockholders.</w:t>
      </w:r>
    </w:p>
    <w:p>
      <w:pPr>
        <w:spacing w:after="0" w:line="164" w:lineRule="exact"/>
        <w:rPr>
          <w:sz w:val="20"/>
          <w:szCs w:val="20"/>
          <w:color w:val="auto"/>
        </w:rPr>
      </w:pPr>
    </w:p>
    <w:p>
      <w:pPr>
        <w:jc w:val="both"/>
        <w:ind w:right="40" w:firstLine="440"/>
        <w:spacing w:after="0" w:line="273"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b w:val="1"/>
          <w:bCs w:val="1"/>
          <w:color w:val="auto"/>
        </w:rPr>
        <w:t>Quorum</w:t>
      </w:r>
      <w:r>
        <w:rPr>
          <w:rFonts w:ascii="Arial" w:cs="Arial" w:eastAsia="Arial" w:hAnsi="Arial"/>
          <w:sz w:val="17"/>
          <w:szCs w:val="17"/>
          <w:color w:val="auto"/>
        </w:rPr>
        <w:t xml:space="preserve">. Except as otherwise provided by law, the Certificate of Incorporation or these Bylaws, the holders of a majority in voting power of the shares of the capital stock of the Corporation issued and outstanding and entitled to vote at the meeting, present in person or represented by proxy, shall constitute a quorum for the transaction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or represented by proxy, shall constitute a quorum entitled to take action with respect to the vote on such matter. A quorum, once established at a meeting, shall not be broken by the withdrawal of enough votes to leave less than a quorum.</w:t>
      </w:r>
    </w:p>
    <w:p>
      <w:pPr>
        <w:spacing w:after="0" w:line="176"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If, however, such quorum is not present or represented at any meeting of the stockholders, then either (i) the chairperson of the meeting, or (ii) the stockholders so present may, by the affirmative vote of the holders of a majority in voting power of the shares of the corporation which are present in person or represented by proxy and entitled to vote thereat, shall have power to adjourn the meeting from time to time in the manner provided in Section 1.7 of these Bylaws, until a quorum shall attend. At any such adjourned meeting at which there is a quorum, any business may be transacted that might have been transacted at the meeting originally called.</w:t>
      </w:r>
    </w:p>
    <w:p>
      <w:pPr>
        <w:spacing w:after="0" w:line="18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b w:val="1"/>
          <w:bCs w:val="1"/>
          <w:color w:val="auto"/>
        </w:rPr>
        <w:t>Adjournments</w:t>
      </w:r>
      <w:r>
        <w:rPr>
          <w:rFonts w:ascii="Arial" w:cs="Arial" w:eastAsia="Arial" w:hAnsi="Arial"/>
          <w:sz w:val="16"/>
          <w:szCs w:val="16"/>
          <w:color w:val="auto"/>
        </w:rPr>
        <w:t>. The chairman of any meeting of stockholders, annual or special, shall have the power to recess and/or adjourn any such meeting from time to time to any other time and to any other place (or to means of remote communication). Notice of an adjourned meeting need not be given if the time, date and place (or means of remote communication) are announced at the meeting at which the adjournment is taken; provided, however, that . if the adjournment is for more than thirty (30) days or if a new record date for determining stockholders entitled to vote is fixed for the adjourned meeting, a notice of the adjourned meeting shall be given.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which might have been transacted at the original meeting.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6" w:name="page17"/>
    <w:bookmarkEnd w:id="1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1.8 </w:t>
      </w:r>
      <w:r>
        <w:rPr>
          <w:rFonts w:ascii="Arial" w:cs="Arial" w:eastAsia="Arial" w:hAnsi="Arial"/>
          <w:sz w:val="17"/>
          <w:szCs w:val="17"/>
          <w:b w:val="1"/>
          <w:bCs w:val="1"/>
          <w:color w:val="auto"/>
        </w:rPr>
        <w:t>Voting and Proxies</w:t>
      </w:r>
      <w:r>
        <w:rPr>
          <w:rFonts w:ascii="Arial" w:cs="Arial" w:eastAsia="Arial" w:hAnsi="Arial"/>
          <w:sz w:val="17"/>
          <w:szCs w:val="17"/>
          <w:color w:val="auto"/>
        </w:rPr>
        <w:t>. Except as otherwise provided by applicable law or pursuant to the provisions of the Certificate of Incorporation, each stockholder entitled to vote at any meeting of stockholders shall be entitled to one vote for each share of stock held by such stockholder that has voting power upon the matter in question. Each stockholder of record entitled to vote at a meeting of stockholders may vote in person (including by means of remote communications, if any, by which stockholders may be deemed to be present in person and vote at such meeting) or may authorize another person or persons to vote for such stockholder by a proxy executed or transmitted in a manner permitted by applicable law. The authorization of a person to act as proxy may be documented, signed and delivered in accordance with Section 116 of the DGCL, provided that such authorization shall set forth, or be delivered with, information enabling the corporation to determine the identity of the stockholder granting such authorization. No such proxy shall be voted upon after three years from the date of its execution, unless the proxy expressly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w:t>
      </w:r>
    </w:p>
    <w:p>
      <w:pPr>
        <w:spacing w:after="0" w:line="18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color w:val="auto"/>
        </w:rPr>
        <w:t>Action at Meeting</w:t>
      </w:r>
      <w:r>
        <w:rPr>
          <w:rFonts w:ascii="Arial" w:cs="Arial" w:eastAsia="Arial" w:hAnsi="Arial"/>
          <w:sz w:val="18"/>
          <w:szCs w:val="18"/>
          <w:color w:val="auto"/>
        </w:rPr>
        <w:t>. When a quorum is present at any meeting, any matter other than the election of directors to be voted upon by the stockholders at such meeting shall be decided by the vote of the holders of shares of stock having a majority in voting power of the votes cast by the holders of all of the shares of stock present in person or represented by proxy at the meeting and voting affirmatively or negatively on such matter, except when a different vote is required by applicable law, regulation applicable to the Corporation or its securities, the rules or regulations of any stock exchange applicable to the Corporation, the Certificate of Incorporation or these Bylaws. For the avoidance of doubt, neither abstentions nor broker non-votes will be counted as votes cast for or against such matter. Subject to any special rights of the holders of one or more outstanding series of Preferred Stock to elect directors, each director shall be elected by a plurality of the votes cast. Voting at meetings of stockholders need not be by written ballot.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color w:val="auto"/>
        </w:rPr>
        <w:t>Nomination of Directors</w:t>
      </w:r>
      <w:r>
        <w:rPr>
          <w:rFonts w:ascii="Arial" w:cs="Arial" w:eastAsia="Arial" w:hAnsi="Arial"/>
          <w:sz w:val="18"/>
          <w:szCs w:val="18"/>
          <w:color w:val="auto"/>
        </w:rPr>
        <w:t>.</w:t>
      </w:r>
    </w:p>
    <w:p>
      <w:pPr>
        <w:spacing w:after="0" w:line="229" w:lineRule="exact"/>
        <w:rPr>
          <w:sz w:val="20"/>
          <w:szCs w:val="20"/>
          <w:color w:val="auto"/>
        </w:rPr>
      </w:pPr>
    </w:p>
    <w:p>
      <w:pPr>
        <w:ind w:right="40" w:firstLine="987"/>
        <w:spacing w:after="0" w:line="284" w:lineRule="auto"/>
        <w:tabs>
          <w:tab w:leader="none" w:pos="12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Except for (1) any director entitled to be elected pursuant to the special rights of the holders of one or more outstanding series of Preferred Stock, (2) any directors elected in accordance with Section 2.9 hereof by the Board to fill a vacancy or newly-created directorship or (3) as otherwise required by applicable law or stock exchange regulation, at any meeting of stockholders, only persons who are nominated in accordance with the procedures in this Section 1.10 shall be eligible for election or re-election as directors. Nomination for election to the Board at a meeting of stockholders may be made (i) by or at the direction of the Board (or any committee thereof) or (ii) by any stockholder of the Corporation who (x) timely complies with the notice procedures in Section 1.10(b), (y) is a stockholder of record on the date the stockholder gives notice provided for in</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Section 1.10(b) and on the record date for the determination of stockholders entitled to vote at such meeting and (z) is entitled to vote at such meeting.</w:t>
      </w:r>
    </w:p>
    <w:p>
      <w:pPr>
        <w:spacing w:after="0" w:line="233" w:lineRule="exact"/>
        <w:rPr>
          <w:rFonts w:ascii="Arial" w:cs="Arial" w:eastAsia="Arial" w:hAnsi="Arial"/>
          <w:sz w:val="16"/>
          <w:szCs w:val="16"/>
          <w:color w:val="auto"/>
        </w:rPr>
      </w:pPr>
    </w:p>
    <w:p>
      <w:pPr>
        <w:ind w:right="20" w:firstLine="987"/>
        <w:spacing w:after="0" w:line="286" w:lineRule="auto"/>
        <w:tabs>
          <w:tab w:leader="none" w:pos="124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be timely, a stockholder’s notice must be received in writing by the Secretary at the principal executive offices of the Corporation as follows: (i) in the case of an election of directors at an annual meeting of stockholders, not less than ninety (90) days nor more than one hundred and twenty (120) days prior to the first anniversary of the preceding year’s annual meeting (except in the case of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17" w:name="page18"/>
    <w:bookmarkEnd w:id="17"/>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Corporation’s first annual meeting following its initial public offering, for which such notice shall be timely if delivered in the same time period as if such meeting were for the election of directors at a special meeting governed by this Section 1.10(b));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that the date of the annual meeting in any other year is advanced by more than thirty (30) days, or delayed by more than sixty (60) days, from the first anniversary of the preceding year’s annual meeting, a stockholder’s notice must be so received not earlier than the one hundred and twentieth (120th) day prior to such annual meeting and not later than the close of business on the later of (A) the ninetieth (90th) day prior to such annual meeting and (B) the tenth (10th) day following the day on which notice of the date of such annual meeting was mailed or public disclosure of the date of such annual meeting was made, whichever first occurs; or (ii) in the case of an election of directors at a special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majority of the Whole Board, the Chairman of the Board or the Chief Executive Officer has determined, in accordance with Section 1.3, that directors shall be elected at such special meeting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nomination made by the stockholder is for one of the director positions that the Board, the Chairman of the Board or the Chief Executive Officer, as the case may be, has determined will be filled at such special meeting, not earlier than the one hundred and twentieth (120th) day prior to such special meeting and not later than the close of business on the later of (x) the ninetieth (90th) day prior to such special meeting and (y) the tenth (10th) day following the day on which notice of the date of such special meeting was mailed or public disclosure of the date of such special meeting was made, whichever first occurs. In no event shall the adjournment or postponement of a meeting (or the public disclosure thereof) commence a new time period (or extend any time period) for the giving of a stockholder’s notice under this Section 1.10.</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stockholder’s notice to the Secretary shall set forth:</w:t>
      </w:r>
    </w:p>
    <w:p>
      <w:pPr>
        <w:spacing w:after="0" w:line="117" w:lineRule="exact"/>
        <w:rPr>
          <w:sz w:val="20"/>
          <w:szCs w:val="20"/>
          <w:color w:val="auto"/>
        </w:rPr>
      </w:pPr>
    </w:p>
    <w:p>
      <w:pPr>
        <w:ind w:firstLine="987"/>
        <w:spacing w:after="0" w:line="268" w:lineRule="auto"/>
        <w:tabs>
          <w:tab w:leader="none" w:pos="128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 to each proposed nominee (1) such person’s name, age, business address and, if known, residence address, (2) such person’s principal occupation or employment, (3) the class and series and number of shares of stock of the Corporation that are, directly or indirectly, owned, beneficially or of record, by such person, (4) a description of all direct and indirect compensation and other material monetary agreements, arrangements and understandings during the past three years, and any other material relationships, between or among (x) the stockholder, the beneficial owner, if any, on whose behalf the nomination is being made and the respective affiliates and associates of, or others acting in concert with, such stockholder and such beneficial owner, on the one hand, and (y) each proposed nominee, and his or her respective affiliates and associates, or others acting in concert with such nominee(s), on the other hand, including all information that would be required to be disclosed pursuant to Item 404 of Regulation S-K if the stockholder making the nomination and any beneficial owner on whose behalf the nomination is made or any affiliate or associate thereof or person acting in concert therewith were the “registrant” for purposes of such Item and the proposed nominee were a director or executive officer of such registrant, (5) 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proposed nominee, the effect or intent of which is to mitigate loss to, manage risk or benefit of share price changes for, or increase or decrease the voting power of, such proposed nominee with respect to shares of stock of the Corporation, and (6) any other information concerning such person that must be disclosed as to nominees in proxy solicitations pursuant to Regulation 14A under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w:t>
      </w:r>
    </w:p>
    <w:p>
      <w:pPr>
        <w:spacing w:after="0" w:line="181" w:lineRule="exact"/>
        <w:rPr>
          <w:rFonts w:ascii="Arial" w:cs="Arial" w:eastAsia="Arial" w:hAnsi="Arial"/>
          <w:sz w:val="17"/>
          <w:szCs w:val="17"/>
          <w:color w:val="auto"/>
        </w:rPr>
      </w:pPr>
    </w:p>
    <w:p>
      <w:pPr>
        <w:ind w:right="60" w:firstLine="987"/>
        <w:spacing w:after="0" w:line="263" w:lineRule="auto"/>
        <w:tabs>
          <w:tab w:leader="none" w:pos="12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nomination is being made (1) the name and address of such stockholder as they appear on the Corporation’s books, the name and address of such beneficial owner, and the name and address of 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8" w:name="page19"/>
    <w:bookmarkEnd w:id="18"/>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 Associated Person (as defined below), (2) the class and series and number of shares of stock of the Corporation that are directly or indirectly owned, beneficially or of record, by such stockholder, such beneficial owner and any Stockholder Associated Person, (3) a description of any agreement, arrangement or understanding between or among such stockholder, such beneficial owner and/or any Stockholder Associated Person and each proposed nominee and any other person or persons (including their names) pursuant to which the nomination(s) are being made or who may participate in the solicitation of proxies in favor of electing such nominee(s), (4) 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such beneficial owner or any Stockholder Associated Person, the effect or intent of which is to mitigate loss to, manage risk or benefit of share price changes for, or increase or decrease the voting power of, such stockholder, such beneficial owner or any Stockholder Associated Person with respect to shares of stock of the Corporation, (5) any other information relating to such stockholder, such beneficial owner and any Stockholder Associated Person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(6) a representation that such stockholder intends to appear in person or by proxy at the meeting to nominate the person(s) named in its notice and (7) a representation whether such stockholder, such beneficial owner and/or such Stockholder Associated Person intends or is part of a group which intends (x) to deliver a proxy statement and/or form of proxy to holders of at least the percentage of the Corporation’s outstanding capital stock reasonably believed by such stockholder, such beneficial owner or such Stockholder Associated Person to be sufficient to elect the nominee and/or (y) otherwise to solicit proxies or votes from stockholders in support of such nomination.</w:t>
      </w:r>
    </w:p>
    <w:p>
      <w:pPr>
        <w:spacing w:after="0" w:line="191"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Such information provided and statements made as required by clauses (A) and (B) above or otherwise by this Section 1.10 are hereinafter referred to as a “</w:t>
      </w:r>
      <w:r>
        <w:rPr>
          <w:rFonts w:ascii="Arial" w:cs="Arial" w:eastAsia="Arial" w:hAnsi="Arial"/>
          <w:sz w:val="17"/>
          <w:szCs w:val="17"/>
          <w:b w:val="1"/>
          <w:bCs w:val="1"/>
          <w:color w:val="auto"/>
        </w:rPr>
        <w:t>Nominee Solicitation Statement</w:t>
      </w:r>
      <w:r>
        <w:rPr>
          <w:rFonts w:ascii="Arial" w:cs="Arial" w:eastAsia="Arial" w:hAnsi="Arial"/>
          <w:sz w:val="17"/>
          <w:szCs w:val="17"/>
          <w:color w:val="auto"/>
        </w:rPr>
        <w:t>.” Not later than ten (10) days after the record date for determining stockholders entitled to notice of the meeting, the information required by Items (A)(1)-(5) and (B)(1)-(5) of the prior sentence shall be supplemented by the stockholder giving the notice to provide updated information as of such record date. In addition, to be effective, the stockholder’s notice must be accompanied by a written questionnaire with respect to the background and qualification of such proposed nominee (which questionnaire shall be provided by the Secretary upon written request) and the written consent of the proposed nominee to be named in the Corporation’s proxy statement as a nominee and to serve as a director if elected and a written statement executed by the proposed nominee acknowledging that as a director of the Corporation, the nominee will owe fiduciary duties under Delaware law to the Corporation and its stockholders. The Corporation may require any proposed nominee to furnish such other information as the Corporation may reasonably require to determine the eligibility of such proposed nominee to serve as a director of the Corporation or that could be material to a reasonable stockholder’s understanding of the independence, or lack thereof, of such nominee, or whether such nominee would be independent under applicable Securities and Exchange Commission and stock exchange rules and the Corporation’s publicly disclosed corporate governance guidelines. A stockholder shall not have complied with this Section 1.10(b) if the stockholder (or beneficial owner, if any, on whose behalf the nomination is made) solicits or does not solicit, as the case may be, proxies or votes in support of such stockholder’s nominee in contravention of the representations with respect thereto required by this Section 1.10. For purposes of these Bylaws, a “</w:t>
      </w:r>
      <w:r>
        <w:rPr>
          <w:rFonts w:ascii="Arial" w:cs="Arial" w:eastAsia="Arial" w:hAnsi="Arial"/>
          <w:sz w:val="17"/>
          <w:szCs w:val="17"/>
          <w:b w:val="1"/>
          <w:bCs w:val="1"/>
          <w:color w:val="auto"/>
        </w:rPr>
        <w:t>Stockholder Associated</w:t>
      </w:r>
      <w:r>
        <w:rPr>
          <w:rFonts w:ascii="Arial" w:cs="Arial" w:eastAsia="Arial" w:hAnsi="Arial"/>
          <w:sz w:val="17"/>
          <w:szCs w:val="17"/>
          <w:color w:val="auto"/>
        </w:rPr>
        <w:t xml:space="preserve"> </w:t>
      </w:r>
      <w:r>
        <w:rPr>
          <w:rFonts w:ascii="Arial" w:cs="Arial" w:eastAsia="Arial" w:hAnsi="Arial"/>
          <w:sz w:val="17"/>
          <w:szCs w:val="17"/>
          <w:b w:val="1"/>
          <w:bCs w:val="1"/>
          <w:color w:val="auto"/>
        </w:rPr>
        <w:t>Person</w:t>
      </w:r>
      <w:r>
        <w:rPr>
          <w:rFonts w:ascii="Arial" w:cs="Arial" w:eastAsia="Arial" w:hAnsi="Arial"/>
          <w:sz w:val="17"/>
          <w:szCs w:val="17"/>
          <w:color w:val="auto"/>
        </w:rPr>
        <w:t>” of any stockholder shall mean (i) any person controlling, directly or indirectly, or acting in concert with, such stockholder, (ii) any beneficial</w:t>
      </w:r>
      <w:r>
        <w:rPr>
          <w:rFonts w:ascii="Arial" w:cs="Arial" w:eastAsia="Arial" w:hAnsi="Arial"/>
          <w:sz w:val="17"/>
          <w:szCs w:val="17"/>
          <w:b w:val="1"/>
          <w:bCs w:val="1"/>
          <w:color w:val="auto"/>
        </w:rPr>
        <w:t xml:space="preserve"> </w:t>
      </w:r>
      <w:r>
        <w:rPr>
          <w:rFonts w:ascii="Arial" w:cs="Arial" w:eastAsia="Arial" w:hAnsi="Arial"/>
          <w:sz w:val="17"/>
          <w:szCs w:val="17"/>
          <w:color w:val="auto"/>
        </w:rPr>
        <w:t>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9" w:name="page20"/>
    <w:bookmarkEnd w:id="19"/>
    <w:p>
      <w:pPr>
        <w:ind w:left="4" w:hanging="4"/>
        <w:spacing w:after="0" w:line="284" w:lineRule="auto"/>
        <w:tabs>
          <w:tab w:leader="none" w:pos="249"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exception, no person shall be eligible for election or re-election as a director of the Corporation at a meeting of stockholders unless nominated in accordance with the provisions set forth in this Section 1.10.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 The chairman of any meeting shall have the power and duty to determine whether a nomination was made in accordance with the provisions of this Section 1.10 (including the previous sentence of this</w:t>
      </w:r>
    </w:p>
    <w:p>
      <w:pPr>
        <w:spacing w:after="0" w:line="4" w:lineRule="exact"/>
        <w:rPr>
          <w:rFonts w:ascii="Arial" w:cs="Arial" w:eastAsia="Arial" w:hAnsi="Arial"/>
          <w:sz w:val="16"/>
          <w:szCs w:val="16"/>
          <w:color w:val="auto"/>
        </w:rPr>
      </w:pPr>
    </w:p>
    <w:p>
      <w:pPr>
        <w:ind w:left="4" w:right="460"/>
        <w:spacing w:after="0" w:line="260" w:lineRule="auto"/>
        <w:rPr>
          <w:rFonts w:ascii="Arial" w:cs="Arial" w:eastAsia="Arial" w:hAnsi="Arial"/>
          <w:sz w:val="16"/>
          <w:szCs w:val="16"/>
          <w:color w:val="auto"/>
        </w:rPr>
      </w:pPr>
      <w:r>
        <w:rPr>
          <w:rFonts w:ascii="Arial" w:cs="Arial" w:eastAsia="Arial" w:hAnsi="Arial"/>
          <w:sz w:val="18"/>
          <w:szCs w:val="18"/>
          <w:color w:val="auto"/>
        </w:rPr>
        <w:t>Section 1.10(c)), and if the chairman should determine that a nomination was not made in accordance with the provisions of this Section 1.10, the chairman shall so declare to the meeting and such nomination shall not be brought before the meeting.</w:t>
      </w:r>
    </w:p>
    <w:p>
      <w:pPr>
        <w:spacing w:after="0" w:line="185" w:lineRule="exact"/>
        <w:rPr>
          <w:rFonts w:ascii="Arial" w:cs="Arial" w:eastAsia="Arial" w:hAnsi="Arial"/>
          <w:sz w:val="16"/>
          <w:szCs w:val="16"/>
          <w:color w:val="auto"/>
        </w:rPr>
      </w:pPr>
    </w:p>
    <w:p>
      <w:pPr>
        <w:ind w:left="4" w:right="180" w:firstLine="987"/>
        <w:spacing w:after="0" w:line="263" w:lineRule="auto"/>
        <w:tabs>
          <w:tab w:leader="none" w:pos="125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Except as otherwise required by law, nothing in this Section 1.10 shall obligate the Corporation or the Board to include in any proxy statement or other stockholder communication distributed on behalf of the Corporation or the Board information with respect to any nominee for director submitted by a stockholder.</w:t>
      </w:r>
    </w:p>
    <w:p>
      <w:pPr>
        <w:spacing w:after="0" w:line="183" w:lineRule="exact"/>
        <w:rPr>
          <w:rFonts w:ascii="Arial" w:cs="Arial" w:eastAsia="Arial" w:hAnsi="Arial"/>
          <w:sz w:val="18"/>
          <w:szCs w:val="18"/>
          <w:color w:val="auto"/>
        </w:rPr>
      </w:pPr>
    </w:p>
    <w:p>
      <w:pPr>
        <w:ind w:left="4" w:firstLine="987"/>
        <w:spacing w:after="0" w:line="254" w:lineRule="auto"/>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1.10, unless otherwise required by law, if the stockholder (or a qualified representative of the stockholder) does not appear at the meeting to present a nomination, such nomination shall not be brought before the meeting, notwithstanding that proxies in respect of such nominee may have been received by the Corporation. For purposes of this Section 1.10, to be considered a “</w:t>
      </w:r>
      <w:r>
        <w:rPr>
          <w:rFonts w:ascii="Arial" w:cs="Arial" w:eastAsia="Arial" w:hAnsi="Arial"/>
          <w:sz w:val="18"/>
          <w:szCs w:val="18"/>
          <w:b w:val="1"/>
          <w:bCs w:val="1"/>
          <w:color w:val="auto"/>
        </w:rPr>
        <w:t>qualified representative of the stockholder</w:t>
      </w:r>
      <w:r>
        <w:rPr>
          <w:rFonts w:ascii="Arial" w:cs="Arial" w:eastAsia="Arial" w:hAnsi="Arial"/>
          <w:sz w:val="18"/>
          <w:szCs w:val="18"/>
          <w:color w:val="auto"/>
        </w:rPr>
        <w:t>”,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at the meeting of stockholders.</w:t>
      </w:r>
    </w:p>
    <w:p>
      <w:pPr>
        <w:spacing w:after="0" w:line="190" w:lineRule="exact"/>
        <w:rPr>
          <w:rFonts w:ascii="Arial" w:cs="Arial" w:eastAsia="Arial" w:hAnsi="Arial"/>
          <w:sz w:val="18"/>
          <w:szCs w:val="18"/>
          <w:color w:val="auto"/>
        </w:rPr>
      </w:pPr>
    </w:p>
    <w:p>
      <w:pPr>
        <w:ind w:left="4" w:right="320" w:firstLine="987"/>
        <w:spacing w:after="0" w:line="266"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purposes of this Section 1.10, “</w:t>
      </w:r>
      <w:r>
        <w:rPr>
          <w:rFonts w:ascii="Arial" w:cs="Arial" w:eastAsia="Arial" w:hAnsi="Arial"/>
          <w:sz w:val="18"/>
          <w:szCs w:val="18"/>
          <w:b w:val="1"/>
          <w:bCs w:val="1"/>
          <w:color w:val="auto"/>
        </w:rPr>
        <w:t>public disclosure</w:t>
      </w:r>
      <w:r>
        <w:rPr>
          <w:rFonts w:ascii="Arial" w:cs="Arial" w:eastAsia="Arial" w:hAnsi="Arial"/>
          <w:sz w:val="18"/>
          <w:szCs w:val="18"/>
          <w:color w:val="auto"/>
        </w:rPr>
        <w:t>”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79" w:lineRule="exact"/>
        <w:rPr>
          <w:rFonts w:ascii="Arial" w:cs="Arial" w:eastAsia="Arial" w:hAnsi="Arial"/>
          <w:sz w:val="18"/>
          <w:szCs w:val="18"/>
          <w:color w:val="auto"/>
        </w:rPr>
      </w:pPr>
    </w:p>
    <w:p>
      <w:pPr>
        <w:ind w:left="4" w:right="80" w:firstLine="987"/>
        <w:spacing w:after="0" w:line="254" w:lineRule="auto"/>
        <w:tabs>
          <w:tab w:leader="none" w:pos="125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Section 1.10, a stockholder shall also comply with all applicable requirements of the Exchange Act and the rules and regulations promulgated thereunder with respect to the matters set forth in this Section 1.10;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references in these Bylaws to the Exchange Act or the rules and regulations promulgated thereunder are not intended to and shall not limit any requirements applicable to nominations to be considered pursuant to this Section 1.10 (including paragraph (a)(ii) hereof), and compliance with paragraph (a)(ii) of this Section 1.10 shall be the exclusive means for a stockholder to make nominations. Nothing in this Section 1.10 shall be deemed to affect any rights of the holders of any series of Preferred Stock to elect directors pursuant to any applicable provisions of the Certificate of Incorporation.</w:t>
      </w:r>
    </w:p>
    <w:p>
      <w:pPr>
        <w:spacing w:after="0" w:line="12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4"/>
          </w:cols>
          <w:pgMar w:left="436" w:top="274" w:right="519" w:bottom="1440" w:gutter="0" w:footer="0" w:header="0"/>
        </w:sectPr>
      </w:pPr>
    </w:p>
    <w:bookmarkStart w:id="20" w:name="page21"/>
    <w:bookmarkEnd w:id="2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1.11 </w:t>
      </w:r>
      <w:r>
        <w:rPr>
          <w:rFonts w:ascii="Arial" w:cs="Arial" w:eastAsia="Arial" w:hAnsi="Arial"/>
          <w:sz w:val="18"/>
          <w:szCs w:val="18"/>
          <w:b w:val="1"/>
          <w:bCs w:val="1"/>
          <w:color w:val="auto"/>
        </w:rPr>
        <w:t>Notice of Business at Annual Meetings</w:t>
      </w:r>
      <w:r>
        <w:rPr>
          <w:rFonts w:ascii="Arial" w:cs="Arial" w:eastAsia="Arial" w:hAnsi="Arial"/>
          <w:sz w:val="18"/>
          <w:szCs w:val="18"/>
          <w:color w:val="auto"/>
        </w:rPr>
        <w:t>.</w:t>
      </w:r>
    </w:p>
    <w:p>
      <w:pPr>
        <w:spacing w:after="0" w:line="229" w:lineRule="exact"/>
        <w:rPr>
          <w:sz w:val="20"/>
          <w:szCs w:val="20"/>
          <w:color w:val="auto"/>
        </w:rPr>
      </w:pPr>
    </w:p>
    <w:p>
      <w:pPr>
        <w:ind w:left="4" w:right="80" w:firstLine="987"/>
        <w:spacing w:after="0" w:line="287" w:lineRule="auto"/>
        <w:tabs>
          <w:tab w:leader="none" w:pos="12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At any annual meeting of the stockholders, only such business shall be conducted as shall have been properly brought before the meeting. To be properly brought before an annual meeting, business must be (1) specified in the notice of meeting (or any supplement thereto) given by or at the direction of the Board, (2) otherwise properly brought before the meeting by or at the direction of the Board (or any committee thereof), or</w:t>
      </w:r>
    </w:p>
    <w:p>
      <w:pPr>
        <w:spacing w:after="0" w:line="2" w:lineRule="exact"/>
        <w:rPr>
          <w:rFonts w:ascii="Arial" w:cs="Arial" w:eastAsia="Arial" w:hAnsi="Arial"/>
          <w:sz w:val="16"/>
          <w:szCs w:val="16"/>
          <w:color w:val="auto"/>
        </w:rPr>
      </w:pPr>
    </w:p>
    <w:p>
      <w:pPr>
        <w:ind w:left="4" w:right="220" w:hanging="4"/>
        <w:spacing w:after="0" w:line="270" w:lineRule="auto"/>
        <w:tabs>
          <w:tab w:leader="none" w:pos="259"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properly brought before the annual meeting by a stockholder. For business to be properly brought before an annual meeting by a stockholder, (i) if such business relates to the nomination of a person for election as a director of the Corporation, the procedures in Section 1.10 must be complied with and (ii) if such business relates to any other matter, the business must constitute a proper matter under Delaware law for stockholder action and the stockholder must (x) have given timely notice thereof in writing to the Secretary in accordance with the procedures in Section 1.11(b), (y) be a stockholder of record on the date the stockholder gives notice provided for in Section 1.11(b) and on the record date for the determination of stockholders entitled to vote at such annual meeting and (z) be entitled to vote at such annual meeting.</w:t>
      </w:r>
    </w:p>
    <w:p>
      <w:pPr>
        <w:spacing w:after="0" w:line="178" w:lineRule="exact"/>
        <w:rPr>
          <w:rFonts w:ascii="Arial" w:cs="Arial" w:eastAsia="Arial" w:hAnsi="Arial"/>
          <w:sz w:val="17"/>
          <w:szCs w:val="17"/>
          <w:color w:val="auto"/>
        </w:rPr>
      </w:pPr>
    </w:p>
    <w:p>
      <w:pPr>
        <w:ind w:left="4" w:right="20" w:firstLine="987"/>
        <w:spacing w:after="0" w:line="288" w:lineRule="auto"/>
        <w:tabs>
          <w:tab w:leader="none" w:pos="1250"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To be timely, a stockholder’s notice must be received in writing by the Secretary at the principal executive offices of the Corporation not less than ninety (90) days nor more than one hundred and twenty (120) days prior to the first anniversary of the preceding year’s annual meeting ((except in the case of the Corporation’s first annual meeting following its initial public offering, for which such notice shall be timely if delivered in the same time period as if such meeting were for the election of directors at a special meeting governed by Section 1.10(b)));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annual meeting in any other year is advanced by more than thirty (30) days, or delayed by more than sixty (60) days, from the first anniversary of the preceding year’s annual meeting, a stockholder’s notice must be so received not earlier than the one hundred and twentieth (120th) day prior to such annual meeting and not later than the close of business on the later of (A) the ninetieth (90th) day prior to such annual meeting and (B) the tenth (10th) day following the day on which notice of the date of such annual meeting was mailed or public disclosure of the date of such annual meeting was made, whichever first occurs. In no event shall the adjournment or postponement of an annual meeting (or the public disclosure thereof) commence a new time period (or extend any time period) for the giving of a stockholder’s notice under this Section 1.11.</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stockholder’s notice to the Secretary shall set forth:</w:t>
      </w:r>
    </w:p>
    <w:p>
      <w:pPr>
        <w:spacing w:after="0" w:line="117" w:lineRule="exact"/>
        <w:rPr>
          <w:sz w:val="20"/>
          <w:szCs w:val="20"/>
          <w:color w:val="auto"/>
        </w:rPr>
      </w:pPr>
    </w:p>
    <w:p>
      <w:pPr>
        <w:ind w:left="4" w:right="100" w:firstLine="436"/>
        <w:spacing w:after="0" w:line="259" w:lineRule="auto"/>
        <w:tabs>
          <w:tab w:leader="none" w:pos="7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to each matter the stockholder proposes to bring before the annual meeting (1) a brief description of the business desired to be brought before the annual meeting, (2) the text of the proposal (including the exact text of any resolutions proposed for consideration and, in the event that such business includes a proposal to amend the Bylaws, the exact text of the proposed amendment), and (3) the reasons for conducting such business at the annual meeting, and</w:t>
      </w:r>
    </w:p>
    <w:p>
      <w:pPr>
        <w:spacing w:after="0" w:line="186" w:lineRule="exact"/>
        <w:rPr>
          <w:rFonts w:ascii="Arial" w:cs="Arial" w:eastAsia="Arial" w:hAnsi="Arial"/>
          <w:sz w:val="18"/>
          <w:szCs w:val="18"/>
          <w:color w:val="auto"/>
        </w:rPr>
      </w:pPr>
    </w:p>
    <w:p>
      <w:pPr>
        <w:ind w:left="4" w:firstLine="436"/>
        <w:spacing w:after="0" w:line="269" w:lineRule="auto"/>
        <w:tabs>
          <w:tab w:leader="none" w:pos="729"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to the stockholder giving the notice and the beneficial owner, if any, on whose behalf the proposal is being made (1) the name and address of such stockholder, as they appear on the Corporation’s books, of such beneficial owner and of any Stockholder Associated Person, (2) the class and series and number of shares of stock of the Corporation that are, directly or indirectly, owned, beneficially or of record, by such stockholder, such beneficial owner and any Stockholder Associated Person, (3) a description of any material interest of such stockholder, such beneficial owner or any Stockholder Associated Person and the respective affiliates and associates of, or others acting in concert with, such stockholder, such beneficial owner or any Stockholder Associated Person in such business, (4) a description of any agreement, arrangement or understanding between or among such stockholder, such beneficial owner and/or any Stockholder Associated Person and any other person or persons (including their names) in connection with the proposal of such business or who may participate in the solicitation of proxies in favor of such proposal, (5) a description of any agreement, arrangement or understanding (including any derivative or short positions, swaps, profit interests, options, warrants, convertible securities, stock appreciation or similar rights, hedging transactions, and borrowed or loaned shares) that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21" w:name="page22"/>
    <w:bookmarkEnd w:id="2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has been entered into by, or on behalf of, such stockholder, such beneficial owner or any Stockholder Associated Person, the effect or intent of which is to mitigate loss to, manage risk or benefit of share price changes for, or increase or decrease the voting power of, such stockholder, such beneficial owner or any Stockholder Associated Person with respect to shares of stock of the Corporation, (6) any other information relating to such stockholder, such beneficial owner and any Stockholder Associated Person that would be required to be disclosed in a proxy statement or other filings required to be made in connection with solicitations of proxies for the business proposed pursuant to Section 14 of the Exchange Act and the rules and regulations promulgated thereunder, (7) a representation that such stockholder intends to appear in person or by proxy at the annual meeting to bring such business before the meeting and (8) a representation whether such stockholder, such beneficial owner and/or any Stockholder Associated Person intends or is part of a group which intends (x) to deliver a proxy statement and/or form of proxy to holders of at least the percentage of the Corporation’s outstanding capital stock required to approve or adopt the proposal and/or (y) otherwise to solicit proxies or votes from stockholders in support of such proposal. Such information provided and statements made as required by clauses (A) and (B) above or otherwise by this Section 1.11 are hereinafter referred to as a “</w:t>
      </w:r>
      <w:r>
        <w:rPr>
          <w:rFonts w:ascii="Arial" w:cs="Arial" w:eastAsia="Arial" w:hAnsi="Arial"/>
          <w:sz w:val="16"/>
          <w:szCs w:val="16"/>
          <w:b w:val="1"/>
          <w:bCs w:val="1"/>
          <w:color w:val="auto"/>
        </w:rPr>
        <w:t>Business Solicitation Statement</w:t>
      </w:r>
      <w:r>
        <w:rPr>
          <w:rFonts w:ascii="Arial" w:cs="Arial" w:eastAsia="Arial" w:hAnsi="Arial"/>
          <w:sz w:val="16"/>
          <w:szCs w:val="16"/>
          <w:color w:val="auto"/>
        </w:rPr>
        <w:t xml:space="preserve">.” Not later than ten (10) days after the record date for determining stockholders entitled to notice of the meeting, the information required by Items (A)(3) and (B)(1)-(6) of the prior sentence shall be supplemented by the stockholder giving the notice to provide updated information as of such record date. Notwithstanding anything in these Bylaws to the contrary, no business shall be conducted at any annual meeting of stockholders except in accordance with the procedures in this Section 1.11;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stockholder proposal which complies with Rule 14a-8 of the proxy rules (or any successor provision) promulgated under the Exchange Act and is to be included in the Corporation’s proxy statement for an annual meeting of stockholders shall be deemed to comply with the notice requirements of this Section 1.11. A stockholder shall not have complied with this Section 1.11(b) if the stockholder (or beneficial owner, if any, on whose behalf the proposal is made) solicits or does not solicit, as the case may be, proxies or votes in support of such stockholder’s proposal in contravention of the representations with respect thereto required by this Section 1.11.</w:t>
      </w:r>
    </w:p>
    <w:p>
      <w:pPr>
        <w:spacing w:after="0" w:line="171" w:lineRule="exact"/>
        <w:rPr>
          <w:sz w:val="20"/>
          <w:szCs w:val="20"/>
          <w:color w:val="auto"/>
        </w:rPr>
      </w:pPr>
    </w:p>
    <w:p>
      <w:pPr>
        <w:ind w:right="20" w:firstLine="987"/>
        <w:spacing w:after="0" w:line="290" w:lineRule="auto"/>
        <w:tabs>
          <w:tab w:leader="none" w:pos="1236" w:val="left"/>
        </w:tabs>
        <w:numPr>
          <w:ilvl w:val="0"/>
          <w:numId w:val="18"/>
        </w:numPr>
        <w:rPr>
          <w:rFonts w:ascii="Arial" w:cs="Arial" w:eastAsia="Arial" w:hAnsi="Arial"/>
          <w:sz w:val="16"/>
          <w:szCs w:val="16"/>
          <w:color w:val="auto"/>
        </w:rPr>
      </w:pPr>
      <w:r>
        <w:rPr>
          <w:rFonts w:ascii="Arial" w:cs="Arial" w:eastAsia="Arial" w:hAnsi="Arial"/>
          <w:sz w:val="16"/>
          <w:szCs w:val="16"/>
          <w:color w:val="auto"/>
        </w:rPr>
        <w:t>Without exception, no business shall be conducted at any annual meeting except in accordance with the provisions set forth in this Section 1.11.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chairman of any annual meeting shall have the power and duty to determine whether business was properly brought before the annual meeting in accordance with the provisions of this Section 1.11 (including the previous sentence of this Section 1.11(c)), and if the chairman should determine that business was not properly brought before the annual meeting in accordance with the provisions of this Section 1.11, the chairman shall so declare to the meeting and such business shall not be brought before the annual meeting.</w:t>
      </w:r>
    </w:p>
    <w:p>
      <w:pPr>
        <w:spacing w:after="0" w:line="165" w:lineRule="exact"/>
        <w:rPr>
          <w:rFonts w:ascii="Arial" w:cs="Arial" w:eastAsia="Arial" w:hAnsi="Arial"/>
          <w:sz w:val="16"/>
          <w:szCs w:val="16"/>
          <w:color w:val="auto"/>
        </w:rPr>
      </w:pPr>
    </w:p>
    <w:p>
      <w:pPr>
        <w:ind w:right="80" w:firstLine="987"/>
        <w:spacing w:after="0" w:line="263" w:lineRule="auto"/>
        <w:tabs>
          <w:tab w:leader="none" w:pos="12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otherwise required by law, nothing in this Section 1.11 shall obligate the Corporation or the Board to include in any proxy statement or other stockholder communication distributed on behalf of the Corporation or the Board information with respect to any proposal submitted by a stockholder.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2" w:name="page23"/>
    <w:bookmarkEnd w:id="22"/>
    <w:p>
      <w:pPr>
        <w:ind w:right="100" w:firstLine="987"/>
        <w:spacing w:after="0" w:line="263" w:lineRule="auto"/>
        <w:tabs>
          <w:tab w:leader="none" w:pos="1236"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provisions of this Section 1.11, unless otherwise required by law, if the stockholder (or a qualified representative of the stockholder) does not appear at the annual meeting to present business, such business shall not be considered, notwithstanding that proxies in respect of such business may have been received by the Corporation.</w:t>
      </w:r>
    </w:p>
    <w:p>
      <w:pPr>
        <w:spacing w:after="0" w:line="183" w:lineRule="exact"/>
        <w:rPr>
          <w:rFonts w:ascii="Arial" w:cs="Arial" w:eastAsia="Arial" w:hAnsi="Arial"/>
          <w:sz w:val="18"/>
          <w:szCs w:val="18"/>
          <w:color w:val="auto"/>
        </w:rPr>
      </w:pPr>
    </w:p>
    <w:p>
      <w:pPr>
        <w:ind w:right="260" w:firstLine="987"/>
        <w:spacing w:after="0" w:line="277" w:lineRule="auto"/>
        <w:tabs>
          <w:tab w:leader="none" w:pos="12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purposes of this Section 1.11, the terms “qualified representative of the stockholder” and “public disclosure” shall have the same meaning as in Section 1.10.</w:t>
      </w:r>
    </w:p>
    <w:p>
      <w:pPr>
        <w:spacing w:after="0" w:line="170" w:lineRule="exact"/>
        <w:rPr>
          <w:rFonts w:ascii="Arial" w:cs="Arial" w:eastAsia="Arial" w:hAnsi="Arial"/>
          <w:sz w:val="18"/>
          <w:szCs w:val="18"/>
          <w:color w:val="auto"/>
        </w:rPr>
      </w:pPr>
    </w:p>
    <w:p>
      <w:pPr>
        <w:ind w:firstLine="987"/>
        <w:spacing w:after="0" w:line="290" w:lineRule="auto"/>
        <w:tabs>
          <w:tab w:leader="none" w:pos="1246"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this Section 1.11, a stockholder shall also comply with all applicable requirements of the Exchange Act and the rules and regulations promulgated thereunder with respect to the matters set forth in this Section 1.11;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references in these Bylaws to the Exchange Act or the rules and regulations promulgated thereunder are not intended to and shall not limit any requirements applicable to proposals as to any business to be considered pursuant to this Section 1.11 (including paragraph (a)(3) hereof), and compliance with paragraph (a)(3) of this Section 1.11 shall be the exclusive means for a stockholder to submit business (other than, as provided in the penultimate sentence of (b), business other than nominations brought properly under and in compliance with Rule 14a-8 of the Exchange Act, as may be amended from time to time). Nothing in this Section 1.11 shall be deemed to affect any rights of stockholders to request inclusion of proposals in the Corporation’s proxy statement pursuant to applicable rules and regulations promulgated under the Exchange Act.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Conduct of Meetings</w:t>
      </w:r>
      <w:r>
        <w:rPr>
          <w:rFonts w:ascii="Arial" w:cs="Arial" w:eastAsia="Arial" w:hAnsi="Arial"/>
          <w:sz w:val="18"/>
          <w:szCs w:val="18"/>
          <w:color w:val="auto"/>
        </w:rPr>
        <w:t>.</w:t>
      </w:r>
    </w:p>
    <w:p>
      <w:pPr>
        <w:spacing w:after="0" w:line="229" w:lineRule="exact"/>
        <w:rPr>
          <w:sz w:val="20"/>
          <w:szCs w:val="20"/>
          <w:color w:val="auto"/>
        </w:rPr>
      </w:pPr>
    </w:p>
    <w:p>
      <w:pPr>
        <w:ind w:right="40" w:firstLine="987"/>
        <w:spacing w:after="0" w:line="257" w:lineRule="auto"/>
        <w:tabs>
          <w:tab w:leader="none" w:pos="12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The Secretary shall act as secretary of the meeting, but in the Secretary’s absence the chairman of the meeting may appoint any person to act as secretary of the meeting.</w:t>
      </w:r>
    </w:p>
    <w:p>
      <w:pPr>
        <w:spacing w:after="0" w:line="187" w:lineRule="exact"/>
        <w:rPr>
          <w:rFonts w:ascii="Arial" w:cs="Arial" w:eastAsia="Arial" w:hAnsi="Arial"/>
          <w:sz w:val="18"/>
          <w:szCs w:val="18"/>
          <w:color w:val="auto"/>
        </w:rPr>
      </w:pPr>
    </w:p>
    <w:p>
      <w:pPr>
        <w:ind w:right="60" w:firstLine="987"/>
        <w:spacing w:after="0" w:line="287" w:lineRule="auto"/>
        <w:tabs>
          <w:tab w:leader="none" w:pos="124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Board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the chairman of any meeting of stockholders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or the chairman of the meeting, meetings of stockholders shall not be required to be held in accordance with the rules of parliamentary procedure.</w:t>
      </w:r>
    </w:p>
    <w:p>
      <w:pPr>
        <w:spacing w:after="0" w:line="167" w:lineRule="exact"/>
        <w:rPr>
          <w:rFonts w:ascii="Arial" w:cs="Arial" w:eastAsia="Arial" w:hAnsi="Arial"/>
          <w:sz w:val="16"/>
          <w:szCs w:val="16"/>
          <w:color w:val="auto"/>
        </w:rPr>
      </w:pPr>
    </w:p>
    <w:p>
      <w:pPr>
        <w:ind w:right="160" w:firstLine="987"/>
        <w:spacing w:after="0" w:line="308" w:lineRule="auto"/>
        <w:tabs>
          <w:tab w:leader="none" w:pos="12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chairman of the meeting shall announce at the meeting when the polls for each matter to be voted upon at the meeting are opened and closed. After the polls close, no ballots, proxies or votes or any revocations thereof or changes thereto may be accepted.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3" w:name="page24"/>
    <w:bookmarkEnd w:id="23"/>
    <w:p>
      <w:pPr>
        <w:ind w:right="20" w:firstLine="987"/>
        <w:spacing w:after="0" w:line="290" w:lineRule="auto"/>
        <w:tabs>
          <w:tab w:leader="none" w:pos="1246"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advance of any meeting of stockholders, the Board, the Chairman of the Board, the Chief Executive Officer or the President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chairman of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when the vote is completed, shall make a certificate of the result of the vote taken and of such other facts as may be required by law. Every vote taken by ballots shall be counted by a duly appointed inspector or duly appointed inspectors.</w:t>
      </w:r>
    </w:p>
    <w:p>
      <w:pPr>
        <w:spacing w:after="0" w:line="161"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color w:val="auto"/>
        </w:rPr>
        <w:t>Delivery to the Corporation</w:t>
      </w:r>
      <w:r>
        <w:rPr>
          <w:rFonts w:ascii="Arial" w:cs="Arial" w:eastAsia="Arial" w:hAnsi="Arial"/>
          <w:sz w:val="17"/>
          <w:szCs w:val="17"/>
          <w:u w:val="single" w:color="auto"/>
          <w:color w:val="auto"/>
        </w:rPr>
        <w:t>.</w:t>
      </w:r>
      <w:r>
        <w:rPr>
          <w:rFonts w:ascii="Arial" w:cs="Arial" w:eastAsia="Arial" w:hAnsi="Arial"/>
          <w:sz w:val="17"/>
          <w:szCs w:val="17"/>
          <w:color w:val="auto"/>
        </w:rPr>
        <w:t xml:space="preserve"> Whenever this Article I requires one or more persons (including a record or beneficial owner of stock) to deliver a document or information to the Corporation or any officer, employee or agent thereof (including any notice, request, questionnaire, revocation, representation or other document or agreement), unless the Corporation elects otherwise and except as otherwise expressly provided in this Article I,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spacing w:after="0" w:line="28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Directors</w:t>
      </w:r>
    </w:p>
    <w:p>
      <w:pPr>
        <w:spacing w:after="0" w:line="207"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General Powers</w:t>
      </w:r>
      <w:r>
        <w:rPr>
          <w:rFonts w:ascii="Arial" w:cs="Arial" w:eastAsia="Arial" w:hAnsi="Arial"/>
          <w:sz w:val="18"/>
          <w:szCs w:val="18"/>
          <w:color w:val="auto"/>
        </w:rPr>
        <w:t>. Except as otherwise provided by the Certificate of Incorporation or the DGCL, the business and affairs of the Corporation shall be managed by or under the direction of the Board.</w:t>
      </w:r>
    </w:p>
    <w:p>
      <w:pPr>
        <w:spacing w:after="0" w:line="162"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Number, Election and Qualification</w:t>
      </w:r>
      <w:r>
        <w:rPr>
          <w:rFonts w:ascii="Arial" w:cs="Arial" w:eastAsia="Arial" w:hAnsi="Arial"/>
          <w:sz w:val="18"/>
          <w:szCs w:val="18"/>
          <w:color w:val="auto"/>
        </w:rPr>
        <w:t>. Subject to the special rights of the holders of one or more series of Preferred Stock to elect directors, the total number of directors constituting the Board shall be fixed from time to time by resolution of the majority of the Whole Board. Election of directors need not be by written ballot. Directors need not be stockholders of the Corporation.</w:t>
      </w:r>
    </w:p>
    <w:p>
      <w:pPr>
        <w:spacing w:after="0" w:line="17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Chairman of the Board; Vice Chairman of the Board</w:t>
      </w:r>
      <w:r>
        <w:rPr>
          <w:rFonts w:ascii="Arial" w:cs="Arial" w:eastAsia="Arial" w:hAnsi="Arial"/>
          <w:sz w:val="18"/>
          <w:szCs w:val="18"/>
          <w:color w:val="auto"/>
        </w:rPr>
        <w:t>. The Board may appoint from its members a Chairman of the Board and a Vice Chairman of the Board, neither of whom need be an employee or officer of the Corporation. If the Board appoints a Chairman of the Board, such Chairman shall perform such duties and possess such powers as are assigned by the Board and, if the Chairman of the Board is also designated as the Corporation’s Chief Executive Officer, shall have the powers and duties of the Chief Executive Officer prescribed in Section 3.7 of these Bylaws. If the Board appoints a Vice Chairman of the Board, such Vice Chairman shall perform such duties and possess such powers as are assigned by the Board. Unless otherwise provided by the Board, the Chairman of the Board or, in the Chairman’s absence, the Vice Chairman of the Board, if any, shall preside at all meetings of the Board.</w:t>
      </w:r>
    </w:p>
    <w:p>
      <w:pPr>
        <w:spacing w:after="0" w:line="189"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Classes of Directors</w:t>
      </w:r>
      <w:r>
        <w:rPr>
          <w:rFonts w:ascii="Arial" w:cs="Arial" w:eastAsia="Arial" w:hAnsi="Arial"/>
          <w:sz w:val="18"/>
          <w:szCs w:val="18"/>
          <w:color w:val="auto"/>
        </w:rPr>
        <w:t>. Subject to the special rights of the holders of one or more series of Preferred Stock to elect directors, the Board shall be divided into three classes, designated: Class I, Class II and Class III. Each class shall consist, as nearly as may be possible, of one-third of the total number of directors constituting the entire Board. The Board is authorized to assign members of the Board already in office to Class I, Class II or Class III at the time such classification becomes effective. If the number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24" w:name="page25"/>
    <w:bookmarkEnd w:id="2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shorten the term of any incumbent director or result in the removal of any such director.</w:t>
      </w:r>
    </w:p>
    <w:p>
      <w:pPr>
        <w:spacing w:after="0" w:line="183" w:lineRule="exact"/>
        <w:rPr>
          <w:sz w:val="20"/>
          <w:szCs w:val="20"/>
          <w:color w:val="auto"/>
        </w:rPr>
      </w:pPr>
    </w:p>
    <w:p>
      <w:pPr>
        <w:ind w:right="80" w:firstLine="440"/>
        <w:spacing w:after="0" w:line="281"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b w:val="1"/>
          <w:bCs w:val="1"/>
          <w:color w:val="auto"/>
        </w:rPr>
        <w:t>Terms of Office</w:t>
      </w:r>
      <w:r>
        <w:rPr>
          <w:rFonts w:ascii="Arial" w:cs="Arial" w:eastAsia="Arial" w:hAnsi="Arial"/>
          <w:sz w:val="17"/>
          <w:szCs w:val="17"/>
          <w:color w:val="auto"/>
        </w:rPr>
        <w:t xml:space="preserve">. Subject to the special rights of the holders of one or more series of Preferred Stock to elect directors, and except as set forth in the Certificate of Incorporation, each director shall serve for a term ending on the date of the third annual meeting of stockholders following the annual meeting of stockholders at which such director was elected;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of each director shall continue until the election and qualification of his or her successor and be subject to his or her earlier death, disqualification, resignation or removal.</w:t>
      </w:r>
    </w:p>
    <w:p>
      <w:pPr>
        <w:spacing w:after="0" w:line="165"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Quorum</w:t>
      </w:r>
      <w:r>
        <w:rPr>
          <w:rFonts w:ascii="Arial" w:cs="Arial" w:eastAsia="Arial" w:hAnsi="Arial"/>
          <w:sz w:val="18"/>
          <w:szCs w:val="18"/>
          <w:color w:val="auto"/>
        </w:rPr>
        <w:t>. The greater of (a) a majority of the directors at any time in office and (b) one-third of the number of directors fixed by the Board pursuant to Section 2.2 of these Bylaws shall be necessary and sufficient to constitute a quorum of the Board. If at any meeting of the Board there shall be less than a quorum, a majority of the directors present may adjourn the meeting from time to time without further notice other than announcement at the meeting, until a quorum shall be present.</w:t>
      </w:r>
    </w:p>
    <w:p>
      <w:pPr>
        <w:spacing w:after="0" w:line="180" w:lineRule="exact"/>
        <w:rPr>
          <w:sz w:val="20"/>
          <w:szCs w:val="20"/>
          <w:color w:val="auto"/>
        </w:rPr>
      </w:pPr>
    </w:p>
    <w:p>
      <w:pPr>
        <w:ind w:right="340" w:firstLine="440"/>
        <w:spacing w:after="0" w:line="347"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b w:val="1"/>
          <w:bCs w:val="1"/>
          <w:color w:val="auto"/>
        </w:rPr>
        <w:t>Action at Meeting</w:t>
      </w:r>
      <w:r>
        <w:rPr>
          <w:rFonts w:ascii="Arial" w:cs="Arial" w:eastAsia="Arial" w:hAnsi="Arial"/>
          <w:sz w:val="16"/>
          <w:szCs w:val="16"/>
          <w:color w:val="auto"/>
        </w:rPr>
        <w:t>. Every act or decision done or made by a majority of the directors present at a meeting duly held at which a quorum is present shall be regarded as the act of the Board, unless a greater number is required by law or by the Certificate of Incorporation or these Bylaws.</w:t>
      </w:r>
    </w:p>
    <w:p>
      <w:pPr>
        <w:spacing w:after="0" w:line="116"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Removal</w:t>
      </w:r>
      <w:r>
        <w:rPr>
          <w:rFonts w:ascii="Arial" w:cs="Arial" w:eastAsia="Arial" w:hAnsi="Arial"/>
          <w:sz w:val="18"/>
          <w:szCs w:val="18"/>
          <w:color w:val="auto"/>
        </w:rPr>
        <w:t>. Subject to the special rights of the holders of one or more series of Preferred Stock, directors of the Corporation may be removed only as expressly provided in the Certificate of Incorporation and applicable law.</w:t>
      </w:r>
    </w:p>
    <w:p>
      <w:pPr>
        <w:spacing w:after="0" w:line="162" w:lineRule="exact"/>
        <w:rPr>
          <w:sz w:val="20"/>
          <w:szCs w:val="20"/>
          <w:color w:val="auto"/>
        </w:rPr>
      </w:pPr>
    </w:p>
    <w:p>
      <w:pPr>
        <w:ind w:right="100" w:firstLine="440"/>
        <w:spacing w:after="0" w:line="256"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color w:val="auto"/>
        </w:rPr>
        <w:t>Vacancies</w:t>
      </w:r>
      <w:r>
        <w:rPr>
          <w:rFonts w:ascii="Arial" w:cs="Arial" w:eastAsia="Arial" w:hAnsi="Arial"/>
          <w:sz w:val="18"/>
          <w:szCs w:val="18"/>
          <w:color w:val="auto"/>
        </w:rPr>
        <w:t>. Subject to the special rights of the holders of one or more of Preferred Stock, and unless otherwise provided by the Certificate of Incorporation, any newly created directorship that results from an increase in the number of directors or any vacancy on the Board that results from the death, disability, resignation, disqualification or removal of any director or from any other cause shall be filled solely by the affirmative vote of a majority of the total number of directors then in office, even if less than a quorum, or by a sole remaining director and shall not be filled by the stockholders. Any director elected to fill a vacancy not resulting from an increase in the number of directors shall hold office for the remaining term of his or her predecessor.</w:t>
      </w:r>
    </w:p>
    <w:p>
      <w:pPr>
        <w:spacing w:after="0" w:line="187"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color w:val="auto"/>
        </w:rPr>
        <w:t>Resignation</w:t>
      </w:r>
      <w:r>
        <w:rPr>
          <w:rFonts w:ascii="Arial" w:cs="Arial" w:eastAsia="Arial" w:hAnsi="Arial"/>
          <w:sz w:val="18"/>
          <w:szCs w:val="18"/>
          <w:color w:val="auto"/>
        </w:rPr>
        <w:t>. Any director may resign only by delivering a resignation in writing or by electronic transmission to the Chairman of the Board or the Chief Executive Officer. Such resignation shall be effective upon delivery unless it is specified to be effective at some later time or upon the happening of some later event.</w:t>
      </w:r>
    </w:p>
    <w:p>
      <w:pPr>
        <w:spacing w:after="0" w:line="176" w:lineRule="exact"/>
        <w:rPr>
          <w:sz w:val="20"/>
          <w:szCs w:val="20"/>
          <w:color w:val="auto"/>
        </w:rPr>
      </w:pPr>
    </w:p>
    <w:p>
      <w:pPr>
        <w:jc w:val="both"/>
        <w:ind w:right="260" w:firstLine="440"/>
        <w:spacing w:after="0" w:line="31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b w:val="1"/>
          <w:bCs w:val="1"/>
          <w:color w:val="auto"/>
        </w:rPr>
        <w:t>Regular Meetings</w:t>
      </w:r>
      <w:r>
        <w:rPr>
          <w:rFonts w:ascii="Arial" w:cs="Arial" w:eastAsia="Arial" w:hAnsi="Arial"/>
          <w:sz w:val="16"/>
          <w:szCs w:val="16"/>
          <w:color w:val="auto"/>
        </w:rPr>
        <w:t xml:space="preserve">. Regular meetings of the Board may be held without notice at such time and place as shall be determined from time to time by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director who is absent when such a determination is made shall be given notice of the determination. A regular meeting of the Board may be held without notice immediately after and at the same place as the annual meeting of stockholders.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25" w:name="page26"/>
    <w:bookmarkEnd w:id="25"/>
    <w:p>
      <w:pPr>
        <w:ind w:left="4" w:right="220" w:firstLine="44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2.12 </w:t>
      </w:r>
      <w:r>
        <w:rPr>
          <w:rFonts w:ascii="Arial" w:cs="Arial" w:eastAsia="Arial" w:hAnsi="Arial"/>
          <w:sz w:val="16"/>
          <w:szCs w:val="16"/>
          <w:b w:val="1"/>
          <w:bCs w:val="1"/>
          <w:color w:val="auto"/>
        </w:rPr>
        <w:t>Special Meetings</w:t>
      </w:r>
      <w:r>
        <w:rPr>
          <w:rFonts w:ascii="Arial" w:cs="Arial" w:eastAsia="Arial" w:hAnsi="Arial"/>
          <w:sz w:val="16"/>
          <w:szCs w:val="16"/>
          <w:color w:val="auto"/>
        </w:rPr>
        <w:t>. Special meetings of the Board may be held at any time and place designated in a call by the Chairman of the Board, the Chief Executive Officer, the President, two or more directors, or by one director in the event that there is only a single director in office.</w:t>
      </w:r>
    </w:p>
    <w:p>
      <w:pPr>
        <w:spacing w:after="0" w:line="116"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b w:val="1"/>
          <w:bCs w:val="1"/>
          <w:color w:val="auto"/>
        </w:rPr>
        <w:t>Notice of Special Meetings</w:t>
      </w:r>
      <w:r>
        <w:rPr>
          <w:rFonts w:ascii="Arial" w:cs="Arial" w:eastAsia="Arial" w:hAnsi="Arial"/>
          <w:sz w:val="17"/>
          <w:szCs w:val="17"/>
          <w:color w:val="auto"/>
        </w:rPr>
        <w:t>. Notice of the date, place and time of any special meeting of the Board shall be given to each director by the Chairman of the Board, the Chief Executive Officer, the President, the Secretary or by the director(s) calling the meeting. Notice shall be duly given to each director (a) in person or by telephone at least twenty-four (24) hours in advance of the meeting, (b) by sending written notice by reputable overnight courier, telecopy, facsimile or other means of electronic transmission, or delivering written notice by hand, to such director’s last known business, home or means of electronic transmission address at least twenty-four (24) hours in advance of the meeting, or (c) by sending written notice by first-class mail to such director’s last known business or home address at least seventy-two (72) hours in advance of the meeting. A notice or waiver of notice of a meeting of the Board need not specify the purposes of the meeting.</w:t>
      </w:r>
    </w:p>
    <w:p>
      <w:pPr>
        <w:spacing w:after="0" w:line="172" w:lineRule="exact"/>
        <w:rPr>
          <w:sz w:val="20"/>
          <w:szCs w:val="20"/>
          <w:color w:val="auto"/>
        </w:rPr>
      </w:pPr>
    </w:p>
    <w:p>
      <w:pPr>
        <w:ind w:left="4" w:right="80" w:firstLine="440"/>
        <w:spacing w:after="0" w:line="266"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color w:val="auto"/>
        </w:rPr>
        <w:t>Meetings by Conference Communications Equipment</w:t>
      </w:r>
      <w:r>
        <w:rPr>
          <w:rFonts w:ascii="Arial" w:cs="Arial" w:eastAsia="Arial" w:hAnsi="Arial"/>
          <w:sz w:val="18"/>
          <w:szCs w:val="18"/>
          <w:color w:val="auto"/>
        </w:rPr>
        <w:t>. Directors may participate in meetings of the Board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176"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b w:val="1"/>
          <w:bCs w:val="1"/>
          <w:color w:val="auto"/>
        </w:rPr>
        <w:t>Action by Consent</w:t>
      </w:r>
      <w:r>
        <w:rPr>
          <w:rFonts w:ascii="Arial" w:cs="Arial" w:eastAsia="Arial" w:hAnsi="Arial"/>
          <w:sz w:val="17"/>
          <w:szCs w:val="17"/>
          <w:color w:val="auto"/>
        </w:rPr>
        <w:t>. Any action required or permitted to be taken at any meeting of the Board or of any committee thereof may be taken without a meeting, if all members of the Board or committee, as the case may be, consent to the action in writing or by electronic transmission, and any consent may be documented, signed and delivered in any manner permitted by Section 116 of the DGCL. After an action is taken, the consent or consents relating thereto shall be filed with the minutes of proceedings of the Board or committee thereof. Such filing shall be in paper form if the minutes are maintained in paper form and shall be in electronic form if the minutes are maintained in electronic form.</w:t>
      </w:r>
    </w:p>
    <w:p>
      <w:pPr>
        <w:spacing w:after="0" w:line="168"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b w:val="1"/>
          <w:bCs w:val="1"/>
          <w:color w:val="auto"/>
        </w:rPr>
        <w:t>Committees</w:t>
      </w:r>
      <w:r>
        <w:rPr>
          <w:rFonts w:ascii="Arial" w:cs="Arial" w:eastAsia="Arial" w:hAnsi="Arial"/>
          <w:sz w:val="16"/>
          <w:szCs w:val="16"/>
          <w:color w:val="auto"/>
        </w:rPr>
        <w:t>. The Board may designate one or more committees, each committee to consist of one or more of the directors of the Corporation with such lawfully delegable powers and duties as the Board thereby confers, to serve at the pleasure of the Board. The Board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and subject to applicable law,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to</w:t>
      </w:r>
    </w:p>
    <w:p>
      <w:pPr>
        <w:spacing w:after="0" w:line="5" w:lineRule="exact"/>
        <w:rPr>
          <w:sz w:val="20"/>
          <w:szCs w:val="20"/>
          <w:color w:val="auto"/>
        </w:rPr>
      </w:pPr>
    </w:p>
    <w:p>
      <w:pPr>
        <w:ind w:left="4" w:right="80" w:hanging="4"/>
        <w:spacing w:after="0" w:line="288" w:lineRule="auto"/>
        <w:tabs>
          <w:tab w:leader="none" w:pos="21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approve or adopt, or recommend to the stockholders, any action or matter (other than the election or removal of directors) expressly required by the DGCL to be submitted to stockholders for approval, or (ii) adopt, amend or repeal any bylaw of the Corporation. Each such committee shall keep minutes and make such reports as the Board may from time to time request. Except as the Board may otherwise determine, any committee may make rules for the conduct of its business, but unless otherwise provided by the directors or in such rules, its business shall be conducted as nearly as possible in the same manner as is provided in these Bylaws for the Board. Except as otherwise provided in the Certificate of Incorporation, these Bylaws, or the resolution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26" w:name="page27"/>
    <w:bookmarkEnd w:id="26"/>
    <w:p>
      <w:pPr>
        <w:ind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2.17 </w:t>
      </w:r>
      <w:r>
        <w:rPr>
          <w:rFonts w:ascii="Arial" w:cs="Arial" w:eastAsia="Arial" w:hAnsi="Arial"/>
          <w:sz w:val="18"/>
          <w:szCs w:val="18"/>
          <w:b w:val="1"/>
          <w:bCs w:val="1"/>
          <w:color w:val="auto"/>
        </w:rPr>
        <w:t>Compensation of Directors</w:t>
      </w:r>
      <w:r>
        <w:rPr>
          <w:rFonts w:ascii="Arial" w:cs="Arial" w:eastAsia="Arial" w:hAnsi="Arial"/>
          <w:sz w:val="18"/>
          <w:szCs w:val="18"/>
          <w:color w:val="auto"/>
        </w:rPr>
        <w:t>. Directors may be paid such compensation for their services and such reimbursement for expenses of attendance at meetings as the Board may from time to time determine. No such payment shall preclude any director from serving the Corporation or any of its parent or subsidiary entities in any other capacity and receiving compensation for such service.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jc w:val="both"/>
        <w:ind w:firstLine="440"/>
        <w:spacing w:after="0" w:line="29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Titles</w:t>
      </w:r>
      <w:r>
        <w:rPr>
          <w:rFonts w:ascii="Arial" w:cs="Arial" w:eastAsia="Arial" w:hAnsi="Arial"/>
          <w:sz w:val="16"/>
          <w:szCs w:val="16"/>
          <w:color w:val="auto"/>
        </w:rPr>
        <w:t>. The “</w:t>
      </w:r>
      <w:r>
        <w:rPr>
          <w:rFonts w:ascii="Arial" w:cs="Arial" w:eastAsia="Arial" w:hAnsi="Arial"/>
          <w:sz w:val="16"/>
          <w:szCs w:val="16"/>
          <w:b w:val="1"/>
          <w:bCs w:val="1"/>
          <w:color w:val="auto"/>
        </w:rPr>
        <w:t>Executive Officers</w:t>
      </w:r>
      <w:r>
        <w:rPr>
          <w:rFonts w:ascii="Arial" w:cs="Arial" w:eastAsia="Arial" w:hAnsi="Arial"/>
          <w:sz w:val="16"/>
          <w:szCs w:val="16"/>
          <w:color w:val="auto"/>
        </w:rPr>
        <w:t>” of the Corporation shall be such persons as are designated as such by the Board and shall include, but not be limited to, a Chief Executive Officer, a President and a Chief Financial Officer. Additional Executive Officers may be appointed by the Board from time to time. In addition to the Executive Officers of the Corporation described above, there may also be such “</w:t>
      </w:r>
      <w:r>
        <w:rPr>
          <w:rFonts w:ascii="Arial" w:cs="Arial" w:eastAsia="Arial" w:hAnsi="Arial"/>
          <w:sz w:val="16"/>
          <w:szCs w:val="16"/>
          <w:b w:val="1"/>
          <w:bCs w:val="1"/>
          <w:color w:val="auto"/>
        </w:rPr>
        <w:t>Non-Executive Officers</w:t>
      </w:r>
      <w:r>
        <w:rPr>
          <w:rFonts w:ascii="Arial" w:cs="Arial" w:eastAsia="Arial" w:hAnsi="Arial"/>
          <w:sz w:val="16"/>
          <w:szCs w:val="16"/>
          <w:color w:val="auto"/>
        </w:rPr>
        <w:t>” of the Corporation as may be designated and appointed from time to time by the Board or the Chief Executive Officer of the Corporation in accordance with the provisions of Section 3.2 of these Bylaws. In addition, the Secretary and Assistant Secretaries of the Corporation may be appointed by the Board from time to time.</w:t>
      </w:r>
    </w:p>
    <w:p>
      <w:pPr>
        <w:spacing w:after="0" w:line="154"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Appointment</w:t>
      </w:r>
      <w:r>
        <w:rPr>
          <w:rFonts w:ascii="Arial" w:cs="Arial" w:eastAsia="Arial" w:hAnsi="Arial"/>
          <w:sz w:val="18"/>
          <w:szCs w:val="18"/>
          <w:color w:val="auto"/>
        </w:rPr>
        <w:t>. The Executive Officers of the Corporation shall be chosen by the Board, subject to the rights, if any, of an Executive Officer under any contract of employment. Non-Executive Officers of the Corporation shall be chosen by the Board or the Chief Executive Officer of the Corporation.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Qualification</w:t>
      </w:r>
      <w:r>
        <w:rPr>
          <w:rFonts w:ascii="Arial" w:cs="Arial" w:eastAsia="Arial" w:hAnsi="Arial"/>
          <w:sz w:val="18"/>
          <w:szCs w:val="18"/>
          <w:color w:val="auto"/>
        </w:rPr>
        <w:t>. No officer need be a stockholder. Any two or more offices may be held by the same person.</w:t>
      </w:r>
    </w:p>
    <w:p>
      <w:pPr>
        <w:spacing w:after="0" w:line="225"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Tenure</w:t>
      </w:r>
      <w:r>
        <w:rPr>
          <w:rFonts w:ascii="Arial" w:cs="Arial" w:eastAsia="Arial" w:hAnsi="Arial"/>
          <w:sz w:val="18"/>
          <w:szCs w:val="18"/>
          <w:color w:val="auto"/>
        </w:rPr>
        <w:t>. Except as otherwise provided by law, by the Certificate of Incorporation or by these Bylaws, each officer shall hold office until such officer’s successor is duly elected and qualified, unless a different term is specified in the resolution electing or appointing such officer, or until such officer’s earlier death, resignation, disqualification or removal.</w:t>
      </w:r>
    </w:p>
    <w:p>
      <w:pPr>
        <w:spacing w:after="0" w:line="176"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Removal; Resignation</w:t>
      </w:r>
      <w:r>
        <w:rPr>
          <w:rFonts w:ascii="Arial" w:cs="Arial" w:eastAsia="Arial" w:hAnsi="Arial"/>
          <w:sz w:val="18"/>
          <w:szCs w:val="18"/>
          <w:color w:val="auto"/>
        </w:rPr>
        <w:t>. Subject to the rights, if any, of an Executive Officer under any contract of employment, any Executive Officer may be removed, either with or without cause, at any time by the Board at any regular or special meeting of the Board. Any Non-Executive Officer may be removed, either with or without cause, at any time by the Chief Executive Officer of the Corporation or by the Executive Officer to whom such Non-Executive Officer reports. Any officer may resign only by delivering a resignation in writing or by electronic transmission to the Chief Executive Officer. Such resignation shall be effective upon receipt unless it is specified to be effective at some later time or upon the happening of some later event.</w:t>
      </w:r>
    </w:p>
    <w:p>
      <w:pPr>
        <w:spacing w:after="0" w:line="187"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Vacancies</w:t>
      </w:r>
      <w:r>
        <w:rPr>
          <w:rFonts w:ascii="Arial" w:cs="Arial" w:eastAsia="Arial" w:hAnsi="Arial"/>
          <w:sz w:val="18"/>
          <w:szCs w:val="18"/>
          <w:color w:val="auto"/>
        </w:rPr>
        <w:t>. The Board may fill any vacancy occurring in any office for any reason and may, in its discretion, leave unfilled, for such period as it may determine, any offices.</w:t>
      </w:r>
    </w:p>
    <w:p>
      <w:pPr>
        <w:spacing w:after="0" w:line="162"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color w:val="auto"/>
        </w:rPr>
        <w:t>President; Chief Executive Officer</w:t>
      </w:r>
      <w:r>
        <w:rPr>
          <w:rFonts w:ascii="Arial" w:cs="Arial" w:eastAsia="Arial" w:hAnsi="Arial"/>
          <w:sz w:val="17"/>
          <w:szCs w:val="17"/>
          <w:color w:val="auto"/>
        </w:rPr>
        <w:t>. Unless the Board has designated another person as the Corporation’s Chief Executive Officer, the President shall be the Chief Executive Officer of the Corporation. The Chief Executive Officer shall have general charge and supervision of the business of the Corporation subject to the direction of the Board, and shall perform all duties and have all powers that are commonly incident to the office of chief executive or that are delegated to such officer by the Board. The President shall perform such other duties and shall have such other powers as the Board or the Chief Executive Officer (if the President is not the Chief Executive Officer) may from time to time prescribe.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0" w:right="479" w:bottom="1440" w:gutter="0" w:footer="0" w:header="0"/>
        </w:sectPr>
      </w:pPr>
    </w:p>
    <w:bookmarkStart w:id="27" w:name="page28"/>
    <w:bookmarkEnd w:id="27"/>
    <w:p>
      <w:pPr>
        <w:ind w:right="320" w:firstLine="4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3.8 </w:t>
      </w:r>
      <w:r>
        <w:rPr>
          <w:rFonts w:ascii="Arial" w:cs="Arial" w:eastAsia="Arial" w:hAnsi="Arial"/>
          <w:sz w:val="18"/>
          <w:szCs w:val="18"/>
          <w:b w:val="1"/>
          <w:bCs w:val="1"/>
          <w:color w:val="auto"/>
        </w:rPr>
        <w:t>Chief Financial Officer</w:t>
      </w:r>
      <w:r>
        <w:rPr>
          <w:rFonts w:ascii="Arial" w:cs="Arial" w:eastAsia="Arial" w:hAnsi="Arial"/>
          <w:sz w:val="18"/>
          <w:szCs w:val="18"/>
          <w:color w:val="auto"/>
        </w:rPr>
        <w:t>. The Chief Financial Officer shall perform such duties and shall have such powers as may from time to time be assigned by the Board or the Chief Executive Officer. In addition, the Chief Financial Officer shall perform such duties and have such powers as are incident to the office, including without limitation the duty and power to keep and be responsible for all funds and securities of the Corporation, to deposit funds of the Corporation in depositories selected in accordance with these Bylaws, to disburse such funds as ordered by the Board, to make proper accounts of such funds, and to render as required by the Board statements of all such transactions and of the financial condition of the Corporation.</w:t>
      </w:r>
    </w:p>
    <w:p>
      <w:pPr>
        <w:spacing w:after="0" w:line="187" w:lineRule="exact"/>
        <w:rPr>
          <w:sz w:val="20"/>
          <w:szCs w:val="20"/>
          <w:color w:val="auto"/>
        </w:rPr>
      </w:pPr>
    </w:p>
    <w:p>
      <w:pPr>
        <w:jc w:val="both"/>
        <w:ind w:right="300" w:firstLine="440"/>
        <w:spacing w:after="0" w:line="266"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color w:val="auto"/>
        </w:rPr>
        <w:t>Vice Presidents</w:t>
      </w:r>
      <w:r>
        <w:rPr>
          <w:rFonts w:ascii="Arial" w:cs="Arial" w:eastAsia="Arial" w:hAnsi="Arial"/>
          <w:sz w:val="18"/>
          <w:szCs w:val="18"/>
          <w:color w:val="auto"/>
        </w:rPr>
        <w:t>. Each Vice President shall perform such duties and possess such powers as the Board or the Chief Executive Officer may from time to time prescribe. The Board or the Chief Executive Officer may assign to any Vice President the title of Executive Vice President, Senior Vice President or any other title.</w:t>
      </w:r>
    </w:p>
    <w:p>
      <w:pPr>
        <w:spacing w:after="0" w:line="176"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b w:val="1"/>
          <w:bCs w:val="1"/>
          <w:color w:val="auto"/>
        </w:rPr>
        <w:t>Secretary and Assistant Secretaries</w:t>
      </w:r>
      <w:r>
        <w:rPr>
          <w:rFonts w:ascii="Arial" w:cs="Arial" w:eastAsia="Arial" w:hAnsi="Arial"/>
          <w:sz w:val="16"/>
          <w:szCs w:val="16"/>
          <w:color w:val="auto"/>
        </w:rPr>
        <w:t>. The Secretary shall perform such duties and shall have such powers as the Board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to attend all meetings of stockholders and the Board and keep a record of the proceedings, to maintain a stock ledger and prepare lists of stockholders and their addresses as required, to be custodian of corporate records and the corporate seal and to affix and attest to the same on documents.</w:t>
      </w:r>
    </w:p>
    <w:p>
      <w:pPr>
        <w:spacing w:after="0" w:line="158"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Any Assistant Secretary shall perform such duties and possess such powers as the Board, the Chief Executive Officer or the Secretary may from time to time prescribe.</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In the absence of the Secretary or any Assistant Secretary at any meeting of stockholders or directors, the chairman of the meeting shall designate a temporary secretary to keep a record of the meeting.</w:t>
      </w:r>
    </w:p>
    <w:p>
      <w:pPr>
        <w:spacing w:after="0" w:line="166"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color w:val="auto"/>
        </w:rPr>
        <w:t>Salaries</w:t>
      </w:r>
      <w:r>
        <w:rPr>
          <w:rFonts w:ascii="Arial" w:cs="Arial" w:eastAsia="Arial" w:hAnsi="Arial"/>
          <w:sz w:val="18"/>
          <w:szCs w:val="18"/>
          <w:color w:val="auto"/>
        </w:rPr>
        <w:t>. Executive Officers of the Corporation shall be entitled to such salaries, compensation or reimbursement as shall be fixed or allowed from time to time by the Board or a committee thereof.</w:t>
      </w:r>
    </w:p>
    <w:p>
      <w:pPr>
        <w:spacing w:after="0" w:line="162"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b w:val="1"/>
          <w:bCs w:val="1"/>
          <w:color w:val="auto"/>
        </w:rPr>
        <w:t>Delegation of Authority</w:t>
      </w:r>
      <w:r>
        <w:rPr>
          <w:rFonts w:ascii="Arial" w:cs="Arial" w:eastAsia="Arial" w:hAnsi="Arial"/>
          <w:sz w:val="18"/>
          <w:szCs w:val="18"/>
          <w:color w:val="auto"/>
        </w:rPr>
        <w:t>. The Board may from time to time delegate the powers or duties of any officer to any other officer or agent, notwithstanding any provision hereof.</w:t>
      </w:r>
    </w:p>
    <w:p>
      <w:pPr>
        <w:spacing w:after="0" w:line="162" w:lineRule="exact"/>
        <w:rPr>
          <w:sz w:val="20"/>
          <w:szCs w:val="20"/>
          <w:color w:val="auto"/>
        </w:rPr>
      </w:pPr>
    </w:p>
    <w:p>
      <w:pPr>
        <w:ind w:right="80" w:firstLine="440"/>
        <w:spacing w:after="0" w:line="298"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b w:val="1"/>
          <w:bCs w:val="1"/>
          <w:color w:val="auto"/>
        </w:rPr>
        <w:t>Execution of Contracts</w:t>
      </w:r>
      <w:r>
        <w:rPr>
          <w:rFonts w:ascii="Arial" w:cs="Arial" w:eastAsia="Arial" w:hAnsi="Arial"/>
          <w:sz w:val="16"/>
          <w:szCs w:val="16"/>
          <w:color w:val="auto"/>
        </w:rPr>
        <w:t>. Each Executive Officer and Non-Executive Officer of the Corporation may execute, affix the corporate seal and/or deliver, in the name and on behalf of the Corporation, deeds, mortgages, notes, bonds, contracts, agreements, powers of attorney, guarantees, settlements, releases, evidences of indebtedness, conveyances or any other document or instrument which (i) is authorized by the Board or (ii) is executed in accordance with policies adopted by the Board from time to time, except in each case where the execution, affixation of the corporate seal and/or delivery thereof shall be expressly and exclusively delegated by the Board to some other officer or agent of the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Stock</w:t>
      </w:r>
    </w:p>
    <w:p>
      <w:pPr>
        <w:spacing w:after="0" w:line="207"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Issuance of Stock</w:t>
      </w:r>
      <w:r>
        <w:rPr>
          <w:rFonts w:ascii="Arial" w:cs="Arial" w:eastAsia="Arial" w:hAnsi="Arial"/>
          <w:sz w:val="18"/>
          <w:szCs w:val="18"/>
          <w:color w:val="auto"/>
        </w:rPr>
        <w:t>. Subject to the provisions of the Certificate of Incorporation and applicable law,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in such manner, for such lawful consideration and on such terms as the Board may determine.</w:t>
      </w:r>
    </w:p>
    <w:p>
      <w:pPr>
        <w:spacing w:after="0" w:line="180"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Stock Certificates; Uncertificated Shares</w:t>
      </w:r>
      <w:r>
        <w:rPr>
          <w:rFonts w:ascii="Arial" w:cs="Arial" w:eastAsia="Arial" w:hAnsi="Arial"/>
          <w:sz w:val="17"/>
          <w:szCs w:val="17"/>
          <w:color w:val="auto"/>
        </w:rPr>
        <w:t xml:space="preserve">. The shares of the Corporation shall be represented by certificates,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any two authorized officers of the Corporation (it being understood that each of the Chairman of the Board, the Vice Chairman of the Board, the Chief Executive Officer, the President, any Vice President, the Chief Financial Officer,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77"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Transfers</w:t>
      </w:r>
      <w:r>
        <w:rPr>
          <w:rFonts w:ascii="Arial" w:cs="Arial" w:eastAsia="Arial" w:hAnsi="Arial"/>
          <w:sz w:val="16"/>
          <w:szCs w:val="16"/>
          <w:color w:val="auto"/>
        </w:rPr>
        <w:t>. Shares of stock of the Corporation shall be transferable in the manner prescribed by law, the Certificate of Incorporation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66"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color w:val="auto"/>
        </w:rPr>
        <w:t>Lost, Stolen or Destroyed Certificates</w:t>
      </w:r>
      <w:r>
        <w:rPr>
          <w:rFonts w:ascii="Arial" w:cs="Arial" w:eastAsia="Arial" w:hAnsi="Arial"/>
          <w:sz w:val="18"/>
          <w:szCs w:val="18"/>
          <w:color w:val="auto"/>
        </w:rPr>
        <w:t>. The Corporation may issue a new certificate or uncertificated shares in place of any previously issued certificate alleged to have been lost, stolen or destroyed, upon such terms and conditions as the Board may prescribe, including the presentation of reasonable evidence of such loss, theft or destruction and the giving of such indemnity and posting of such bond as the Board may require for the protection of the Corporation or any transfer agent or registrar.</w:t>
      </w:r>
    </w:p>
    <w:p>
      <w:pPr>
        <w:spacing w:after="0" w:line="180"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color w:val="auto"/>
        </w:rPr>
        <w:t>Record Date</w:t>
      </w:r>
      <w:r>
        <w:rPr>
          <w:rFonts w:ascii="Arial" w:cs="Arial" w:eastAsia="Arial" w:hAnsi="Arial"/>
          <w:sz w:val="18"/>
          <w:szCs w:val="18"/>
          <w:color w:val="auto"/>
        </w:rPr>
        <w:t>.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29" w:name="page30"/>
    <w:bookmarkEnd w:id="29"/>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8"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shall not be more than sixty (60) days prior to such action. If no such record date is fixed, the record date for determining stockholders for any such purpose shall be at the close of business on the day on which the Board adopts the resolution relating thereto.</w:t>
      </w:r>
    </w:p>
    <w:p>
      <w:pPr>
        <w:spacing w:after="0" w:line="153"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Regulations</w:t>
      </w:r>
      <w:r>
        <w:rPr>
          <w:rFonts w:ascii="Arial" w:cs="Arial" w:eastAsia="Arial" w:hAnsi="Arial"/>
          <w:sz w:val="18"/>
          <w:szCs w:val="18"/>
          <w:color w:val="auto"/>
        </w:rPr>
        <w:t>. The issue and registration of shares of stock of the Corporation shall be governed by such other regulations as the Board may establish.</w:t>
      </w:r>
    </w:p>
    <w:p>
      <w:pPr>
        <w:spacing w:after="0" w:line="162" w:lineRule="exact"/>
        <w:rPr>
          <w:sz w:val="20"/>
          <w:szCs w:val="20"/>
          <w:color w:val="auto"/>
        </w:rPr>
      </w:pPr>
    </w:p>
    <w:p>
      <w:pPr>
        <w:ind w:right="440" w:firstLine="440"/>
        <w:spacing w:after="0" w:line="347"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b w:val="1"/>
          <w:bCs w:val="1"/>
          <w:color w:val="auto"/>
        </w:rPr>
        <w:t>Dividends</w:t>
      </w:r>
      <w:r>
        <w:rPr>
          <w:rFonts w:ascii="Arial" w:cs="Arial" w:eastAsia="Arial" w:hAnsi="Arial"/>
          <w:sz w:val="16"/>
          <w:szCs w:val="16"/>
          <w:color w:val="auto"/>
        </w:rPr>
        <w:t>. Dividends on the capital stock of the Corporation, subject to the provisions of the Certificate of Incorporation, if any, may be declared by the Board at any regular or special meeting, pursuant to law, and may be paid in cash, in property or in shares of capital stock.</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Fiscal Year</w:t>
      </w:r>
      <w:r>
        <w:rPr>
          <w:rFonts w:ascii="Arial" w:cs="Arial" w:eastAsia="Arial" w:hAnsi="Arial"/>
          <w:sz w:val="18"/>
          <w:szCs w:val="18"/>
          <w:color w:val="auto"/>
        </w:rPr>
        <w:t>. Except as from time to time otherwise designated by the Board, the fiscal year of the Corporation shall begin on the first day of January of each year and end on the last day of December in each year.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Corporate Seal</w:t>
      </w:r>
      <w:r>
        <w:rPr>
          <w:rFonts w:ascii="Arial" w:cs="Arial" w:eastAsia="Arial" w:hAnsi="Arial"/>
          <w:sz w:val="18"/>
          <w:szCs w:val="18"/>
          <w:color w:val="auto"/>
        </w:rPr>
        <w:t>. The corporate seal shall be in such form as shall be approved by the Board.</w:t>
      </w:r>
    </w:p>
    <w:p>
      <w:pPr>
        <w:spacing w:after="0" w:line="225" w:lineRule="exact"/>
        <w:rPr>
          <w:sz w:val="20"/>
          <w:szCs w:val="20"/>
          <w:color w:val="auto"/>
        </w:rPr>
      </w:pPr>
    </w:p>
    <w:p>
      <w:pPr>
        <w:ind w:right="60" w:firstLine="440"/>
        <w:spacing w:after="0" w:line="25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Waiver of Notice</w:t>
      </w:r>
      <w:r>
        <w:rPr>
          <w:rFonts w:ascii="Arial" w:cs="Arial" w:eastAsia="Arial" w:hAnsi="Arial"/>
          <w:sz w:val="18"/>
          <w:szCs w:val="18"/>
          <w:color w:val="auto"/>
        </w:rPr>
        <w:t>. Whenever notice is required to be given by law, by the Certificate of Incorporation or by these Bylaws, a written waiver signed by the person entitled to notice, or a waiver by electronic transmission by the person entitled to notice, whether before, at or after the time of the event for which notice is to be given, shall be deemed equivalent to notice required to be given to such person. Neither the business nor the purpose of any meeting need be specified in any such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87"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Voting of Securities</w:t>
      </w:r>
      <w:r>
        <w:rPr>
          <w:rFonts w:ascii="Arial" w:cs="Arial" w:eastAsia="Arial" w:hAnsi="Arial"/>
          <w:sz w:val="18"/>
          <w:szCs w:val="18"/>
          <w:color w:val="auto"/>
        </w:rPr>
        <w:t>. Except as the Board may otherwise designate, the Chief Executive Officer, the President or the Treasurer may waive notice, vote, consent, or appoint any person or persons to waive notice, vote or consent, on behalf of the Corporation, and act as, or appoint any person or persons to act as, proxy or attorney-in-fact for this Corporation (with or without power of substitution) with respect to, the securities of any other entity which may be held by this Corporation.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0" w:name="page31"/>
    <w:bookmarkEnd w:id="30"/>
    <w:p>
      <w:pPr>
        <w:ind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5.5 </w:t>
      </w:r>
      <w:r>
        <w:rPr>
          <w:rFonts w:ascii="Arial" w:cs="Arial" w:eastAsia="Arial" w:hAnsi="Arial"/>
          <w:sz w:val="18"/>
          <w:szCs w:val="18"/>
          <w:b w:val="1"/>
          <w:bCs w:val="1"/>
          <w:color w:val="auto"/>
        </w:rPr>
        <w:t>Evidence of Authority</w:t>
      </w:r>
      <w:r>
        <w:rPr>
          <w:rFonts w:ascii="Arial" w:cs="Arial" w:eastAsia="Arial" w:hAnsi="Arial"/>
          <w:sz w:val="18"/>
          <w:szCs w:val="18"/>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76"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All references in these Bylaws to the Certificate of Incorporation shall be deemed to refer to the Certificate of Incorporation of the Corporation, as amended and/or restated and in effect from time to time.</w:t>
      </w:r>
    </w:p>
    <w:p>
      <w:pPr>
        <w:spacing w:after="0" w:line="162"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color w:val="auto"/>
        </w:rPr>
        <w:t>Severability</w:t>
      </w:r>
      <w:r>
        <w:rPr>
          <w:rFonts w:ascii="Arial" w:cs="Arial" w:eastAsia="Arial" w:hAnsi="Arial"/>
          <w:sz w:val="18"/>
          <w:szCs w:val="18"/>
          <w:color w:val="auto"/>
        </w:rPr>
        <w:t>. Any determination that any provision of these Bylaws is for any reason inapplicable, illegal or ineffective shall not affect or invalidate any other provision of these Bylaws.</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color w:val="auto"/>
        </w:rPr>
        <w:t>Pronouns</w:t>
      </w:r>
      <w:r>
        <w:rPr>
          <w:rFonts w:ascii="Arial" w:cs="Arial" w:eastAsia="Arial" w:hAnsi="Arial"/>
          <w:sz w:val="18"/>
          <w:szCs w:val="18"/>
          <w:color w:val="auto"/>
        </w:rPr>
        <w:t>. All pronouns used in these Bylaws shall be deemed to refer to the masculine, feminine or neuter, singular or plural, as the identity of the person or persons may require.</w:t>
      </w:r>
    </w:p>
    <w:p>
      <w:pPr>
        <w:spacing w:after="0" w:line="162"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color w:val="auto"/>
        </w:rPr>
        <w:t>Electronic Transmission</w:t>
      </w:r>
      <w:r>
        <w:rPr>
          <w:rFonts w:ascii="Arial" w:cs="Arial" w:eastAsia="Arial" w:hAnsi="Arial"/>
          <w:sz w:val="18"/>
          <w:szCs w:val="18"/>
          <w:color w:val="auto"/>
        </w:rPr>
        <w:t>.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right="840" w:firstLine="440"/>
        <w:spacing w:after="0" w:line="277" w:lineRule="auto"/>
        <w:rPr>
          <w:sz w:val="20"/>
          <w:szCs w:val="20"/>
          <w:color w:val="auto"/>
        </w:rPr>
      </w:pPr>
      <w:r>
        <w:rPr>
          <w:rFonts w:ascii="Arial" w:cs="Arial" w:eastAsia="Arial" w:hAnsi="Arial"/>
          <w:sz w:val="18"/>
          <w:szCs w:val="18"/>
          <w:color w:val="auto"/>
        </w:rPr>
        <w:t>These Bylaws may be altered, amended or repealed, in whole or in part, or new Bylaws may be adopted by the Whole Board or by the stockholders as expressly provided in the Certificate of Incorporation.</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Indemnification and Advancement</w:t>
      </w:r>
    </w:p>
    <w:p>
      <w:pPr>
        <w:spacing w:after="0" w:line="20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Power to Indemnify in Actions, Suits or Proceedings other than Those by or in the Right of the Corporation</w:t>
      </w:r>
      <w:r>
        <w:rPr>
          <w:rFonts w:ascii="Arial" w:cs="Arial" w:eastAsia="Arial" w:hAnsi="Arial"/>
          <w:sz w:val="16"/>
          <w:szCs w:val="16"/>
          <w:color w:val="auto"/>
        </w:rPr>
        <w:t>. Subject to Section 7.3, the Corporation shall indemnify and hold harmless to the fullest extent permitted by applicable law as it presently exists or may hereafter be amended, any person who was or is a party or is threatened to be made a party to any threatened, pending or completed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(other than an action by or in the right of the Corporation) by reason of the fact that such person is or was a director or Executive Officer of the Corporation, or, while a director or Executive Officer of the Corporation, is or was serving at the request of the Corporation as a director, officer, employee or agent of another Corporation, partnership, joint venture, trust, employee benefit plan or other enterprise, against expenses (including attorneys’ fees), judgments, fines and amounts paid in settlement actually and reasonably incurred by such person in connection with the defense or settlement of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or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40" w:top="270" w:right="519" w:bottom="1440" w:gutter="0" w:footer="0" w:header="0"/>
        </w:sectPr>
      </w:pPr>
    </w:p>
    <w:bookmarkStart w:id="31" w:name="page32"/>
    <w:bookmarkEnd w:id="31"/>
    <w:p>
      <w:pPr>
        <w:ind w:right="6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7.2 </w:t>
      </w:r>
      <w:r>
        <w:rPr>
          <w:rFonts w:ascii="Arial" w:cs="Arial" w:eastAsia="Arial" w:hAnsi="Arial"/>
          <w:sz w:val="16"/>
          <w:szCs w:val="16"/>
          <w:b w:val="1"/>
          <w:bCs w:val="1"/>
          <w:color w:val="auto"/>
        </w:rPr>
        <w:t>Power to Indemnify in Actions, Suits or Proceedings by or in the Right of the Corporation</w:t>
      </w:r>
      <w:r>
        <w:rPr>
          <w:rFonts w:ascii="Arial" w:cs="Arial" w:eastAsia="Arial" w:hAnsi="Arial"/>
          <w:sz w:val="16"/>
          <w:szCs w:val="16"/>
          <w:color w:val="auto"/>
        </w:rPr>
        <w:t>. Subject to Section 7.3,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Executive Officer of the Corporation, or, while a director or Executive Officer of the Corporation, is or was serving at the request of the Corporation as a director, officer, employee or agent of another Corporation, partnership, joint venture, trust, employee benefit plan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color w:val="auto"/>
        </w:rPr>
        <w:t>Authorization of Indemnification</w:t>
      </w:r>
      <w:r>
        <w:rPr>
          <w:rFonts w:ascii="Arial" w:cs="Arial" w:eastAsia="Arial" w:hAnsi="Arial"/>
          <w:sz w:val="16"/>
          <w:szCs w:val="16"/>
          <w:color w:val="auto"/>
        </w:rPr>
        <w:t>. Any indemnification under this Article VII (unless ordered by a court) shall be made by the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only as authorized in the specific case upon a determination that indemnification of the director or Executive Officer is proper in the circumstances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because such person has met the applicable standard of conduct set forth in Section 7.1 or Section 7.2, as the case may be. Such determination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made, with respect to a person who is a director or Executive Officer at the time of such determination, (i) by a majority vote of the directors who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parties to such action, suit or proceeding, even though less than a quorum, or (ii) by a committee of such directors designated by a majority vote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directors, even though less than a quorum, or (iii) if there are no such directors, or if such directors so direct, by independent legal counsel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written opinion or (iv) by the stockholders. Such determination shall be made, with respect to former directors and Executive Officers, by any person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persons having the authority to act on the matter on behalf of the Corporation. To the extent, however, that a present or former director or Executive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Officer of the Corporation has been successful on the merits or otherwise in defense of any action, suit or proceeding set forth in Section 7.1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7.2 or in defense of any claim, issue or matter therein, such person shall be indemnified against expenses (including attorneys’ fees) actually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reasonably incurred by such person in connection therewith, without the necessity of authorization in the specific case.</w:t>
      </w:r>
    </w:p>
    <w:p>
      <w:pPr>
        <w:spacing w:after="0" w:line="207"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color w:val="auto"/>
        </w:rPr>
        <w:t>Good Faith Defined</w:t>
      </w:r>
      <w:r>
        <w:rPr>
          <w:rFonts w:ascii="Arial" w:cs="Arial" w:eastAsia="Arial" w:hAnsi="Arial"/>
          <w:sz w:val="16"/>
          <w:szCs w:val="16"/>
          <w:color w:val="auto"/>
        </w:rPr>
        <w:t>. For purposes of any determination under Section 7.3,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good faith reliance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term “</w:t>
      </w:r>
      <w:r>
        <w:rPr>
          <w:rFonts w:ascii="Arial" w:cs="Arial" w:eastAsia="Arial" w:hAnsi="Arial"/>
          <w:sz w:val="16"/>
          <w:szCs w:val="16"/>
          <w:b w:val="1"/>
          <w:bCs w:val="1"/>
          <w:color w:val="auto"/>
        </w:rPr>
        <w:t>another enterprise</w:t>
      </w:r>
      <w:r>
        <w:rPr>
          <w:rFonts w:ascii="Arial" w:cs="Arial" w:eastAsia="Arial" w:hAnsi="Arial"/>
          <w:sz w:val="16"/>
          <w:szCs w:val="16"/>
          <w:color w:val="auto"/>
        </w:rPr>
        <w:t>” as used in this Section 7.4 shall mean any other corporation or any partnership, joint venture, trust, employee benefit plan or other enterprise of which such person is or was serving at the request of the Corporation as a director, officer, employee or agent. The provisions of this Section 7.4 shall not be deemed to be exclusive or to limit in any way the circumstances in which a person may be deemed to have met the applicable standard of conduct set forth in Section 7.1 or 7.2, as the case may be.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0" w:right="479" w:bottom="1440" w:gutter="0" w:footer="0" w:header="0"/>
        </w:sectPr>
      </w:pPr>
    </w:p>
    <w:bookmarkStart w:id="32" w:name="page33"/>
    <w:bookmarkEnd w:id="32"/>
    <w:p>
      <w:pPr>
        <w:ind w:left="4" w:right="2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7.5 </w:t>
      </w:r>
      <w:r>
        <w:rPr>
          <w:rFonts w:ascii="Arial" w:cs="Arial" w:eastAsia="Arial" w:hAnsi="Arial"/>
          <w:sz w:val="16"/>
          <w:szCs w:val="16"/>
          <w:b w:val="1"/>
          <w:bCs w:val="1"/>
          <w:color w:val="auto"/>
        </w:rPr>
        <w:t>Right of Claimant to Bring Suit</w:t>
      </w:r>
      <w:r>
        <w:rPr>
          <w:rFonts w:ascii="Arial" w:cs="Arial" w:eastAsia="Arial" w:hAnsi="Arial"/>
          <w:sz w:val="16"/>
          <w:szCs w:val="16"/>
          <w:color w:val="auto"/>
        </w:rPr>
        <w:t>. Notwithstanding any contrary determination in the specific case under Section 7.3, and notwithstanding the absence of any determination thereunder, if a claim under Sections 7.1 or 7.2 of the Article VII is not paid in full by the Corporation within (i) ninety</w:t>
      </w:r>
    </w:p>
    <w:p>
      <w:pPr>
        <w:spacing w:after="0" w:line="1" w:lineRule="exact"/>
        <w:rPr>
          <w:sz w:val="20"/>
          <w:szCs w:val="20"/>
          <w:color w:val="auto"/>
        </w:rPr>
      </w:pPr>
    </w:p>
    <w:p>
      <w:pPr>
        <w:ind w:left="4" w:hanging="4"/>
        <w:spacing w:after="0" w:line="268" w:lineRule="auto"/>
        <w:tabs>
          <w:tab w:leader="none" w:pos="349" w:val="left"/>
        </w:tabs>
        <w:numPr>
          <w:ilvl w:val="0"/>
          <w:numId w:val="23"/>
        </w:numPr>
        <w:rPr>
          <w:rFonts w:ascii="Arial" w:cs="Arial" w:eastAsia="Arial" w:hAnsi="Arial"/>
          <w:sz w:val="17"/>
          <w:szCs w:val="17"/>
          <w:color w:val="auto"/>
        </w:rPr>
      </w:pPr>
      <w:r>
        <w:rPr>
          <w:rFonts w:ascii="Arial" w:cs="Arial" w:eastAsia="Arial" w:hAnsi="Arial"/>
          <w:sz w:val="17"/>
          <w:szCs w:val="17"/>
          <w:color w:val="auto"/>
        </w:rPr>
        <w:t>days after a written claim for indemnification has been received by the Corporation, or (ii) thirty (30) days after a written claim for an advancement of expenses has been received by the Corporation, the claimant may at any time thereafter (but not before) bring suit against the Corporation in the Court of Chancery in the State of Delaware to recover the unpaid amount of the claim, together with interest thereon, or to obtain advancement of expenses, as applicable. It shall be a defense to any such action brought to enforce a right to indemnification (but not in an action brought to enforce a right to an advancement of expenses) that the claimant has not met the standards of conduct which make it permissible under the DGCL (or other applicable law) for the Corporation to indemnify the claimant for the amount claimed, but the burden of proving such defense shall be on the Corporation. Neither a contrary determination in the specific case under Section 7.3 nor the absence of any determination thereunder shall be a defense to such application or create a presumption that the claimant has not met any applicable standard of conduct. If successful, in whole or in part, the claimant shall also be entitled to be paid the expense of prosecuting such claim, including reasonable attorneys’ fees incurred in connection therewith, to the fullest extent permitted by applicable law.</w:t>
      </w:r>
    </w:p>
    <w:p>
      <w:pPr>
        <w:spacing w:after="0" w:line="175"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color w:val="auto"/>
        </w:rPr>
        <w:t>Expenses Payable in Advance</w:t>
      </w:r>
      <w:r>
        <w:rPr>
          <w:rFonts w:ascii="Arial" w:cs="Arial" w:eastAsia="Arial" w:hAnsi="Arial"/>
          <w:sz w:val="18"/>
          <w:szCs w:val="18"/>
          <w:color w:val="auto"/>
        </w:rPr>
        <w:t>. Expenses, including without limitation attorneys’ fees, incurred by a current or former director or Executive Officer in defending any civil, criminal, administrative or investigative action, suit or proceeding shall be paid by the Corporation in advance of the final disposition of such action, suit or proceeding upon receipt of an undertaking by or on behalf of such current or former director or Executive Officer to repay such amount if it shall ultimately be determined that such person is not entitled to be indemnified by the Corporation as authorized in this Article VII.</w:t>
      </w:r>
    </w:p>
    <w:p>
      <w:pPr>
        <w:spacing w:after="0" w:line="183"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b w:val="1"/>
          <w:bCs w:val="1"/>
          <w:color w:val="auto"/>
        </w:rPr>
        <w:t>Nonexclusivity of Indemnification and Advancement of Expenses</w:t>
      </w:r>
      <w:r>
        <w:rPr>
          <w:rFonts w:ascii="Arial" w:cs="Arial" w:eastAsia="Arial" w:hAnsi="Arial"/>
          <w:sz w:val="17"/>
          <w:szCs w:val="17"/>
          <w:color w:val="auto"/>
        </w:rPr>
        <w:t>. The rights to indemnification and advancement of expenses provided by or granted pursuant to this Article VII shall not be deemed exclusive of any other rights to which those seeking indemnification or advancement of expenses may be entitled under the Certificate of Incorporation, any agreement, vote of stockholders or disinterested directors or otherwise, both as to action in such person’s official capacity and as to action in another capacity while holding such office, it being the policy of the Corporation that, subject to Section 7.11, indemnification of the persons specified in Sections 7.1 and 7.2 shall be made to the fullest extent permitted by law. The provisions of this Article VII shall not be deemed to preclude the indemnification of any person who is not specified in Section 7.1 or 7.2 but whom the Corporation has the power or obligation to indemnify under the provisions of the DGCL, or otherwise.</w:t>
      </w:r>
    </w:p>
    <w:p>
      <w:pPr>
        <w:spacing w:after="0" w:line="172"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b w:val="1"/>
          <w:bCs w:val="1"/>
          <w:color w:val="auto"/>
        </w:rPr>
        <w:t>Insurance</w:t>
      </w:r>
      <w:r>
        <w:rPr>
          <w:rFonts w:ascii="Arial" w:cs="Arial" w:eastAsia="Arial" w:hAnsi="Arial"/>
          <w:sz w:val="17"/>
          <w:szCs w:val="17"/>
          <w:color w:val="auto"/>
        </w:rPr>
        <w:t>. The Corporation may purchase and maintain insurance on behalf of any person who is or was a director, Executive Officer, employee or agent of the Corporation, or is or was serving at the request of the Corporation as a director, Executive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VII.</w:t>
      </w:r>
    </w:p>
    <w:p>
      <w:pPr>
        <w:spacing w:after="0" w:line="168" w:lineRule="exact"/>
        <w:rPr>
          <w:sz w:val="20"/>
          <w:szCs w:val="20"/>
          <w:color w:val="auto"/>
        </w:rPr>
      </w:pPr>
    </w:p>
    <w:p>
      <w:pPr>
        <w:ind w:left="4" w:right="220" w:firstLine="440"/>
        <w:spacing w:after="0" w:line="261"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b w:val="1"/>
          <w:bCs w:val="1"/>
          <w:color w:val="auto"/>
        </w:rPr>
        <w:t>Certain Definitions</w:t>
      </w:r>
      <w:r>
        <w:rPr>
          <w:rFonts w:ascii="Arial" w:cs="Arial" w:eastAsia="Arial" w:hAnsi="Arial"/>
          <w:sz w:val="18"/>
          <w:szCs w:val="18"/>
          <w:color w:val="auto"/>
        </w:rPr>
        <w:t>. For purposes of this Article VII,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0" w:right="479" w:bottom="1440" w:gutter="0" w:footer="0" w:header="0"/>
        </w:sectPr>
      </w:pPr>
    </w:p>
    <w:bookmarkStart w:id="33" w:name="page34"/>
    <w:bookmarkEnd w:id="33"/>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or was serving at the request of such constituent corporation as a director, officer, employee or agent of another corporation, partnership, joint venture, trust, employee benefit plan or other enterprise, shall stand in the same position under the provisions of this Article VII with respect to the resulting or surviving corporation as such person would have with respect to such constituent corporation if its separate existence had continued. For purposes of this Article VII, references to “fines” shall include any excise taxes assessed on a person with respect of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 Any reference to an officer of the Corporation in this Article VII shall be deemed to refer exclusively to the Executive Officers, Non-Executive Officers, the Secretary and any Assistant Secretary, and any other officer appointed as such pursuant to and in accordance with Article III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or any other title that could be construed to suggest or imply that such person is or may be such an officer of the Corporation or of such other corporation, partnership, joint venture, trust, employee benefit plan or other enterprise shall not result in such person being constituted as, or being deemed to be, such an officer of the Corporation or of such other corporation, partnership, joint venture, trust, employee benefit plan or other enterprise for purposes of this Article VII.</w:t>
      </w:r>
    </w:p>
    <w:p>
      <w:pPr>
        <w:spacing w:after="0" w:line="184"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b w:val="1"/>
          <w:bCs w:val="1"/>
          <w:color w:val="auto"/>
        </w:rPr>
        <w:t>Survival of Indemnification and Advancement of Expenses</w:t>
      </w:r>
      <w:r>
        <w:rPr>
          <w:rFonts w:ascii="Arial" w:cs="Arial" w:eastAsia="Arial" w:hAnsi="Arial"/>
          <w:sz w:val="18"/>
          <w:szCs w:val="18"/>
          <w:color w:val="auto"/>
        </w:rPr>
        <w:t>. The indemnification and advancement of expenses provided by, or granted pursuant to, this Article VII shall, unless otherwise provided when authorized or ratified, continue as to a person who has ceased to be a director or Executive Officer and shall inure to the benefit of the heirs, executors and administrators of such a person.</w:t>
      </w:r>
    </w:p>
    <w:p>
      <w:pPr>
        <w:spacing w:after="0" w:line="17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b w:val="1"/>
          <w:bCs w:val="1"/>
          <w:color w:val="auto"/>
        </w:rPr>
        <w:t>Limitation on Indemnification</w:t>
      </w:r>
      <w:r>
        <w:rPr>
          <w:rFonts w:ascii="Arial" w:cs="Arial" w:eastAsia="Arial" w:hAnsi="Arial"/>
          <w:sz w:val="18"/>
          <w:szCs w:val="18"/>
          <w:color w:val="auto"/>
        </w:rPr>
        <w:t>. Notwithstanding anything contained in this Article VII to the contrary, except for proceedings to enforce rights to indemnification (which shall be governed by Section 7.5), the Corporation shall not be obligated to indemnify any director, officer, employee or agent in connection with an action, suit or proceeding (or part thereof):</w:t>
      </w:r>
    </w:p>
    <w:p>
      <w:pPr>
        <w:spacing w:after="0" w:line="72" w:lineRule="exact"/>
        <w:rPr>
          <w:sz w:val="20"/>
          <w:szCs w:val="20"/>
          <w:color w:val="auto"/>
        </w:rPr>
      </w:pPr>
    </w:p>
    <w:p>
      <w:pPr>
        <w:ind w:right="20" w:firstLine="987"/>
        <w:spacing w:after="0" w:line="277" w:lineRule="auto"/>
        <w:tabs>
          <w:tab w:leader="none" w:pos="12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70" w:lineRule="exact"/>
        <w:rPr>
          <w:rFonts w:ascii="Arial" w:cs="Arial" w:eastAsia="Arial" w:hAnsi="Arial"/>
          <w:sz w:val="18"/>
          <w:szCs w:val="18"/>
          <w:color w:val="auto"/>
        </w:rPr>
      </w:pPr>
    </w:p>
    <w:p>
      <w:pPr>
        <w:ind w:right="260" w:firstLine="987"/>
        <w:spacing w:after="0" w:line="308" w:lineRule="auto"/>
        <w:tabs>
          <w:tab w:leader="none" w:pos="1246"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 an accounting or disgorgement of profits pursuant to Section 16(b) of the Exchange Act, or similar provisions of federal, state or local statutory law or common law, if such person is held liable therefor (including pursuant to any settlement arrangements);</w:t>
      </w:r>
    </w:p>
    <w:p>
      <w:pPr>
        <w:spacing w:after="0" w:line="146" w:lineRule="exact"/>
        <w:rPr>
          <w:rFonts w:ascii="Arial" w:cs="Arial" w:eastAsia="Arial" w:hAnsi="Arial"/>
          <w:sz w:val="17"/>
          <w:szCs w:val="17"/>
          <w:color w:val="auto"/>
        </w:rPr>
      </w:pPr>
    </w:p>
    <w:p>
      <w:pPr>
        <w:ind w:right="220" w:firstLine="987"/>
        <w:spacing w:after="0" w:line="286" w:lineRule="auto"/>
        <w:tabs>
          <w:tab w:leader="none" w:pos="12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 any reimbursement of the Corporation by such person of any bonus or other incentive-based or equity-based compensation or of any profits realized by such person from the sale of securities of the corporation, as required in each case under the Exchange Act (including any such reimbursements that arise from an accounting restatement of the Corporation pursuant to Section 304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4" w:name="page35"/>
    <w:bookmarkEnd w:id="34"/>
    <w:p>
      <w:pPr>
        <w:jc w:val="both"/>
        <w:ind w:right="22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Sarbanes-Oxley Act of 2002 (the “</w:t>
      </w:r>
      <w:r>
        <w:rPr>
          <w:rFonts w:ascii="Arial" w:cs="Arial" w:eastAsia="Arial" w:hAnsi="Arial"/>
          <w:sz w:val="18"/>
          <w:szCs w:val="18"/>
          <w:b w:val="1"/>
          <w:bCs w:val="1"/>
          <w:color w:val="auto"/>
        </w:rPr>
        <w:t>Sarbanes-Oxley Act</w:t>
      </w:r>
      <w:r>
        <w:rPr>
          <w:rFonts w:ascii="Arial" w:cs="Arial" w:eastAsia="Arial" w:hAnsi="Arial"/>
          <w:sz w:val="18"/>
          <w:szCs w:val="18"/>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180" w:lineRule="exact"/>
        <w:rPr>
          <w:sz w:val="20"/>
          <w:szCs w:val="20"/>
          <w:color w:val="auto"/>
        </w:rPr>
      </w:pPr>
    </w:p>
    <w:p>
      <w:pPr>
        <w:ind w:firstLine="987"/>
        <w:spacing w:after="0" w:line="279" w:lineRule="auto"/>
        <w:tabs>
          <w:tab w:leader="none" w:pos="1246"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initiated by such person, including any action, suit or proceeding (or part thereof) initiated by such person against the Corporation or its directors, officers, employees, agents or other indemnitees, unless (i) the Board authorized the action, suit or proceeding (or relevant part thereof) prior to its initiation, (ii) the Corporation provides the indemnification, in its sole discretion, pursuant to the powers vested in the Corporation under applicable law, (iii) otherwise required to be made under Section 7.5 or (iv) otherwise required by applicable law; or</w:t>
      </w:r>
    </w:p>
    <w:p>
      <w:pPr>
        <w:spacing w:after="0" w:line="171" w:lineRule="exact"/>
        <w:rPr>
          <w:rFonts w:ascii="Arial" w:cs="Arial" w:eastAsia="Arial" w:hAnsi="Arial"/>
          <w:sz w:val="17"/>
          <w:szCs w:val="17"/>
          <w:color w:val="auto"/>
        </w:rPr>
      </w:pPr>
    </w:p>
    <w:p>
      <w:pPr>
        <w:ind w:left="1240" w:hanging="253"/>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221" w:lineRule="exact"/>
        <w:rPr>
          <w:sz w:val="20"/>
          <w:szCs w:val="20"/>
          <w:color w:val="auto"/>
        </w:rPr>
      </w:pPr>
    </w:p>
    <w:p>
      <w:pPr>
        <w:jc w:val="both"/>
        <w:ind w:right="60" w:firstLine="440"/>
        <w:spacing w:after="0" w:line="261"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b w:val="1"/>
          <w:bCs w:val="1"/>
          <w:color w:val="auto"/>
        </w:rPr>
        <w:t>Contract Rights</w:t>
      </w:r>
      <w:r>
        <w:rPr>
          <w:rFonts w:ascii="Arial" w:cs="Arial" w:eastAsia="Arial" w:hAnsi="Arial"/>
          <w:sz w:val="18"/>
          <w:szCs w:val="18"/>
          <w:color w:val="auto"/>
        </w:rPr>
        <w:t>. The obligations of the Corporation under this Article VII to indemnify, and advance expenses to, a person who is or was a director or Executive Officer of the Corporation shall be considered a contract between the Corporation and such person, and no modification or repeal of any provision of this Article VII shall affect, to the detriment of such person, such obligations of the Corporation in connection with a claim based on any act or failure to act occurring before such modification or repeal.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Roman"/>
      <w:start w:val="4"/>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4">
    <w:nsid w:val="1BEFD79F"/>
    <w:multiLevelType w:val="hybridMultilevel"/>
    <w:lvl w:ilvl="0">
      <w:lvlJc w:val="left"/>
      <w:lvlText w:val="%1"/>
      <w:numFmt w:val="upperLetter"/>
      <w:start w:val="1"/>
    </w:lvl>
    <w:lvl w:ilvl="1">
      <w:lvlJc w:val="left"/>
      <w:lvlText w:val="%2."/>
      <w:numFmt w:val="decimal"/>
      <w:start w:val="2"/>
    </w:lvl>
  </w:abstractNum>
  <w:abstractNum w:abstractNumId="5">
    <w:nsid w:val="41A7C4C9"/>
    <w:multiLevelType w:val="hybridMultilevel"/>
    <w:lvl w:ilvl="0">
      <w:lvlJc w:val="left"/>
      <w:lvlText w:val="%1."/>
      <w:numFmt w:val="upperLetter"/>
      <w:start w:val="2"/>
    </w:lvl>
    <w:lvl w:ilvl="1">
      <w:lvlJc w:val="left"/>
      <w:lvlText w:val="%2"/>
      <w:numFmt w:val="decimal"/>
      <w:start w:val="1"/>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lowerLetter"/>
      <w:start w:val="2"/>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upperLetter"/>
      <w:start w:val="1"/>
    </w:lvl>
    <w:lvl w:ilvl="1">
      <w:lvlJc w:val="left"/>
      <w:lvlText w:val="(%2)"/>
      <w:numFmt w:val="lowerLetter"/>
      <w:start w:val="3"/>
    </w:lvl>
  </w:abstractNum>
  <w:abstractNum w:abstractNumId="10">
    <w:nsid w:val="431BD7B7"/>
    <w:multiLevelType w:val="hybridMultilevel"/>
    <w:lvl w:ilvl="0">
      <w:lvlJc w:val="left"/>
      <w:lvlText w:val="%1."/>
      <w:numFmt w:val="upperLetter"/>
      <w:start w:val="2"/>
    </w:lvl>
    <w:lvl w:ilvl="1">
      <w:lvlJc w:val="left"/>
      <w:lvlText w:val="%2"/>
      <w:numFmt w:val="lowerLetter"/>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upperLetter"/>
      <w:start w:val="1"/>
    </w:lvl>
  </w:abstractNum>
  <w:abstractNum w:abstractNumId="13">
    <w:nsid w:val="257130A3"/>
    <w:multiLevelType w:val="hybridMultilevel"/>
    <w:lvl w:ilvl="0">
      <w:lvlJc w:val="left"/>
      <w:lvlText w:val="(%1)"/>
      <w:numFmt w:val="lowerLetter"/>
      <w:start w:val="3"/>
    </w:lvl>
    <w:lvl w:ilvl="1">
      <w:lvlJc w:val="left"/>
      <w:lvlText w:val="(%2)"/>
      <w:numFmt w:val="lowerLetter"/>
      <w:start w:val="4"/>
    </w:lvl>
  </w:abstractNum>
  <w:abstractNum w:abstractNumId="14">
    <w:nsid w:val="62BBD95A"/>
    <w:multiLevelType w:val="hybridMultilevel"/>
    <w:lvl w:ilvl="0">
      <w:lvlJc w:val="left"/>
      <w:lvlText w:val="%1"/>
      <w:numFmt w:val="decimal"/>
      <w:start w:val="1"/>
    </w:lvl>
    <w:lvl w:ilvl="1">
      <w:lvlJc w:val="left"/>
      <w:lvlText w:val="(%2)"/>
      <w:numFmt w:val="lowerLetter"/>
      <w:start w:val="1"/>
    </w:lvl>
  </w:abstractNum>
  <w:abstractNum w:abstractNumId="15">
    <w:nsid w:val="436C6125"/>
    <w:multiLevelType w:val="hybridMultilevel"/>
    <w:lvl w:ilvl="0">
      <w:lvlJc w:val="left"/>
      <w:lvlText w:val="(%1)"/>
      <w:numFmt w:val="decimal"/>
      <w:start w:val="3"/>
    </w:lvl>
    <w:lvl w:ilvl="1">
      <w:lvlJc w:val="left"/>
      <w:lvlText w:val="(%2)"/>
      <w:numFmt w:val="lowerLetter"/>
      <w:start w:val="2"/>
    </w:lvl>
  </w:abstractNum>
  <w:abstractNum w:abstractNumId="16">
    <w:nsid w:val="628C895D"/>
    <w:multiLevelType w:val="hybridMultilevel"/>
    <w:lvl w:ilvl="0">
      <w:lvlJc w:val="left"/>
      <w:lvlText w:val="(%1)"/>
      <w:numFmt w:val="upperLetter"/>
      <w:start w:val="1"/>
    </w:lvl>
  </w:abstractNum>
  <w:abstractNum w:abstractNumId="17">
    <w:nsid w:val="333AB105"/>
    <w:multiLevelType w:val="hybridMultilevel"/>
    <w:lvl w:ilvl="0">
      <w:lvlJc w:val="left"/>
      <w:lvlText w:val="(%1)"/>
      <w:numFmt w:val="lowerLetter"/>
      <w:start w:val="3"/>
    </w:lvl>
  </w:abstractNum>
  <w:abstractNum w:abstractNumId="18">
    <w:nsid w:val="721DA317"/>
    <w:multiLevelType w:val="hybridMultilevel"/>
    <w:lvl w:ilvl="0">
      <w:lvlJc w:val="left"/>
      <w:lvlText w:val="(%1)"/>
      <w:numFmt w:val="lowerLetter"/>
      <w:start w:val="5"/>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4"/>
    </w:lvl>
  </w:abstractNum>
  <w:abstractNum w:abstractNumId="21">
    <w:nsid w:val="6763845E"/>
    <w:multiLevelType w:val="hybridMultilevel"/>
    <w:lvl w:ilvl="0">
      <w:lvlJc w:val="left"/>
      <w:lvlText w:val="(%1)"/>
      <w:numFmt w:val="lowerRoman"/>
      <w:start w:val="1"/>
    </w:lvl>
  </w:abstractNum>
  <w:abstractNum w:abstractNumId="22">
    <w:nsid w:val="75A2A8D4"/>
    <w:multiLevelType w:val="hybridMultilevel"/>
    <w:lvl w:ilvl="0">
      <w:lvlJc w:val="left"/>
      <w:lvlText w:val="(%1)"/>
      <w:numFmt w:val="decimal"/>
      <w:start w:val="90"/>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2020-10-20T15:36:57Z</dcterms:created>
  <dcterms:modified xsi:type="dcterms:W3CDTF">2020-10-20T15:36:57Z</dcterms:modified>
</cp:coreProperties>
</file>