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l934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w:t>
      </w:r>
      <w:r>
        <w:rPr>
          <w:rFonts w:ascii="Times New Roman" w:cs="Times New Roman" w:eastAsia="Times New Roman" w:hAnsi="Times New Roman"/>
          <w:sz w:val="16"/>
          <w:szCs w:val="16"/>
          <w:b w:val="1"/>
          <w:bCs w:val="1"/>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TARSUS PHARAMACEUTICALS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87650lL03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87650L103</w:t>
      </w:r>
    </w:p>
    <w:p>
      <w:pPr>
        <w:spacing w:after="0" w:line="266" w:lineRule="exact"/>
        <w:rPr>
          <w:sz w:val="20"/>
          <w:szCs w:val="20"/>
          <w:color w:val="auto"/>
        </w:rPr>
      </w:pPr>
    </w:p>
    <w:p>
      <w:pPr>
        <w:ind w:left="680" w:hanging="437"/>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33" w:lineRule="exact"/>
        <w:rPr>
          <w:rFonts w:ascii="Times New Roman" w:cs="Times New Roman" w:eastAsia="Times New Roman" w:hAnsi="Times New Roman"/>
          <w:sz w:val="18"/>
          <w:szCs w:val="18"/>
          <w:color w:val="auto"/>
        </w:rPr>
      </w:pPr>
    </w:p>
    <w:p>
      <w:pPr>
        <w:ind w:left="680" w:right="7300" w:hanging="3"/>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TimesSquare Capital Management, LLC 20-1665304</w:t>
      </w:r>
    </w:p>
    <w:p>
      <w:pPr>
        <w:ind w:left="680" w:hanging="437"/>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-847725</wp:posOffset>
            </wp:positionV>
            <wp:extent cx="6926580" cy="5494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494655"/>
                    </a:xfrm>
                    <a:prstGeom prst="rect">
                      <a:avLst/>
                    </a:prstGeom>
                    <a:noFill/>
                  </pic:spPr>
                </pic:pic>
              </a:graphicData>
            </a:graphic>
          </wp:anchor>
        </w:drawing>
      </w:r>
    </w:p>
    <w:p>
      <w:pPr>
        <w:spacing w:after="0" w:line="2" w:lineRule="exact"/>
        <w:rPr>
          <w:sz w:val="20"/>
          <w:szCs w:val="20"/>
          <w:color w:val="auto"/>
        </w:rPr>
      </w:pPr>
    </w:p>
    <w:p>
      <w:pPr>
        <w:ind w:left="680"/>
        <w:spacing w:after="0" w:line="207" w:lineRule="exact"/>
        <w:tabs>
          <w:tab w:leader="none" w:pos="14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80" w:hanging="437"/>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80" w:right="7600" w:hanging="437"/>
        <w:spacing w:after="0" w:line="40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1660" w:hanging="436"/>
        <w:spacing w:after="0"/>
        <w:tabs>
          <w:tab w:leader="none" w:pos="1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Borders>
              <w:bottom w:val="single" w:sz="8" w:color="auto"/>
            </w:tcBorders>
          </w:tcPr>
          <w:p>
            <w:pPr>
              <w:spacing w:after="0"/>
              <w:rPr>
                <w:sz w:val="21"/>
                <w:szCs w:val="21"/>
                <w:color w:val="auto"/>
              </w:rPr>
            </w:pPr>
          </w:p>
        </w:tc>
        <w:tc>
          <w:tcPr>
            <w:tcW w:w="9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1,429,310</w:t>
            </w:r>
          </w:p>
        </w:tc>
        <w:tc>
          <w:tcPr>
            <w:tcW w:w="0" w:type="dxa"/>
            <w:vAlign w:val="bottom"/>
          </w:tcPr>
          <w:p>
            <w:pPr>
              <w:spacing w:after="0"/>
              <w:rPr>
                <w:sz w:val="1"/>
                <w:szCs w:val="1"/>
                <w:color w:val="auto"/>
              </w:rPr>
            </w:pPr>
          </w:p>
        </w:tc>
      </w:tr>
      <w:tr>
        <w:trPr>
          <w:trHeight w:val="23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00" w:type="dxa"/>
            <w:vAlign w:val="bottom"/>
          </w:tcPr>
          <w:p>
            <w:pPr>
              <w:spacing w:after="0"/>
              <w:rPr>
                <w:sz w:val="18"/>
                <w:szCs w:val="18"/>
                <w:color w:val="auto"/>
              </w:rPr>
            </w:pPr>
          </w:p>
        </w:tc>
        <w:tc>
          <w:tcPr>
            <w:tcW w:w="9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3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00" w:type="dxa"/>
            <w:vAlign w:val="bottom"/>
          </w:tcPr>
          <w:p>
            <w:pPr>
              <w:spacing w:after="0"/>
              <w:rPr>
                <w:sz w:val="19"/>
                <w:szCs w:val="19"/>
                <w:color w:val="auto"/>
              </w:rPr>
            </w:pP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1,429,310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400" w:type="dxa"/>
            <w:vAlign w:val="bottom"/>
            <w:tcBorders>
              <w:bottom w:val="single" w:sz="8" w:color="auto"/>
            </w:tcBorders>
          </w:tcPr>
          <w:p>
            <w:pPr>
              <w:spacing w:after="0"/>
              <w:rPr>
                <w:sz w:val="5"/>
                <w:szCs w:val="5"/>
                <w:color w:val="auto"/>
              </w:rPr>
            </w:pPr>
          </w:p>
        </w:tc>
        <w:tc>
          <w:tcPr>
            <w:tcW w:w="9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2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3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80" w:right="5420" w:hanging="437"/>
        <w:spacing w:after="0" w:line="406" w:lineRule="auto"/>
        <w:tabs>
          <w:tab w:leader="none" w:pos="6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1,429,310</w:t>
      </w:r>
    </w:p>
    <w:p>
      <w:pPr>
        <w:spacing w:after="0" w:line="1" w:lineRule="exact"/>
        <w:rPr>
          <w:rFonts w:ascii="Times New Roman" w:cs="Times New Roman" w:eastAsia="Times New Roman" w:hAnsi="Times New Roman"/>
          <w:sz w:val="18"/>
          <w:szCs w:val="18"/>
          <w:color w:val="auto"/>
        </w:rPr>
      </w:pPr>
    </w:p>
    <w:p>
      <w:pPr>
        <w:ind w:left="680" w:hanging="527"/>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6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80" w:right="6560" w:hanging="527"/>
        <w:spacing w:after="0" w:line="400"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5.36%</w:t>
      </w:r>
    </w:p>
    <w:p>
      <w:pPr>
        <w:ind w:left="680" w:hanging="527"/>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Issuer: TARSUS PHARMACEUTICALS, INC.</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1(b)</w:t>
      </w:r>
    </w:p>
    <w:p>
      <w:pPr>
        <w:spacing w:after="0" w:line="229" w:lineRule="exact"/>
        <w:rPr>
          <w:sz w:val="20"/>
          <w:szCs w:val="20"/>
          <w:color w:val="auto"/>
        </w:rPr>
      </w:pPr>
    </w:p>
    <w:p>
      <w:pPr>
        <w:ind w:left="4" w:right="4620"/>
        <w:spacing w:after="0" w:line="282" w:lineRule="auto"/>
        <w:rPr>
          <w:sz w:val="20"/>
          <w:szCs w:val="20"/>
          <w:color w:val="auto"/>
        </w:rPr>
      </w:pPr>
      <w:r>
        <w:rPr>
          <w:rFonts w:ascii="Times New Roman" w:cs="Times New Roman" w:eastAsia="Times New Roman" w:hAnsi="Times New Roman"/>
          <w:sz w:val="18"/>
          <w:szCs w:val="18"/>
          <w:color w:val="auto"/>
        </w:rPr>
        <w:t>Address of Issuer’s Principal Executive Offices: 15440 LAGUNA CANYON ROAD IRVINE, CALIFORNIA 92618</w:t>
      </w:r>
    </w:p>
    <w:p>
      <w:pPr>
        <w:spacing w:after="0" w:line="374"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Persons Filing: TimesSquare Capital Management, LLC (“TimesSquare”)</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2(b)</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TimesSquare:7 Times Square, 42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w:t>
      </w:r>
    </w:p>
    <w:p>
      <w:pPr>
        <w:ind w:left="984"/>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200" w:lineRule="exact"/>
        <w:rPr>
          <w:sz w:val="20"/>
          <w:szCs w:val="20"/>
          <w:color w:val="auto"/>
        </w:rPr>
      </w:pPr>
    </w:p>
    <w:p>
      <w:pPr>
        <w:spacing w:after="0" w:line="21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Citizenship: TimesSquare is a Delaware limited liability company.</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 of Class of Securities: Common Stock, $1.00 par value</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Number: 87650L103</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This statement is filed by TimesSquare pursuant to §§240.l3d-l(b), or 240.13d-2(b) or (c), on the basis that TimesSquare is an investment adviser in accordance with §240.13d-1(b)(1)(ii)(E).</w:t>
      </w:r>
    </w:p>
    <w:p>
      <w:pPr>
        <w:spacing w:after="0" w:line="374" w:lineRule="exact"/>
        <w:rPr>
          <w:sz w:val="20"/>
          <w:szCs w:val="20"/>
          <w:color w:val="auto"/>
        </w:rPr>
      </w:pPr>
    </w:p>
    <w:p>
      <w:pPr>
        <w:ind w:left="5264"/>
        <w:spacing w:after="0"/>
        <w:rPr>
          <w:sz w:val="20"/>
          <w:szCs w:val="20"/>
          <w:color w:val="auto"/>
        </w:rPr>
      </w:pPr>
      <w:r>
        <w:rPr>
          <w:rFonts w:ascii="Times New Roman" w:cs="Times New Roman" w:eastAsia="Times New Roman" w:hAnsi="Times New Roman"/>
          <w:sz w:val="18"/>
          <w:szCs w:val="18"/>
          <w:b w:val="1"/>
          <w:bCs w:val="1"/>
          <w:color w:val="auto"/>
        </w:rPr>
        <w:t>Item 4</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Ownership. The following ownership information is as of December 31, 2022.</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1,429,310</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5.36%</w:t>
      </w:r>
    </w:p>
    <w:p>
      <w:pPr>
        <w:spacing w:after="0" w:line="117" w:lineRule="exact"/>
        <w:rPr>
          <w:rFonts w:ascii="Times New Roman" w:cs="Times New Roman" w:eastAsia="Times New Roman" w:hAnsi="Times New Roman"/>
          <w:sz w:val="18"/>
          <w:szCs w:val="18"/>
          <w:color w:val="auto"/>
        </w:rPr>
      </w:pPr>
    </w:p>
    <w:p>
      <w:pPr>
        <w:ind w:left="4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based on 26,672,188 shares of Common Stock outstanding as of December 31, 2022 as reported to us by FT Interactive Data Corporation.</w:t>
      </w:r>
    </w:p>
    <w:p>
      <w:pPr>
        <w:sectPr>
          <w:pgSz w:w="11900" w:h="16838" w:orient="portrait"/>
          <w:cols w:equalWidth="0" w:num="1">
            <w:col w:w="10764"/>
          </w:cols>
          <w:pgMar w:left="436" w:top="266" w:right="699" w:bottom="1440" w:gutter="0" w:footer="0" w:header="0"/>
        </w:sectPr>
      </w:pPr>
    </w:p>
    <w:bookmarkStart w:id="3" w:name="page4"/>
    <w:bookmarkEnd w:id="3"/>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as to which the person has: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1,429,310*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1,429,310*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131" w:lineRule="exact"/>
        <w:rPr>
          <w:sz w:val="20"/>
          <w:szCs w:val="20"/>
          <w:color w:val="auto"/>
        </w:rPr>
      </w:pPr>
    </w:p>
    <w:p>
      <w:pPr>
        <w:ind w:left="964" w:right="140" w:hanging="532"/>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reported on in this statement are owned by investment advisory clients of TimesSquare. In its role as investment adviser, TimesSquare has voting and dispositive power with respect to these shares.</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p>
      <w:pPr>
        <w:spacing w:after="0" w:line="11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The shares of Common Stock reported on in this statement are owned by investment advisory clients of TimesSquare, and such clients have the right to receive dividends from and proceeds from the sale of such shares. To TimesSquare’s knowledge, the interest of no one of these clients relates to more than 5% of the class.</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Notice of Dissolution of Group.</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4"/>
          </w:cols>
          <w:pgMar w:left="436"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TIMESSQUARE CAPITAL MANAGEMENT, LLC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Cielusniak</w:t>
            </w:r>
          </w:p>
        </w:tc>
      </w:tr>
      <w:tr>
        <w:trPr>
          <w:trHeight w:val="205"/>
        </w:trPr>
        <w:tc>
          <w:tcPr>
            <w:tcW w:w="1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Name/Title:</w:t>
            </w:r>
          </w:p>
        </w:tc>
        <w:tc>
          <w:tcPr>
            <w:tcW w:w="3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David M. Cielusniak</w:t>
            </w:r>
          </w:p>
        </w:tc>
      </w:tr>
      <w:tr>
        <w:trPr>
          <w:trHeight w:val="234"/>
        </w:trPr>
        <w:tc>
          <w:tcPr>
            <w:tcW w:w="11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w:t>
            </w:r>
          </w:p>
        </w:tc>
      </w:tr>
    </w:tbl>
    <w:p>
      <w:pPr>
        <w:spacing w:after="0" w:line="1" w:lineRule="exact"/>
        <w:rPr>
          <w:sz w:val="20"/>
          <w:szCs w:val="20"/>
          <w:color w:val="auto"/>
        </w:rPr>
      </w:pP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lvl w:ilvl="1">
      <w:lvlJc w:val="left"/>
      <w:lvlText w:val="%2)"/>
      <w:numFmt w:val="decimal"/>
      <w:start w:val="5"/>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lvl w:ilvl="1">
      <w:lvlJc w:val="left"/>
      <w:lvlText w:val="(%2)"/>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2023-02-03T07:18:34Z</dcterms:created>
  <dcterms:modified xsi:type="dcterms:W3CDTF">2023-02-03T07:18:34Z</dcterms:modified>
</cp:coreProperties>
</file>