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8" w:right="27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8000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149075.19</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06/21/2023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8000</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2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03/21/2023 679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8752.65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03/22/2023 709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8965.23</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03/23/2023 737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8952.56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04/19/2023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108779.90</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04/21/2023 2311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34736.27</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04/28/2023 4278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64739.17</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05/01/2023 5841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88195.38</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05/10/2023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151213.00</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05/17/2023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127224.97</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06/08/2023 3100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62022.63</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06/14/2023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167211.14</w:t>
            </w:r>
          </w:p>
        </w:tc>
        <w:tc>
          <w:tcPr>
            <w:tcW w:w="0" w:type="dxa"/>
            <w:vAlign w:val="bottom"/>
          </w:tcPr>
          <w:p>
            <w:pPr>
              <w:spacing w:after="0"/>
              <w:rPr>
                <w:sz w:val="1"/>
                <w:szCs w:val="1"/>
                <w:color w:val="auto"/>
              </w:rPr>
            </w:pPr>
          </w:p>
        </w:tc>
      </w:tr>
    </w:tbl>
    <w:p>
      <w:pPr>
        <w:spacing w:after="0" w:line="439" w:lineRule="exact"/>
        <w:rPr>
          <w:sz w:val="20"/>
          <w:szCs w:val="20"/>
          <w:color w:val="auto"/>
        </w:rPr>
      </w:pPr>
    </w:p>
    <w:p>
      <w:pPr>
        <w:sectPr>
          <w:pgSz w:w="11900" w:h="16838" w:orient="portrait"/>
          <w:cols w:equalWidth="0" w:num="2">
            <w:col w:w="6580" w:space="720"/>
            <w:col w:w="3940"/>
          </w:cols>
          <w:pgMar w:left="320" w:top="111" w:right="339" w:bottom="231"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11" w:right="339" w:bottom="231" w:gutter="0" w:footer="0" w:header="0"/>
          <w:type w:val="continuous"/>
        </w:sectPr>
      </w:pPr>
    </w:p>
    <w:bookmarkStart w:id="2" w:name="page3"/>
    <w:bookmarkEnd w:id="2"/>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660"/>
        <w:spacing w:after="0" w:line="250" w:lineRule="auto"/>
        <w:rPr>
          <w:sz w:val="20"/>
          <w:szCs w:val="20"/>
          <w:color w:val="auto"/>
        </w:rPr>
      </w:pPr>
      <w:r>
        <w:rPr>
          <w:rFonts w:ascii="Arial" w:cs="Arial" w:eastAsia="Arial" w:hAnsi="Arial"/>
          <w:sz w:val="22"/>
          <w:szCs w:val="22"/>
          <w:color w:val="auto"/>
        </w:rPr>
        <w:t>Trade occurred in Bobak Azamian Living Trust account of which Bobak Azamian is a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06/21/2023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06/13/2022</w:t>
      </w:r>
    </w:p>
    <w:p>
      <w:pPr>
        <w:spacing w:after="0" w:line="618" w:lineRule="exact"/>
        <w:rPr>
          <w:sz w:val="20"/>
          <w:szCs w:val="20"/>
          <w:color w:val="auto"/>
        </w:rPr>
      </w:pPr>
    </w:p>
    <w:p>
      <w:pPr>
        <w:sectPr>
          <w:pgSz w:w="11900" w:h="16838" w:orient="portrait"/>
          <w:cols w:equalWidth="0" w:num="2">
            <w:col w:w="4120" w:space="140"/>
            <w:col w:w="6900"/>
          </w:cols>
          <w:pgMar w:left="360" w:top="159" w:right="379" w:bottom="1440" w:gutter="0" w:footer="0" w:header="0"/>
        </w:sectPr>
      </w:pP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7"/>
        </w:trPr>
        <w:tc>
          <w:tcPr>
            <w:tcW w:w="25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320" w:type="dxa"/>
            <w:vAlign w:val="bottom"/>
          </w:tcPr>
          <w:p>
            <w:pPr>
              <w:ind w:left="1720"/>
              <w:spacing w:after="0" w:line="246" w:lineRule="exact"/>
              <w:rPr>
                <w:sz w:val="20"/>
                <w:szCs w:val="20"/>
                <w:color w:val="auto"/>
              </w:rPr>
            </w:pPr>
            <w:r>
              <w:rPr>
                <w:rFonts w:ascii="Arial" w:cs="Arial" w:eastAsia="Arial" w:hAnsi="Arial"/>
                <w:sz w:val="22"/>
                <w:szCs w:val="22"/>
                <w:color w:val="auto"/>
                <w:w w:val="89"/>
              </w:rPr>
              <w:t>/s/ Jennifer Ruchti, as a duly authorized representative of Fidelity Brokerage</w:t>
            </w: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832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2023-06-21T15:40:44Z</dcterms:created>
  <dcterms:modified xsi:type="dcterms:W3CDTF">2023-06-21T15:40:44Z</dcterms:modified>
</cp:coreProperties>
</file>